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EB2D" w14:textId="77777777" w:rsidR="00F5297E" w:rsidRPr="00F5297E" w:rsidRDefault="00F5297E" w:rsidP="00F5297E">
      <w:pPr>
        <w:shd w:val="clear" w:color="auto" w:fill="FFFFFF"/>
        <w:spacing w:before="360" w:after="0" w:line="240" w:lineRule="auto"/>
        <w:outlineLvl w:val="1"/>
        <w:rPr>
          <w:rFonts w:ascii="Tahoma" w:eastAsia="Times New Roman" w:hAnsi="Tahoma" w:cs="Tahoma"/>
          <w:b/>
          <w:bCs/>
          <w:color w:val="222222"/>
          <w:kern w:val="0"/>
          <w:sz w:val="33"/>
          <w:szCs w:val="33"/>
          <w14:ligatures w14:val="none"/>
        </w:rPr>
      </w:pPr>
      <w:r w:rsidRPr="00F5297E">
        <w:rPr>
          <w:rFonts w:ascii="Tahoma" w:eastAsia="Times New Roman" w:hAnsi="Tahoma" w:cs="Tahoma"/>
          <w:b/>
          <w:bCs/>
          <w:color w:val="222222"/>
          <w:kern w:val="0"/>
          <w:sz w:val="33"/>
          <w:szCs w:val="33"/>
          <w14:ligatures w14:val="none"/>
        </w:rPr>
        <w:t>E/M updates</w:t>
      </w:r>
    </w:p>
    <w:p w14:paraId="0B52D3AD"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1. </w:t>
      </w:r>
      <w:r w:rsidRPr="00F5297E">
        <w:rPr>
          <w:rFonts w:ascii="Arial" w:eastAsia="Times New Roman" w:hAnsi="Arial" w:cs="Arial"/>
          <w:b/>
          <w:bCs/>
          <w:color w:val="202020"/>
          <w:kern w:val="0"/>
          <w14:ligatures w14:val="none"/>
        </w:rPr>
        <w:t>Where can the CPT E/M code and guidelines be found?</w:t>
      </w:r>
    </w:p>
    <w:p w14:paraId="038F3B6A"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The CPT E/M code and guideline changes can be found in the AMA's </w:t>
      </w:r>
      <w:hyperlink r:id="rId4" w:tgtFrame="_blank" w:history="1">
        <w:r w:rsidRPr="00F5297E">
          <w:rPr>
            <w:rFonts w:ascii="Arial" w:eastAsia="Times New Roman" w:hAnsi="Arial" w:cs="Arial"/>
            <w:color w:val="0000FF"/>
            <w:kern w:val="0"/>
            <w14:ligatures w14:val="none"/>
          </w:rPr>
          <w:t>2021 changes to office and outpatient E/M services</w:t>
        </w:r>
      </w:hyperlink>
      <w:r w:rsidRPr="00F5297E">
        <w:rPr>
          <w:rFonts w:ascii="Tahoma" w:eastAsia="Times New Roman" w:hAnsi="Tahoma" w:cs="Tahoma"/>
          <w:color w:val="202020"/>
          <w:kern w:val="0"/>
          <w:sz w:val="22"/>
          <w:szCs w:val="22"/>
          <w14:ligatures w14:val="none"/>
        </w:rPr>
        <w:t> and AMA's </w:t>
      </w:r>
      <w:hyperlink r:id="rId5" w:tgtFrame="_blank" w:history="1">
        <w:r w:rsidRPr="00F5297E">
          <w:rPr>
            <w:rFonts w:ascii="Arial" w:eastAsia="Times New Roman" w:hAnsi="Arial" w:cs="Arial"/>
            <w:color w:val="0000FF"/>
            <w:kern w:val="0"/>
            <w14:ligatures w14:val="none"/>
          </w:rPr>
          <w:t>2023 changes to other E/M visits</w:t>
        </w:r>
      </w:hyperlink>
      <w:r w:rsidRPr="00F5297E">
        <w:rPr>
          <w:rFonts w:ascii="Tahoma" w:eastAsia="Times New Roman" w:hAnsi="Tahoma" w:cs="Tahoma"/>
          <w:color w:val="202020"/>
          <w:kern w:val="0"/>
          <w:sz w:val="22"/>
          <w:szCs w:val="22"/>
          <w14:ligatures w14:val="none"/>
        </w:rPr>
        <w:t>.</w:t>
      </w:r>
    </w:p>
    <w:p w14:paraId="28E70164"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CMS adopted the revisions finalized by the American Medical Association (or AMA) CPT Editorial Panel for calendar years 2021 and 2023 which impacted multiple E/M visit code families.The 2021 applied to office and outpatient E/M visitsse 2023 updates apply to hospital inpatient and observation care services, emergency department services, nursing facility serviceshome or residence services. </w:t>
      </w:r>
    </w:p>
    <w:p w14:paraId="412D0F6D"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2. </w:t>
      </w:r>
      <w:r w:rsidRPr="00F5297E">
        <w:rPr>
          <w:rFonts w:ascii="Arial" w:eastAsia="Times New Roman" w:hAnsi="Arial" w:cs="Arial"/>
          <w:b/>
          <w:bCs/>
          <w:color w:val="202020"/>
          <w:kern w:val="0"/>
          <w14:ligatures w14:val="none"/>
        </w:rPr>
        <w:t>Where can the AMA CPT E/M definitions for the elements of medical decision making (MDM) be found?</w:t>
      </w:r>
    </w:p>
    <w:p w14:paraId="78B5A7FA"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The AMA CPT EM definitions can be found in the </w:t>
      </w:r>
      <w:bookmarkStart w:id="0" w:name="P21_1020"/>
      <w:r w:rsidRPr="00F5297E">
        <w:rPr>
          <w:rFonts w:ascii="Arial" w:eastAsia="Times New Roman" w:hAnsi="Arial" w:cs="Arial"/>
          <w:color w:val="0000FF"/>
          <w:kern w:val="0"/>
          <w14:ligatures w14:val="none"/>
        </w:rPr>
        <w:fldChar w:fldCharType="begin"/>
      </w:r>
      <w:r w:rsidRPr="00F5297E">
        <w:rPr>
          <w:rFonts w:ascii="Arial" w:eastAsia="Times New Roman" w:hAnsi="Arial" w:cs="Arial"/>
          <w:color w:val="0000FF"/>
          <w:kern w:val="0"/>
          <w14:ligatures w14:val="none"/>
        </w:rPr>
        <w:instrText>HYPERLINK "https://www.ama-assn.org/system/files/2023-e-m-descriptors-guidelines.pdf" \t "_blank"</w:instrText>
      </w:r>
      <w:r w:rsidRPr="00F5297E">
        <w:rPr>
          <w:rFonts w:ascii="Arial" w:eastAsia="Times New Roman" w:hAnsi="Arial" w:cs="Arial"/>
          <w:color w:val="0000FF"/>
          <w:kern w:val="0"/>
          <w14:ligatures w14:val="none"/>
        </w:rPr>
      </w:r>
      <w:r w:rsidRPr="00F5297E">
        <w:rPr>
          <w:rFonts w:ascii="Arial" w:eastAsia="Times New Roman" w:hAnsi="Arial" w:cs="Arial"/>
          <w:color w:val="0000FF"/>
          <w:kern w:val="0"/>
          <w14:ligatures w14:val="none"/>
        </w:rPr>
        <w:fldChar w:fldCharType="separate"/>
      </w:r>
      <w:r w:rsidRPr="00F5297E">
        <w:rPr>
          <w:rFonts w:ascii="Arial" w:eastAsia="Times New Roman" w:hAnsi="Arial" w:cs="Arial"/>
          <w:color w:val="0000FF"/>
          <w:kern w:val="0"/>
          <w14:ligatures w14:val="none"/>
        </w:rPr>
        <w:t>AMA CPT® E/M code and guideline changes for 2023</w:t>
      </w:r>
      <w:r w:rsidRPr="00F5297E">
        <w:rPr>
          <w:rFonts w:ascii="Arial" w:eastAsia="Times New Roman" w:hAnsi="Arial" w:cs="Arial"/>
          <w:color w:val="0000FF"/>
          <w:kern w:val="0"/>
          <w14:ligatures w14:val="none"/>
        </w:rPr>
        <w:fldChar w:fldCharType="end"/>
      </w:r>
      <w:bookmarkEnd w:id="0"/>
      <w:r w:rsidRPr="00F5297E">
        <w:rPr>
          <w:rFonts w:ascii="Arial" w:eastAsia="Times New Roman" w:hAnsi="Arial" w:cs="Arial"/>
          <w:color w:val="0000FF"/>
          <w:kern w:val="0"/>
          <w14:ligatures w14:val="none"/>
        </w:rPr>
        <w:t>. </w:t>
      </w:r>
    </w:p>
    <w:p w14:paraId="6BFA2AC9"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3. </w:t>
      </w:r>
      <w:r w:rsidRPr="00F5297E">
        <w:rPr>
          <w:rFonts w:ascii="Arial" w:eastAsia="Times New Roman" w:hAnsi="Arial" w:cs="Arial"/>
          <w:b/>
          <w:bCs/>
          <w:color w:val="202020"/>
          <w:kern w:val="0"/>
          <w14:ligatures w14:val="none"/>
        </w:rPr>
        <w:t>Does the 2021 E/M code and guideline changes apply to all categories of E/M services?</w:t>
      </w:r>
    </w:p>
    <w:p w14:paraId="774862B8"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No. The E/M code and guideline changes are specific for office and other outpatient visits and apply to codes 99201–99205 and 99211–99215.</w:t>
      </w:r>
    </w:p>
    <w:p w14:paraId="2F0016DE"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Arial" w:eastAsia="Times New Roman" w:hAnsi="Arial" w:cs="Arial"/>
          <w:color w:val="202020"/>
          <w:kern w:val="0"/>
          <w14:ligatures w14:val="none"/>
        </w:rPr>
        <w:t>Note:</w:t>
      </w:r>
      <w:r w:rsidRPr="00F5297E">
        <w:rPr>
          <w:rFonts w:ascii="Tahoma" w:eastAsia="Times New Roman" w:hAnsi="Tahoma" w:cs="Tahoma"/>
          <w:color w:val="202020"/>
          <w:kern w:val="0"/>
          <w:sz w:val="22"/>
          <w:szCs w:val="22"/>
          <w14:ligatures w14:val="none"/>
        </w:rPr>
        <w:t> Based on the CPT changes, code 99201 is no longer valid for dates of service on and after January 1, 2021.</w:t>
      </w:r>
    </w:p>
    <w:p w14:paraId="317A1D63"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Arial" w:eastAsia="Times New Roman" w:hAnsi="Arial" w:cs="Arial"/>
          <w:b/>
          <w:bCs/>
          <w:color w:val="202020"/>
          <w:kern w:val="0"/>
          <w14:ligatures w14:val="none"/>
        </w:rPr>
        <w:t>Reference</w:t>
      </w:r>
      <w:r w:rsidRPr="00F5297E">
        <w:rPr>
          <w:rFonts w:ascii="Arial" w:eastAsia="Times New Roman" w:hAnsi="Arial" w:cs="Arial"/>
          <w:color w:val="202020"/>
          <w:kern w:val="0"/>
          <w14:ligatures w14:val="none"/>
        </w:rPr>
        <w:t> </w:t>
      </w:r>
      <w:hyperlink r:id="rId6" w:tgtFrame="_blank" w:history="1">
        <w:r w:rsidRPr="00F5297E">
          <w:rPr>
            <w:rFonts w:ascii="Arial" w:eastAsia="Times New Roman" w:hAnsi="Arial" w:cs="Arial"/>
            <w:color w:val="0000FF"/>
            <w:kern w:val="0"/>
            <w14:ligatures w14:val="none"/>
          </w:rPr>
          <w:t>AMA CPT® E/M code and guideline changes for 2021</w:t>
        </w:r>
      </w:hyperlink>
    </w:p>
    <w:p w14:paraId="34C63788"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4. </w:t>
      </w:r>
      <w:r w:rsidRPr="00F5297E">
        <w:rPr>
          <w:rFonts w:ascii="Arial" w:eastAsia="Times New Roman" w:hAnsi="Arial" w:cs="Arial"/>
          <w:b/>
          <w:bCs/>
          <w:color w:val="202020"/>
          <w:kern w:val="0"/>
          <w14:ligatures w14:val="none"/>
        </w:rPr>
        <w:t>When coding is based on time, is the day of encounter considered the actual calendar date or a 24-hour period?</w:t>
      </w:r>
    </w:p>
    <w:p w14:paraId="334D2AB5"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When coding by time, only the </w:t>
      </w:r>
      <w:hyperlink r:id="rId7" w:anchor="2021CPTEMGuidelinesforTimeandSeparateServices" w:tgtFrame="_blank" w:history="1">
        <w:r w:rsidRPr="00F5297E">
          <w:rPr>
            <w:rFonts w:ascii="Arial" w:eastAsia="Times New Roman" w:hAnsi="Arial" w:cs="Arial"/>
            <w:color w:val="0000FF"/>
            <w:kern w:val="0"/>
            <w14:ligatures w14:val="none"/>
          </w:rPr>
          <w:t>time spent on the actual date of the encounter is applicable</w:t>
        </w:r>
      </w:hyperlink>
      <w:r w:rsidRPr="00F5297E">
        <w:rPr>
          <w:rFonts w:ascii="Tahoma" w:eastAsia="Times New Roman" w:hAnsi="Tahoma" w:cs="Tahoma"/>
          <w:color w:val="202020"/>
          <w:kern w:val="0"/>
          <w:sz w:val="22"/>
          <w:szCs w:val="22"/>
          <w14:ligatures w14:val="none"/>
        </w:rPr>
        <w:t>.</w:t>
      </w:r>
    </w:p>
    <w:p w14:paraId="326C347A"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Arial" w:eastAsia="Times New Roman" w:hAnsi="Arial" w:cs="Arial"/>
          <w:b/>
          <w:bCs/>
          <w:color w:val="202020"/>
          <w:kern w:val="0"/>
          <w14:ligatures w14:val="none"/>
        </w:rPr>
        <w:t>Reference </w:t>
      </w:r>
      <w:hyperlink r:id="rId8" w:tgtFrame="_blank" w:history="1">
        <w:r w:rsidRPr="00F5297E">
          <w:rPr>
            <w:rFonts w:ascii="Arial" w:eastAsia="Times New Roman" w:hAnsi="Arial" w:cs="Arial"/>
            <w:color w:val="0000FF"/>
            <w:kern w:val="0"/>
            <w14:ligatures w14:val="none"/>
          </w:rPr>
          <w:t>AMA CPT® E/M code and guideline changes for 2021</w:t>
        </w:r>
      </w:hyperlink>
    </w:p>
    <w:p w14:paraId="7C25F42C"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5. </w:t>
      </w:r>
      <w:r w:rsidRPr="00F5297E">
        <w:rPr>
          <w:rFonts w:ascii="Arial" w:eastAsia="Times New Roman" w:hAnsi="Arial" w:cs="Arial"/>
          <w:b/>
          <w:bCs/>
          <w:color w:val="202020"/>
          <w:kern w:val="0"/>
          <w14:ligatures w14:val="none"/>
        </w:rPr>
        <w:t>How is time measured according to the E/M services guidelines?</w:t>
      </w:r>
    </w:p>
    <w:p w14:paraId="5715439A"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Except for code 99211, per AMA, beginning with CPT changes 2021, time alone may be used to select the appropriate code level for the office or other outpatient E/M service codes (99202-99205, 99212- 99215).</w:t>
      </w:r>
    </w:p>
    <w:p w14:paraId="65CF6274"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Time may be used to select a code level in office or other outpatient services whether counseling and/or coordination of care dominates the service.</w:t>
      </w:r>
    </w:p>
    <w:p w14:paraId="6000F17A"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When time is used to select the appropriate level for E/M service codes, time is defined by the service descriptors. The E/M services for which these guidelines apply require a face-to-face encounter with the physician or other qualified health professional.</w:t>
      </w:r>
    </w:p>
    <w:p w14:paraId="1F3CC065"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For office or other outpatient services, if the physician’s or other qualified health professional's time is spent in the supervision of clinical staff who perform the face-to-face services of the encounter, use code 99211.</w:t>
      </w:r>
    </w:p>
    <w:p w14:paraId="78ADABD1"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Arial" w:eastAsia="Times New Roman" w:hAnsi="Arial" w:cs="Arial"/>
          <w:b/>
          <w:bCs/>
          <w:color w:val="202020"/>
          <w:kern w:val="0"/>
          <w14:ligatures w14:val="none"/>
        </w:rPr>
        <w:t>Reference </w:t>
      </w:r>
      <w:hyperlink r:id="rId9" w:tgtFrame="_blank" w:history="1">
        <w:r w:rsidRPr="00F5297E">
          <w:rPr>
            <w:rFonts w:ascii="Arial" w:eastAsia="Times New Roman" w:hAnsi="Arial" w:cs="Arial"/>
            <w:color w:val="0000FF"/>
            <w:kern w:val="0"/>
            <w14:ligatures w14:val="none"/>
          </w:rPr>
          <w:t>AMA CPT® E/M code and guideline changes for 2021</w:t>
        </w:r>
      </w:hyperlink>
    </w:p>
    <w:p w14:paraId="39A57BEB"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6. </w:t>
      </w:r>
      <w:r w:rsidRPr="00F5297E">
        <w:rPr>
          <w:rFonts w:ascii="Arial" w:eastAsia="Times New Roman" w:hAnsi="Arial" w:cs="Arial"/>
          <w:b/>
          <w:bCs/>
          <w:color w:val="202020"/>
          <w:kern w:val="0"/>
          <w14:ligatures w14:val="none"/>
        </w:rPr>
        <w:t>What activities are included in physician's time?</w:t>
      </w:r>
    </w:p>
    <w:p w14:paraId="1C8FBE1D"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Physician/other qualified health care professional time includes the following activities when performed:</w:t>
      </w:r>
    </w:p>
    <w:p w14:paraId="517D2CE9"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Preparing to see the patient (e.g., review of tests).</w:t>
      </w:r>
    </w:p>
    <w:p w14:paraId="4A30C055"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Obtaining and/or reviewing separately obtained history.</w:t>
      </w:r>
    </w:p>
    <w:p w14:paraId="4B4F66FA"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Performing a medically appropriate examination and/or evaluation.</w:t>
      </w:r>
    </w:p>
    <w:p w14:paraId="402E6674"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Counseling and educating the patient/family/caregiver.</w:t>
      </w:r>
    </w:p>
    <w:p w14:paraId="4F1D3D9E"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Ordering medications, tests, or procedures.</w:t>
      </w:r>
    </w:p>
    <w:p w14:paraId="2FD1A932"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lastRenderedPageBreak/>
        <w:t>Referring and communicating with other health care professionals (when not separately reported).</w:t>
      </w:r>
    </w:p>
    <w:p w14:paraId="1954B1FE"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Documenting clinical information in the electronic or other health record.</w:t>
      </w:r>
    </w:p>
    <w:p w14:paraId="613D140B"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Independently interpreting results (not separately reported) and communicating results to the patient/family/caregiver.</w:t>
      </w:r>
    </w:p>
    <w:p w14:paraId="7F36E1BA"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Care coordination (not separately reported).</w:t>
      </w:r>
    </w:p>
    <w:p w14:paraId="777EA6CF"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7. </w:t>
      </w:r>
      <w:r w:rsidRPr="00F5297E">
        <w:rPr>
          <w:rFonts w:ascii="Arial" w:eastAsia="Times New Roman" w:hAnsi="Arial" w:cs="Arial"/>
          <w:b/>
          <w:bCs/>
          <w:color w:val="202020"/>
          <w:kern w:val="0"/>
          <w14:ligatures w14:val="none"/>
        </w:rPr>
        <w:t>Does Novitas have a score sheet based on the </w:t>
      </w:r>
      <w:bookmarkStart w:id="1" w:name="P46_3536"/>
      <w:bookmarkEnd w:id="1"/>
      <w:r w:rsidRPr="00F5297E">
        <w:rPr>
          <w:rFonts w:ascii="Arial" w:eastAsia="Times New Roman" w:hAnsi="Arial" w:cs="Arial"/>
          <w:b/>
          <w:bCs/>
          <w:color w:val="202020"/>
          <w:kern w:val="0"/>
          <w14:ligatures w14:val="none"/>
        </w:rPr>
        <w:t>current CPT E/M guidelines?</w:t>
      </w:r>
    </w:p>
    <w:p w14:paraId="50D25859"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The interactive worksheet </w:t>
      </w:r>
      <w:r w:rsidRPr="00F5297E">
        <w:rPr>
          <w:rFonts w:ascii="Arial" w:eastAsia="Times New Roman" w:hAnsi="Arial" w:cs="Arial"/>
          <w:color w:val="0000FF"/>
          <w:kern w:val="0"/>
          <w14:ligatures w14:val="none"/>
        </w:rPr>
        <w:t>(</w:t>
      </w:r>
      <w:hyperlink r:id="rId10" w:tgtFrame="_top" w:history="1">
        <w:r w:rsidRPr="00F5297E">
          <w:rPr>
            <w:rFonts w:ascii="Arial" w:eastAsia="Times New Roman" w:hAnsi="Arial" w:cs="Arial"/>
            <w:color w:val="0000FF"/>
            <w:kern w:val="0"/>
            <w14:ligatures w14:val="none"/>
          </w:rPr>
          <w:t>JH</w:t>
        </w:r>
      </w:hyperlink>
      <w:r w:rsidRPr="00F5297E">
        <w:rPr>
          <w:rFonts w:ascii="Arial" w:eastAsia="Times New Roman" w:hAnsi="Arial" w:cs="Arial"/>
          <w:color w:val="0000FF"/>
          <w:kern w:val="0"/>
          <w14:ligatures w14:val="none"/>
        </w:rPr>
        <w:t>) (</w:t>
      </w:r>
      <w:hyperlink r:id="rId11" w:tgtFrame="_top" w:history="1">
        <w:r w:rsidRPr="00F5297E">
          <w:rPr>
            <w:rFonts w:ascii="Arial" w:eastAsia="Times New Roman" w:hAnsi="Arial" w:cs="Arial"/>
            <w:color w:val="0000FF"/>
            <w:kern w:val="0"/>
            <w14:ligatures w14:val="none"/>
          </w:rPr>
          <w:t>JL</w:t>
        </w:r>
      </w:hyperlink>
      <w:r w:rsidRPr="00F5297E">
        <w:rPr>
          <w:rFonts w:ascii="Arial" w:eastAsia="Times New Roman" w:hAnsi="Arial" w:cs="Arial"/>
          <w:color w:val="0000FF"/>
          <w:kern w:val="0"/>
          <w14:ligatures w14:val="none"/>
        </w:rPr>
        <w:t>)</w:t>
      </w:r>
      <w:r w:rsidRPr="00F5297E">
        <w:rPr>
          <w:rFonts w:ascii="Tahoma" w:eastAsia="Times New Roman" w:hAnsi="Tahoma" w:cs="Tahoma"/>
          <w:color w:val="202020"/>
          <w:kern w:val="0"/>
          <w:sz w:val="22"/>
          <w:szCs w:val="22"/>
          <w14:ligatures w14:val="none"/>
        </w:rPr>
        <w:t> assists providers with identifying the appropriate E/M code based upon either the:</w:t>
      </w:r>
    </w:p>
    <w:p w14:paraId="30941FA1"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1995 or 1997 Documentation Guidelines for Evaluation and Management Services, or</w:t>
      </w:r>
    </w:p>
    <w:p w14:paraId="3D8E4066"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AMA CPT E/M Code Guideline Changes for 2021 (effective for office and outpatient visits for dates of service on and after January 1, 2021), or</w:t>
      </w:r>
    </w:p>
    <w:p w14:paraId="15496BE3"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E/M Code and Guideline Changes for 2023 (effective for other E/M visits for dates of service on and after January 1, 2023).</w:t>
      </w:r>
    </w:p>
    <w:p w14:paraId="3CBCAD58"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Since the 1995 and 1997 guidelines or AMA CPT E/M Code and guideline changes for 2021 and 2023 each specify different criteria to determine the level of E/M service performed, only one set of guidelines may be used to document a specific patient visit. For other E/M visit dates of service prior to January 1, 2023, this interactive worksheet offers providers the option to select either their preferred set of guidelines (1995 or 1997) or to select both sets for the purpose of comparison.</w:t>
      </w:r>
    </w:p>
    <w:p w14:paraId="2D52E68E" w14:textId="77777777" w:rsidR="00F5297E" w:rsidRPr="00F5297E" w:rsidRDefault="00F5297E" w:rsidP="00F5297E">
      <w:pPr>
        <w:shd w:val="clear" w:color="auto" w:fill="FFFFFF"/>
        <w:spacing w:before="360" w:after="0" w:line="240" w:lineRule="auto"/>
        <w:outlineLvl w:val="1"/>
        <w:rPr>
          <w:rFonts w:ascii="Tahoma" w:eastAsia="Times New Roman" w:hAnsi="Tahoma" w:cs="Tahoma"/>
          <w:b/>
          <w:bCs/>
          <w:color w:val="222222"/>
          <w:kern w:val="0"/>
          <w:sz w:val="33"/>
          <w:szCs w:val="33"/>
          <w14:ligatures w14:val="none"/>
        </w:rPr>
      </w:pPr>
      <w:bookmarkStart w:id="2" w:name="P53_4522"/>
      <w:bookmarkEnd w:id="2"/>
      <w:r w:rsidRPr="00F5297E">
        <w:rPr>
          <w:rFonts w:ascii="Tahoma" w:eastAsia="Times New Roman" w:hAnsi="Tahoma" w:cs="Tahoma"/>
          <w:b/>
          <w:bCs/>
          <w:color w:val="222222"/>
          <w:kern w:val="0"/>
          <w:sz w:val="33"/>
          <w:szCs w:val="33"/>
          <w14:ligatures w14:val="none"/>
        </w:rPr>
        <w:t>General E/M services</w:t>
      </w:r>
    </w:p>
    <w:p w14:paraId="6063AA67" w14:textId="77777777" w:rsidR="00F5297E" w:rsidRPr="00F5297E" w:rsidRDefault="00F5297E" w:rsidP="00F5297E">
      <w:pPr>
        <w:shd w:val="clear" w:color="auto" w:fill="FFFFFF"/>
        <w:spacing w:before="240" w:after="360" w:line="336" w:lineRule="atLeast"/>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Effective January 1, 2023, the AMA CPT Editorial Panel approved revised coding and updated guidelines for "Other E/M visits" (which includes hospital inpatient, hospital observation, emergency department, nursing facility, home or residence services, and cognitive impairment assessments). CMS is adopting most of the CPT’s revised guidance, including deletion of several CPT codes.</w:t>
      </w:r>
    </w:p>
    <w:p w14:paraId="6A8D22EF" w14:textId="77777777" w:rsidR="00F5297E" w:rsidRPr="00F5297E" w:rsidRDefault="00F5297E" w:rsidP="00F5297E">
      <w:pPr>
        <w:shd w:val="clear" w:color="auto" w:fill="FFFFFF"/>
        <w:spacing w:before="240" w:after="360" w:line="336" w:lineRule="atLeast"/>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Effective for dates of service (DOS) on and after January 1, 2023, practitioners have the choice to document most E/M visits via medical decision making (MDM) or time, except emergency department visits and cognitive impairment assessments, which are not timed services.</w:t>
      </w:r>
    </w:p>
    <w:p w14:paraId="43820BC8" w14:textId="77777777" w:rsidR="00F5297E" w:rsidRPr="00F5297E" w:rsidRDefault="00F5297E" w:rsidP="00F5297E">
      <w:pPr>
        <w:shd w:val="clear" w:color="auto" w:fill="FFFFFF"/>
        <w:spacing w:before="240" w:after="360" w:line="336" w:lineRule="atLeast"/>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The E/M code and guideline changes are like those already applied to office and other outpatient visits, which were effective for dates of service on and after January 1, 2021.</w:t>
      </w:r>
    </w:p>
    <w:p w14:paraId="6F0AD324" w14:textId="77777777" w:rsidR="00F5297E" w:rsidRPr="00F5297E" w:rsidRDefault="00F5297E" w:rsidP="00F5297E">
      <w:pPr>
        <w:shd w:val="clear" w:color="auto" w:fill="FFFFFF"/>
        <w:spacing w:before="240" w:after="360" w:line="336" w:lineRule="atLeast"/>
        <w:rPr>
          <w:rFonts w:ascii="Tahoma" w:eastAsia="Times New Roman" w:hAnsi="Tahoma" w:cs="Tahoma"/>
          <w:color w:val="202020"/>
          <w:kern w:val="0"/>
          <w:sz w:val="22"/>
          <w:szCs w:val="22"/>
          <w14:ligatures w14:val="none"/>
        </w:rPr>
      </w:pPr>
      <w:r w:rsidRPr="00F5297E">
        <w:rPr>
          <w:rFonts w:ascii="Arial" w:eastAsia="Times New Roman" w:hAnsi="Arial" w:cs="Arial"/>
          <w:color w:val="0000FF"/>
          <w:kern w:val="0"/>
          <w14:ligatures w14:val="none"/>
        </w:rPr>
        <w:t>View the details regarding the AMA's </w:t>
      </w:r>
      <w:hyperlink r:id="rId12" w:tgtFrame="_blank" w:history="1">
        <w:r w:rsidRPr="00F5297E">
          <w:rPr>
            <w:rFonts w:ascii="Arial" w:eastAsia="Times New Roman" w:hAnsi="Arial" w:cs="Arial"/>
            <w:color w:val="0000FF"/>
            <w:kern w:val="0"/>
            <w14:ligatures w14:val="none"/>
          </w:rPr>
          <w:t>2021 changes to office and outpatient E/M services</w:t>
        </w:r>
      </w:hyperlink>
      <w:r w:rsidRPr="00F5297E">
        <w:rPr>
          <w:rFonts w:ascii="Arial" w:eastAsia="Times New Roman" w:hAnsi="Arial" w:cs="Arial"/>
          <w:color w:val="0000FF"/>
          <w:kern w:val="0"/>
          <w14:ligatures w14:val="none"/>
        </w:rPr>
        <w:t> and the </w:t>
      </w:r>
      <w:hyperlink r:id="rId13" w:tgtFrame="_blank" w:history="1">
        <w:r w:rsidRPr="00F5297E">
          <w:rPr>
            <w:rFonts w:ascii="Arial" w:eastAsia="Times New Roman" w:hAnsi="Arial" w:cs="Arial"/>
            <w:color w:val="0000FF"/>
            <w:kern w:val="0"/>
            <w14:ligatures w14:val="none"/>
          </w:rPr>
          <w:t>2023 changes to other E/M visits</w:t>
        </w:r>
      </w:hyperlink>
      <w:r w:rsidRPr="00F5297E">
        <w:rPr>
          <w:rFonts w:ascii="Arial" w:eastAsia="Times New Roman" w:hAnsi="Arial" w:cs="Arial"/>
          <w:color w:val="0000FF"/>
          <w:kern w:val="0"/>
          <w14:ligatures w14:val="none"/>
        </w:rPr>
        <w:t>. Be aware CMS did not adopt the changes regarding prolonged services</w:t>
      </w:r>
    </w:p>
    <w:p w14:paraId="0D5303F8"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lastRenderedPageBreak/>
        <w:t>1. </w:t>
      </w:r>
      <w:r w:rsidRPr="00F5297E">
        <w:rPr>
          <w:rFonts w:ascii="Arial" w:eastAsia="Times New Roman" w:hAnsi="Arial" w:cs="Arial"/>
          <w:b/>
          <w:bCs/>
          <w:color w:val="202020"/>
          <w:kern w:val="0"/>
          <w14:ligatures w14:val="none"/>
        </w:rPr>
        <w:t>If a physician sees a patient in the office in the morning for a new condition and again in the afternoon because the condition has worsened, should modifier -25 be appended the afternoon visit?</w:t>
      </w:r>
    </w:p>
    <w:p w14:paraId="44CBE62F"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No. The physician would be expected to combine the documentation of both encounters and bill one E/M based on the combined documentation. Modifier -25 would not be appropriate for this scenario. Modifier -25 is used to identify a significantly, separately identifiable E/M service performed by a physician on the same date as a procedure or other service.</w:t>
      </w:r>
    </w:p>
    <w:p w14:paraId="5D4A6F8A"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2. </w:t>
      </w:r>
      <w:r w:rsidRPr="00F5297E">
        <w:rPr>
          <w:rFonts w:ascii="Arial" w:eastAsia="Times New Roman" w:hAnsi="Arial" w:cs="Arial"/>
          <w:b/>
          <w:bCs/>
          <w:color w:val="202020"/>
          <w:kern w:val="0"/>
          <w14:ligatures w14:val="none"/>
        </w:rPr>
        <w:t>Is it possible for the same physician to bill and be paid for a second E/M service on the same date of service for the same patient?</w:t>
      </w:r>
    </w:p>
    <w:p w14:paraId="0BA5F281"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If a second E/M service is required on the same date of service, the documentation should clearly provide evidence of the second E/M service occurring, the reason for the additional E/M service, and documentation of the medical necessity of the second E/M service. When reporting a second E/M service on the same date, the service will initially deny as only one E/M is reimbursable per day, per patient, per physician or same group, same specialty You may appeal the denial with documentation. Novitas Solutions would not expect to see two E/M services reported on the same date on a routine basis. Information on the appeals process is available in the </w:t>
      </w:r>
      <w:hyperlink r:id="rId14" w:tgtFrame="_top" w:history="1">
        <w:r w:rsidRPr="00F5297E">
          <w:rPr>
            <w:rFonts w:ascii="Arial" w:eastAsia="Times New Roman" w:hAnsi="Arial" w:cs="Arial"/>
            <w:color w:val="0000FF"/>
            <w:kern w:val="0"/>
            <w14:ligatures w14:val="none"/>
          </w:rPr>
          <w:t>Part B Appeals Reference Guide</w:t>
        </w:r>
      </w:hyperlink>
      <w:r w:rsidRPr="00F5297E">
        <w:rPr>
          <w:rFonts w:ascii="Arial" w:eastAsia="Times New Roman" w:hAnsi="Arial" w:cs="Arial"/>
          <w:color w:val="0000FF"/>
          <w:kern w:val="0"/>
          <w14:ligatures w14:val="none"/>
        </w:rPr>
        <w:t>.</w:t>
      </w:r>
    </w:p>
    <w:p w14:paraId="7854EB84"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3. </w:t>
      </w:r>
      <w:r w:rsidRPr="00F5297E">
        <w:rPr>
          <w:rFonts w:ascii="Arial" w:eastAsia="Times New Roman" w:hAnsi="Arial" w:cs="Arial"/>
          <w:b/>
          <w:bCs/>
          <w:color w:val="202020"/>
          <w:kern w:val="0"/>
          <w14:ligatures w14:val="none"/>
        </w:rPr>
        <w:t>How do you bill E/M services performed on the same day as other services?</w:t>
      </w:r>
    </w:p>
    <w:p w14:paraId="6CDC310B"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It may be necessary to indicate that on the day a procedure or service identified by a CPT code was performed, the patient’s condition required a significant, separately identifiable E/M service above and beyond the other service provided or beyond the usual preoperative and postoperative care associated with the procedure that was performed. A significant, separately identifiable E/M service is defined or substantiated by documentation that satisfies the relevant criteria for the respective E/M service to be reported (see Evaluation and Management Services Guidelines for instructions on determining level of E/M service).</w:t>
      </w:r>
    </w:p>
    <w:p w14:paraId="56526A35"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E/M services may be prompted by the symptoms or condition for which the procedure and/or service was provided. As such, different diagnoses are not required for reporting of the E/M services on the same date. This circumstance may be reported by adding modifier 25 to the appropriate level of E/M service.</w:t>
      </w:r>
    </w:p>
    <w:p w14:paraId="32C14CCB"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Arial" w:eastAsia="Times New Roman" w:hAnsi="Arial" w:cs="Arial"/>
          <w:color w:val="202020"/>
          <w:kern w:val="0"/>
          <w14:ligatures w14:val="none"/>
        </w:rPr>
        <w:t>Note:</w:t>
      </w:r>
      <w:r w:rsidRPr="00F5297E">
        <w:rPr>
          <w:rFonts w:ascii="Tahoma" w:eastAsia="Times New Roman" w:hAnsi="Tahoma" w:cs="Tahoma"/>
          <w:color w:val="202020"/>
          <w:kern w:val="0"/>
          <w:sz w:val="22"/>
          <w:szCs w:val="22"/>
          <w14:ligatures w14:val="none"/>
        </w:rPr>
        <w:t> This modifier is not used to report an E/M service that resulted in a decision to perform major surgery; see modifier 57. For significant, separately identifiable non-E/M services, see modifier 59.</w:t>
      </w:r>
    </w:p>
    <w:p w14:paraId="3CABE3E9"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For more information and proper usage of modifier 25, please refer to </w:t>
      </w:r>
      <w:hyperlink r:id="rId15" w:tgtFrame="_top" w:history="1">
        <w:r w:rsidRPr="00F5297E">
          <w:rPr>
            <w:rFonts w:ascii="Arial" w:eastAsia="Times New Roman" w:hAnsi="Arial" w:cs="Arial"/>
            <w:color w:val="0000FF"/>
            <w:kern w:val="0"/>
            <w14:ligatures w14:val="none"/>
          </w:rPr>
          <w:t>Modifier 25 Fact Sheet</w:t>
        </w:r>
      </w:hyperlink>
      <w:r w:rsidRPr="00F5297E">
        <w:rPr>
          <w:rFonts w:ascii="Tahoma" w:eastAsia="Times New Roman" w:hAnsi="Tahoma" w:cs="Tahoma"/>
          <w:color w:val="202020"/>
          <w:kern w:val="0"/>
          <w:sz w:val="22"/>
          <w:szCs w:val="22"/>
          <w14:ligatures w14:val="none"/>
        </w:rPr>
        <w:t> and </w:t>
      </w:r>
      <w:hyperlink r:id="rId16" w:tgtFrame="_top" w:history="1">
        <w:r w:rsidRPr="00F5297E">
          <w:rPr>
            <w:rFonts w:ascii="Arial" w:eastAsia="Times New Roman" w:hAnsi="Arial" w:cs="Arial"/>
            <w:color w:val="0000FF"/>
            <w:kern w:val="0"/>
            <w14:ligatures w14:val="none"/>
          </w:rPr>
          <w:t>Modifier 25 Tips</w:t>
        </w:r>
      </w:hyperlink>
      <w:r w:rsidRPr="00F5297E">
        <w:rPr>
          <w:rFonts w:ascii="Tahoma" w:eastAsia="Times New Roman" w:hAnsi="Tahoma" w:cs="Tahoma"/>
          <w:color w:val="202020"/>
          <w:kern w:val="0"/>
          <w:sz w:val="22"/>
          <w:szCs w:val="22"/>
          <w14:ligatures w14:val="none"/>
        </w:rPr>
        <w:t>.</w:t>
      </w:r>
    </w:p>
    <w:p w14:paraId="29532528"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4. </w:t>
      </w:r>
      <w:r w:rsidRPr="00F5297E">
        <w:rPr>
          <w:rFonts w:ascii="Arial" w:eastAsia="Times New Roman" w:hAnsi="Arial" w:cs="Arial"/>
          <w:b/>
          <w:bCs/>
          <w:color w:val="202020"/>
          <w:kern w:val="0"/>
          <w14:ligatures w14:val="none"/>
        </w:rPr>
        <w:t>How does Novitas review an E/M billed with modifier -25?</w:t>
      </w:r>
    </w:p>
    <w:p w14:paraId="75C53C41"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Modifier -25 is used to report significant and separately identifiable E/M services by the same physician on the same day of the procedure or other service. In the review of E/M services billed with the -25 modifier, we will first identify within the medical records the documentation specific to the procedure or service performed on that date of service. We also consider the additional documentation for the additional service separate from the documentation specific to the initial procedure or service to determine:</w:t>
      </w:r>
    </w:p>
    <w:p w14:paraId="2AA589D1"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If there is a significant, separately identifiable E/M service that was rendered and documented, and</w:t>
      </w:r>
    </w:p>
    <w:p w14:paraId="2BA4E8AD"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If the required components of the E/M service are supported as "reasonable and necessary" per Social Security Act, Section 1862(a)(1)(A), and</w:t>
      </w:r>
    </w:p>
    <w:p w14:paraId="707EEED7"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If the level of care is supported by the documentation contained in the medical records.</w:t>
      </w:r>
    </w:p>
    <w:p w14:paraId="509D9E92"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5. </w:t>
      </w:r>
      <w:r w:rsidRPr="00F5297E">
        <w:rPr>
          <w:rFonts w:ascii="Arial" w:eastAsia="Times New Roman" w:hAnsi="Arial" w:cs="Arial"/>
          <w:b/>
          <w:bCs/>
          <w:color w:val="202020"/>
          <w:kern w:val="0"/>
          <w14:ligatures w14:val="none"/>
        </w:rPr>
        <w:t>Can two physicians in the same group practice, who see the same patient on the same day, each bill for an E/M service and receive payment?</w:t>
      </w:r>
    </w:p>
    <w:p w14:paraId="49D9399B"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lastRenderedPageBreak/>
        <w:t>Physicians in the same group practice but who are in different specialties may bill and be paid separately without regard to their membership in the same group.</w:t>
      </w:r>
    </w:p>
    <w:p w14:paraId="2D83BEBC"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Physicians in the same group practice who are in the same specialty must bill and be paid as though they were a single physician. If more than one evaluation and management (face-to-face) service is provided on the same day to the same patient by the same physician or more than one physician in the same specialty in the same group, only one evaluation and management service may be reported unless the evaluation and management services are for unrelated problems. Instead of billing separately, the physicians should select a level of service representative of the combined visits and submit the appropriate code for that level.</w:t>
      </w:r>
    </w:p>
    <w:p w14:paraId="3238FA74"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Arial" w:eastAsia="Times New Roman" w:hAnsi="Arial" w:cs="Arial"/>
          <w:color w:val="202020"/>
          <w:kern w:val="0"/>
          <w14:ligatures w14:val="none"/>
        </w:rPr>
        <w:t>Reference</w:t>
      </w:r>
    </w:p>
    <w:p w14:paraId="4EED0AE8"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hyperlink r:id="rId17" w:tgtFrame="_blank" w:history="1">
        <w:r w:rsidRPr="00F5297E">
          <w:rPr>
            <w:rFonts w:ascii="Arial" w:eastAsia="Times New Roman" w:hAnsi="Arial" w:cs="Arial"/>
            <w:color w:val="0000FF"/>
            <w:kern w:val="0"/>
            <w14:ligatures w14:val="none"/>
          </w:rPr>
          <w:t>CMS IOM Pub. 100-04 Medicare Claims Processing Manual, Chapter 12, section 30.6.5</w:t>
        </w:r>
      </w:hyperlink>
    </w:p>
    <w:p w14:paraId="76C84D28"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6. </w:t>
      </w:r>
      <w:r w:rsidRPr="00F5297E">
        <w:rPr>
          <w:rFonts w:ascii="Arial" w:eastAsia="Times New Roman" w:hAnsi="Arial" w:cs="Arial"/>
          <w:b/>
          <w:bCs/>
          <w:color w:val="202020"/>
          <w:kern w:val="0"/>
          <w14:ligatures w14:val="none"/>
        </w:rPr>
        <w:t>How is the -AI modifier used?</w:t>
      </w:r>
    </w:p>
    <w:p w14:paraId="7D44E06D"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The principal physician of record appends modifier “-AI” to their initial hospital care visit code. This modifier identifies the physician who oversees the patient’s care from all other physicians who may be furnishing specialty care. All other physicians who perform an initial evaluation on this patient bill without the "-AI" to indicate specialty care.</w:t>
      </w:r>
    </w:p>
    <w:p w14:paraId="5662C130"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This modifier is informational only. It does not affect reimbursement. Claims which include the “-AI” modifier on codes other than the initial hospital and nursing home visit codes (i.e., subsequent care codes or outpatient codes) will not be rejected and returned to the physician or provider.</w:t>
      </w:r>
    </w:p>
    <w:p w14:paraId="259A3790"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7. </w:t>
      </w:r>
      <w:r w:rsidRPr="00F5297E">
        <w:rPr>
          <w:rFonts w:ascii="Arial" w:eastAsia="Times New Roman" w:hAnsi="Arial" w:cs="Arial"/>
          <w:b/>
          <w:bCs/>
          <w:color w:val="202020"/>
          <w:kern w:val="0"/>
          <w14:ligatures w14:val="none"/>
        </w:rPr>
        <w:t>Can modifier -25 be used on 99211?</w:t>
      </w:r>
    </w:p>
    <w:p w14:paraId="28526316"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No, it is not appropriate to append modifier 25 to 99211. According to CMS, it is appropriate to append modifier -25 when the modifier indicates that a separately identifiable E/M service was performed that meets a higher complexity level of care than a service represented by 99211.</w:t>
      </w:r>
    </w:p>
    <w:p w14:paraId="7BAFF950"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Arial" w:eastAsia="Times New Roman" w:hAnsi="Arial" w:cs="Arial"/>
          <w:color w:val="202020"/>
          <w:kern w:val="0"/>
          <w14:ligatures w14:val="none"/>
        </w:rPr>
        <w:t>Ref</w:t>
      </w:r>
      <w:r w:rsidRPr="00F5297E">
        <w:rPr>
          <w:rFonts w:ascii="Arial" w:eastAsia="Times New Roman" w:hAnsi="Arial" w:cs="Arial"/>
          <w:b/>
          <w:bCs/>
          <w:color w:val="202020"/>
          <w:kern w:val="0"/>
          <w14:ligatures w14:val="none"/>
        </w:rPr>
        <w:t>erence</w:t>
      </w:r>
    </w:p>
    <w:p w14:paraId="28FC665A"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hyperlink r:id="rId18" w:tgtFrame="_blank" w:history="1">
        <w:r w:rsidRPr="00F5297E">
          <w:rPr>
            <w:rFonts w:ascii="Arial" w:eastAsia="Times New Roman" w:hAnsi="Arial" w:cs="Arial"/>
            <w:color w:val="0000FF"/>
            <w:kern w:val="0"/>
            <w14:ligatures w14:val="none"/>
          </w:rPr>
          <w:t>CMS IOM Pub. 100-04 Medicare Claims Processing Manual, Chapter 12, section 30.6.6</w:t>
        </w:r>
      </w:hyperlink>
    </w:p>
    <w:p w14:paraId="75EF60EF"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8. </w:t>
      </w:r>
      <w:r w:rsidRPr="00F5297E">
        <w:rPr>
          <w:rFonts w:ascii="Arial" w:eastAsia="Times New Roman" w:hAnsi="Arial" w:cs="Arial"/>
          <w:b/>
          <w:bCs/>
          <w:color w:val="202020"/>
          <w:kern w:val="0"/>
          <w14:ligatures w14:val="none"/>
        </w:rPr>
        <w:t>If a physician moves from one group practice to another, can the physician bill the patients as new if they go to the new practice?</w:t>
      </w:r>
    </w:p>
    <w:p w14:paraId="7B66B3A5"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The provider would not be able to bill previously seen patients as a new patient unless he meets the three-year guideline for a new patient visit.</w:t>
      </w:r>
    </w:p>
    <w:p w14:paraId="2E06C6D7"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A new patient is defined as a patient who has not received any professional services, i.e., E/M services or other face-to-face services from the physician or physician group practice within the previous three years.</w:t>
      </w:r>
    </w:p>
    <w:p w14:paraId="5506F05C"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Arial" w:eastAsia="Times New Roman" w:hAnsi="Arial" w:cs="Arial"/>
          <w:b/>
          <w:bCs/>
          <w:color w:val="202020"/>
          <w:kern w:val="0"/>
          <w14:ligatures w14:val="none"/>
        </w:rPr>
        <w:t>Reference</w:t>
      </w:r>
    </w:p>
    <w:p w14:paraId="063FD37D"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hyperlink r:id="rId19" w:tgtFrame="_blank" w:history="1">
        <w:r w:rsidRPr="00F5297E">
          <w:rPr>
            <w:rFonts w:ascii="Arial" w:eastAsia="Times New Roman" w:hAnsi="Arial" w:cs="Arial"/>
            <w:color w:val="0000FF"/>
            <w:kern w:val="0"/>
            <w14:ligatures w14:val="none"/>
          </w:rPr>
          <w:t>CMS IOM Pub. 100-04 Medicare Claims Processing Manual Chapter 12, section 30.6.7</w:t>
        </w:r>
      </w:hyperlink>
    </w:p>
    <w:p w14:paraId="59A1229F"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9. </w:t>
      </w:r>
      <w:r w:rsidRPr="00F5297E">
        <w:rPr>
          <w:rFonts w:ascii="Arial" w:eastAsia="Times New Roman" w:hAnsi="Arial" w:cs="Arial"/>
          <w:b/>
          <w:bCs/>
          <w:color w:val="202020"/>
          <w:kern w:val="0"/>
          <w14:ligatures w14:val="none"/>
        </w:rPr>
        <w:t>How is medical necessity considered when scoring medical records?</w:t>
      </w:r>
    </w:p>
    <w:p w14:paraId="15BA2127"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All services under Medicare must be reasonable and necessary as defined in Title XVIII of the Social Security Act, Section 1862(a)(1)(A). This section states, "…no payment may be made for any expenses incurred for items or services, which are not reasonable and necessary for the diagnosis or treatment of injury or to improve the functioning of a malformed body member." Therefore, medical necessity is the first consideration in reviewing all services.</w:t>
      </w:r>
    </w:p>
    <w:p w14:paraId="2096A485"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10. </w:t>
      </w:r>
      <w:r w:rsidRPr="00F5297E">
        <w:rPr>
          <w:rFonts w:ascii="Arial" w:eastAsia="Times New Roman" w:hAnsi="Arial" w:cs="Arial"/>
          <w:b/>
          <w:bCs/>
          <w:color w:val="202020"/>
          <w:kern w:val="0"/>
          <w14:ligatures w14:val="none"/>
        </w:rPr>
        <w:t>Is it acceptable to use abbreviations in the patient’s medical record?</w:t>
      </w:r>
    </w:p>
    <w:p w14:paraId="4E324381"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Abbreviations may be used in the patient's medical record. If your patients' medical records contain abbreviations not commonly used, and you receive a request for medical records, please provide a key to the abbreviations. Submit the key with the medical records to assist us in the review.</w:t>
      </w:r>
    </w:p>
    <w:p w14:paraId="795486C0" w14:textId="77777777" w:rsidR="00F5297E" w:rsidRPr="00F5297E" w:rsidRDefault="00F5297E" w:rsidP="00F5297E">
      <w:pPr>
        <w:shd w:val="clear" w:color="auto" w:fill="FFFFFF"/>
        <w:spacing w:before="360" w:after="0" w:line="240" w:lineRule="auto"/>
        <w:outlineLvl w:val="1"/>
        <w:rPr>
          <w:rFonts w:ascii="Tahoma" w:eastAsia="Times New Roman" w:hAnsi="Tahoma" w:cs="Tahoma"/>
          <w:b/>
          <w:bCs/>
          <w:color w:val="222222"/>
          <w:kern w:val="0"/>
          <w:sz w:val="33"/>
          <w:szCs w:val="33"/>
          <w14:ligatures w14:val="none"/>
        </w:rPr>
      </w:pPr>
      <w:bookmarkStart w:id="3" w:name="P93_12788"/>
      <w:bookmarkEnd w:id="3"/>
      <w:r w:rsidRPr="00F5297E">
        <w:rPr>
          <w:rFonts w:ascii="Tahoma" w:eastAsia="Times New Roman" w:hAnsi="Tahoma" w:cs="Tahoma"/>
          <w:b/>
          <w:bCs/>
          <w:color w:val="222222"/>
          <w:kern w:val="0"/>
          <w:sz w:val="33"/>
          <w:szCs w:val="33"/>
          <w14:ligatures w14:val="none"/>
        </w:rPr>
        <w:lastRenderedPageBreak/>
        <w:t>Medical decision making (MDM)</w:t>
      </w:r>
    </w:p>
    <w:p w14:paraId="3AC25A41"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1. </w:t>
      </w:r>
      <w:r w:rsidRPr="00F5297E">
        <w:rPr>
          <w:rFonts w:ascii="Arial" w:eastAsia="Times New Roman" w:hAnsi="Arial" w:cs="Arial"/>
          <w:b/>
          <w:bCs/>
          <w:color w:val="202020"/>
          <w:kern w:val="0"/>
          <w14:ligatures w14:val="none"/>
        </w:rPr>
        <w:t>If I personally review a film, e.g., x-ray, electrocardiogram in my office, will I receive credit in the amount and complexity of date to be reviewed and analyzed?</w:t>
      </w:r>
    </w:p>
    <w:p w14:paraId="4D0D35AC"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Credit may be given when a practitioner independently visualizes an image, tracing or specimen previously or subsequently interpreted by another physician. The medical record documentation must clearly indicate that the physician/qualified NPP personally (independently) visualized and performed the interpretation of the image, tracing, or specimen. Credit will not be given if the documentation reveals the practitioner only read/reviewed a report from another physician/qualified NPP.</w:t>
      </w:r>
    </w:p>
    <w:p w14:paraId="0ED0DAF5"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2. </w:t>
      </w:r>
      <w:r w:rsidRPr="00F5297E">
        <w:rPr>
          <w:rFonts w:ascii="Arial" w:eastAsia="Times New Roman" w:hAnsi="Arial" w:cs="Arial"/>
          <w:b/>
          <w:bCs/>
          <w:color w:val="202020"/>
          <w:kern w:val="0"/>
          <w14:ligatures w14:val="none"/>
        </w:rPr>
        <w:t>Can the independent visualization of a test be counted in medical decision making if the physician is also billing for the test?</w:t>
      </w:r>
    </w:p>
    <w:p w14:paraId="7D6CA9D0"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Per AMA, the ordering and actual performance and/or interpretation of diagnostic tests/studies during a patient encounter are not included in determining the levels of E/M services when the professional interpretation of those tests/studies is reported separately by the physician or other qualified health care professional reporting the E/M service. Tests that do not require separate interpretation (e.g., tests that are results only) and are analyzed as part of MDM do not count as an independent interpretation but may be counted as ordered or reviewed for selecting an MDM level. If a test/study is independently interpreted to manage the patient as part of the E/M service, but is not separately reported, it is part of MDM.</w:t>
      </w:r>
    </w:p>
    <w:p w14:paraId="4CBB9556"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For more information, please review the AMA's </w:t>
      </w:r>
      <w:hyperlink r:id="rId20" w:tgtFrame="_blank" w:history="1">
        <w:r w:rsidRPr="00F5297E">
          <w:rPr>
            <w:rFonts w:ascii="Arial" w:eastAsia="Times New Roman" w:hAnsi="Arial" w:cs="Arial"/>
            <w:color w:val="0000FF"/>
            <w:kern w:val="0"/>
            <w14:ligatures w14:val="none"/>
          </w:rPr>
          <w:t>2021 changes to office and outpatient E/M services</w:t>
        </w:r>
      </w:hyperlink>
      <w:r w:rsidRPr="00F5297E">
        <w:rPr>
          <w:rFonts w:ascii="Tahoma" w:eastAsia="Times New Roman" w:hAnsi="Tahoma" w:cs="Tahoma"/>
          <w:color w:val="202020"/>
          <w:kern w:val="0"/>
          <w:sz w:val="22"/>
          <w:szCs w:val="22"/>
          <w14:ligatures w14:val="none"/>
        </w:rPr>
        <w:t> and AMA's </w:t>
      </w:r>
      <w:hyperlink r:id="rId21" w:tgtFrame="_blank" w:history="1">
        <w:r w:rsidRPr="00F5297E">
          <w:rPr>
            <w:rFonts w:ascii="Arial" w:eastAsia="Times New Roman" w:hAnsi="Arial" w:cs="Arial"/>
            <w:color w:val="0000FF"/>
            <w:kern w:val="0"/>
            <w14:ligatures w14:val="none"/>
          </w:rPr>
          <w:t>2023 changes to other E/M visits</w:t>
        </w:r>
      </w:hyperlink>
      <w:r w:rsidRPr="00F5297E">
        <w:rPr>
          <w:rFonts w:ascii="Tahoma" w:eastAsia="Times New Roman" w:hAnsi="Tahoma" w:cs="Tahoma"/>
          <w:color w:val="202020"/>
          <w:kern w:val="0"/>
          <w:sz w:val="22"/>
          <w:szCs w:val="22"/>
          <w14:ligatures w14:val="none"/>
        </w:rPr>
        <w:t>.</w:t>
      </w:r>
    </w:p>
    <w:p w14:paraId="535CD8FC"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3. </w:t>
      </w:r>
      <w:r w:rsidRPr="00F5297E">
        <w:rPr>
          <w:rFonts w:ascii="Arial" w:eastAsia="Times New Roman" w:hAnsi="Arial" w:cs="Arial"/>
          <w:b/>
          <w:bCs/>
          <w:color w:val="202020"/>
          <w:kern w:val="0"/>
          <w14:ligatures w14:val="none"/>
        </w:rPr>
        <w:t>When auditing MDM, is there a list of drugs considered “drug therapy requiring intensive monitoring for toxicity?”</w:t>
      </w:r>
    </w:p>
    <w:p w14:paraId="2BFD2619"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CMS has not provided such a list however, this topic is addressed in the </w:t>
      </w:r>
      <w:hyperlink r:id="rId22" w:tgtFrame="_blank" w:history="1">
        <w:r w:rsidRPr="00F5297E">
          <w:rPr>
            <w:rFonts w:ascii="Arial" w:eastAsia="Times New Roman" w:hAnsi="Arial" w:cs="Arial"/>
            <w:color w:val="0000FF"/>
            <w:kern w:val="0"/>
            <w14:ligatures w14:val="none"/>
          </w:rPr>
          <w:t>AMA CPT® E/M code and guideline changes for 2021</w:t>
        </w:r>
      </w:hyperlink>
      <w:r w:rsidRPr="00F5297E">
        <w:rPr>
          <w:rFonts w:ascii="Arial" w:eastAsia="Times New Roman" w:hAnsi="Arial" w:cs="Arial"/>
          <w:color w:val="0000FF"/>
          <w:kern w:val="0"/>
          <w14:ligatures w14:val="none"/>
        </w:rPr>
        <w:t> as:</w:t>
      </w:r>
    </w:p>
    <w:p w14:paraId="29AB4BCC"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“Drug therapy requiring intensive monitoring for toxicity: A drug that requires intensive monitoring is a therapeutic agent that has the potential to cause serious morbidity or death. The monitoring is performed for assessment of these adverse effects and not primarily for assessment of therapeutic efficacy. The monitoring should be generally accepted practice for the agent but may be patient specific in some cases. Intensive monitoring may be long-term or short term. Long-term intensive monitoring is not less than quarterly. The monitoring may be by a lab test, a physiological test or imaging. Monitoring by history or examination does not qualify. The monitoring affects the level of medical decision making in an encounter in which it is considered in the management of the patient. Examples may include monitoring for a cytopenia in the use of an antineoplastic agent between dose cycles or the short-term intensive monitoring of electrolytes and renal function in a patient who is undergoing diuresis. Examples of monitoring that does not qualify include monitoring glucose levels during insulin therapy as the primary reason is the therapeutic effect (even if hypoglycemia is a concern); or annual electrolytes and renal function for a patient on a diuretic as the frequency does not meet the threshold.”</w:t>
      </w:r>
    </w:p>
    <w:p w14:paraId="2B87AC39" w14:textId="77777777" w:rsidR="00F5297E" w:rsidRPr="00F5297E" w:rsidRDefault="00F5297E" w:rsidP="00F5297E">
      <w:pPr>
        <w:shd w:val="clear" w:color="auto" w:fill="FFFFFF"/>
        <w:spacing w:before="360" w:after="0" w:line="240" w:lineRule="auto"/>
        <w:outlineLvl w:val="1"/>
        <w:rPr>
          <w:rFonts w:ascii="Tahoma" w:eastAsia="Times New Roman" w:hAnsi="Tahoma" w:cs="Tahoma"/>
          <w:b/>
          <w:bCs/>
          <w:color w:val="222222"/>
          <w:kern w:val="0"/>
          <w:sz w:val="33"/>
          <w:szCs w:val="33"/>
          <w14:ligatures w14:val="none"/>
        </w:rPr>
      </w:pPr>
      <w:bookmarkStart w:id="4" w:name="P102_16056"/>
      <w:bookmarkEnd w:id="4"/>
      <w:r w:rsidRPr="00F5297E">
        <w:rPr>
          <w:rFonts w:ascii="Tahoma" w:eastAsia="Times New Roman" w:hAnsi="Tahoma" w:cs="Tahoma"/>
          <w:b/>
          <w:bCs/>
          <w:color w:val="222222"/>
          <w:kern w:val="0"/>
          <w:sz w:val="33"/>
          <w:szCs w:val="33"/>
          <w14:ligatures w14:val="none"/>
        </w:rPr>
        <w:t>Time</w:t>
      </w:r>
    </w:p>
    <w:p w14:paraId="0EE6DBC1"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1. </w:t>
      </w:r>
      <w:r w:rsidRPr="00F5297E">
        <w:rPr>
          <w:rFonts w:ascii="Arial" w:eastAsia="Times New Roman" w:hAnsi="Arial" w:cs="Arial"/>
          <w:b/>
          <w:bCs/>
          <w:color w:val="202020"/>
          <w:kern w:val="0"/>
          <w14:ligatures w14:val="none"/>
        </w:rPr>
        <w:t>My patient visits are primarily counseling and coordination of care. How do I bill for this type of patient visit?</w:t>
      </w:r>
    </w:p>
    <w:p w14:paraId="498934CF"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 xml:space="preserve">For dates of service prior to January 1, 2021, for office and outpatient E/M codes and dates of service prior to January 1, 2023, for other E/M codes, when counseling and/or coordination of </w:t>
      </w:r>
      <w:r w:rsidRPr="00F5297E">
        <w:rPr>
          <w:rFonts w:ascii="Tahoma" w:eastAsia="Times New Roman" w:hAnsi="Tahoma" w:cs="Tahoma"/>
          <w:color w:val="202020"/>
          <w:kern w:val="0"/>
          <w:sz w:val="22"/>
          <w:szCs w:val="22"/>
          <w14:ligatures w14:val="none"/>
        </w:rPr>
        <w:lastRenderedPageBreak/>
        <w:t>care dominate more than 50% of the time a physician spends with a patient during an E/M service then time may be considered as the controlling factor to qualify the E/M service for a particular level of care. If the physician elects to report the level of care based on counseling and/or coordination of care, then several factors must be in the patient's medical record. The following must be in the patient's medical record to report an E/M service based on time:</w:t>
      </w:r>
    </w:p>
    <w:p w14:paraId="2FBBBDCB"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The total length of time of the E/M visit.</w:t>
      </w:r>
    </w:p>
    <w:p w14:paraId="506CF15B"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Evidence that more than half of the total length of time of the E/M visit was spent in counseling and coordinating care; and</w:t>
      </w:r>
    </w:p>
    <w:p w14:paraId="7E741D60"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The content of the counseling and coordination of care provided during the E/M visit.</w:t>
      </w:r>
    </w:p>
    <w:p w14:paraId="4797EC9A"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Tahoma" w:eastAsia="Times New Roman" w:hAnsi="Tahoma" w:cs="Tahoma"/>
          <w:color w:val="202020"/>
          <w:kern w:val="0"/>
          <w:sz w:val="22"/>
          <w:szCs w:val="22"/>
          <w14:ligatures w14:val="none"/>
        </w:rPr>
        <w:t>2. </w:t>
      </w:r>
      <w:r w:rsidRPr="00F5297E">
        <w:rPr>
          <w:rFonts w:ascii="Arial" w:eastAsia="Times New Roman" w:hAnsi="Arial" w:cs="Arial"/>
          <w:b/>
          <w:bCs/>
          <w:color w:val="202020"/>
          <w:kern w:val="0"/>
          <w14:ligatures w14:val="none"/>
        </w:rPr>
        <w:t>How is time currently calculated for E/M services?</w:t>
      </w:r>
    </w:p>
    <w:p w14:paraId="2A5CAC2F" w14:textId="77777777" w:rsidR="00F5297E" w:rsidRPr="00F5297E" w:rsidRDefault="00F5297E" w:rsidP="00F5297E">
      <w:pPr>
        <w:shd w:val="clear" w:color="auto" w:fill="FFFFFF"/>
        <w:spacing w:after="0" w:line="240" w:lineRule="auto"/>
        <w:rPr>
          <w:rFonts w:ascii="Tahoma" w:eastAsia="Times New Roman" w:hAnsi="Tahoma" w:cs="Tahoma"/>
          <w:color w:val="202020"/>
          <w:kern w:val="0"/>
          <w:sz w:val="22"/>
          <w:szCs w:val="22"/>
          <w14:ligatures w14:val="none"/>
        </w:rPr>
      </w:pPr>
      <w:r w:rsidRPr="00F5297E">
        <w:rPr>
          <w:rFonts w:ascii="Arial" w:eastAsia="Times New Roman" w:hAnsi="Arial" w:cs="Arial"/>
          <w:color w:val="202020"/>
          <w:kern w:val="0"/>
          <w14:ligatures w14:val="none"/>
        </w:rPr>
        <w:t>For </w:t>
      </w:r>
      <w:r w:rsidRPr="00F5297E">
        <w:rPr>
          <w:rFonts w:ascii="Tahoma" w:eastAsia="Times New Roman" w:hAnsi="Tahoma" w:cs="Tahoma"/>
          <w:color w:val="202020"/>
          <w:kern w:val="0"/>
          <w:sz w:val="22"/>
          <w:szCs w:val="22"/>
          <w14:ligatures w14:val="none"/>
        </w:rPr>
        <w:t>dates of service on and/or after January 1, 2021, for office and outpatient E/M codes and dates of service on and/or after January 1, 2023, for other E/M codes), th</w:t>
      </w:r>
      <w:r w:rsidRPr="00F5297E">
        <w:rPr>
          <w:rFonts w:ascii="Arial" w:eastAsia="Times New Roman" w:hAnsi="Arial" w:cs="Arial"/>
          <w:color w:val="202020"/>
          <w:kern w:val="0"/>
          <w14:ligatures w14:val="none"/>
        </w:rPr>
        <w:t>e level of E/M is based on the total time performed on the date of the encounter whether or not counseling or coordination of care dominates the service.</w:t>
      </w:r>
    </w:p>
    <w:p w14:paraId="31AD6DEE" w14:textId="77777777" w:rsidR="00C605FF" w:rsidRDefault="00C605FF"/>
    <w:sectPr w:rsidR="00C60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97E"/>
    <w:rsid w:val="005307DF"/>
    <w:rsid w:val="007D100C"/>
    <w:rsid w:val="00C605FF"/>
    <w:rsid w:val="00F52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C016D"/>
  <w15:chartTrackingRefBased/>
  <w15:docId w15:val="{F1C9A54D-3718-4552-8263-5E69F817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97E"/>
    <w:rPr>
      <w:rFonts w:eastAsiaTheme="majorEastAsia" w:cstheme="majorBidi"/>
      <w:color w:val="272727" w:themeColor="text1" w:themeTint="D8"/>
    </w:rPr>
  </w:style>
  <w:style w:type="paragraph" w:styleId="Title">
    <w:name w:val="Title"/>
    <w:basedOn w:val="Normal"/>
    <w:next w:val="Normal"/>
    <w:link w:val="TitleChar"/>
    <w:uiPriority w:val="10"/>
    <w:qFormat/>
    <w:rsid w:val="00F52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97E"/>
    <w:pPr>
      <w:spacing w:before="160"/>
      <w:jc w:val="center"/>
    </w:pPr>
    <w:rPr>
      <w:i/>
      <w:iCs/>
      <w:color w:val="404040" w:themeColor="text1" w:themeTint="BF"/>
    </w:rPr>
  </w:style>
  <w:style w:type="character" w:customStyle="1" w:styleId="QuoteChar">
    <w:name w:val="Quote Char"/>
    <w:basedOn w:val="DefaultParagraphFont"/>
    <w:link w:val="Quote"/>
    <w:uiPriority w:val="29"/>
    <w:rsid w:val="00F5297E"/>
    <w:rPr>
      <w:i/>
      <w:iCs/>
      <w:color w:val="404040" w:themeColor="text1" w:themeTint="BF"/>
    </w:rPr>
  </w:style>
  <w:style w:type="paragraph" w:styleId="ListParagraph">
    <w:name w:val="List Paragraph"/>
    <w:basedOn w:val="Normal"/>
    <w:uiPriority w:val="34"/>
    <w:qFormat/>
    <w:rsid w:val="00F5297E"/>
    <w:pPr>
      <w:ind w:left="720"/>
      <w:contextualSpacing/>
    </w:pPr>
  </w:style>
  <w:style w:type="character" w:styleId="IntenseEmphasis">
    <w:name w:val="Intense Emphasis"/>
    <w:basedOn w:val="DefaultParagraphFont"/>
    <w:uiPriority w:val="21"/>
    <w:qFormat/>
    <w:rsid w:val="00F5297E"/>
    <w:rPr>
      <w:i/>
      <w:iCs/>
      <w:color w:val="0F4761" w:themeColor="accent1" w:themeShade="BF"/>
    </w:rPr>
  </w:style>
  <w:style w:type="paragraph" w:styleId="IntenseQuote">
    <w:name w:val="Intense Quote"/>
    <w:basedOn w:val="Normal"/>
    <w:next w:val="Normal"/>
    <w:link w:val="IntenseQuoteChar"/>
    <w:uiPriority w:val="30"/>
    <w:qFormat/>
    <w:rsid w:val="00F52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97E"/>
    <w:rPr>
      <w:i/>
      <w:iCs/>
      <w:color w:val="0F4761" w:themeColor="accent1" w:themeShade="BF"/>
    </w:rPr>
  </w:style>
  <w:style w:type="character" w:styleId="IntenseReference">
    <w:name w:val="Intense Reference"/>
    <w:basedOn w:val="DefaultParagraphFont"/>
    <w:uiPriority w:val="32"/>
    <w:qFormat/>
    <w:rsid w:val="00F529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assn.org/system/files/2019-06/cpt-office-prolonged-svs-code-changes.pdf" TargetMode="External"/><Relationship Id="rId13" Type="http://schemas.openxmlformats.org/officeDocument/2006/relationships/hyperlink" Target="https://www.ama-assn.org/system/files/2023-e-m-descriptors-guidelines.pdf" TargetMode="External"/><Relationship Id="rId18" Type="http://schemas.openxmlformats.org/officeDocument/2006/relationships/hyperlink" Target="https://www.cms.gov/Regulations-and-Guidance/Guidance/Manuals/Downloads/clm104c12.pdf" TargetMode="External"/><Relationship Id="rId3" Type="http://schemas.openxmlformats.org/officeDocument/2006/relationships/webSettings" Target="webSettings.xml"/><Relationship Id="rId21" Type="http://schemas.openxmlformats.org/officeDocument/2006/relationships/hyperlink" Target="https://www.ama-assn.org/system/files/2023-e-m-descriptors-guidelines.pdf" TargetMode="External"/><Relationship Id="rId7" Type="http://schemas.openxmlformats.org/officeDocument/2006/relationships/hyperlink" Target="https://www.aapc.com/evaluation-management/em-codes-changes-2021.aspx" TargetMode="External"/><Relationship Id="rId12" Type="http://schemas.openxmlformats.org/officeDocument/2006/relationships/hyperlink" Target="https://www.ama-assn.org/system/files/2019-06/cpt-office-prolonged-svs-code-changes.pdf" TargetMode="External"/><Relationship Id="rId17" Type="http://schemas.openxmlformats.org/officeDocument/2006/relationships/hyperlink" Target="https://www.cms.gov/Regulations-and-Guidance/Guidance/Manuals/Downloads/clm104c12.pdf" TargetMode="External"/><Relationship Id="rId2" Type="http://schemas.openxmlformats.org/officeDocument/2006/relationships/settings" Target="settings.xml"/><Relationship Id="rId16" Type="http://schemas.openxmlformats.org/officeDocument/2006/relationships/hyperlink" Target="https://www.novitas-solutions.com/webcenter/portal/MedicareJH/pagebyid?contentId=00153948" TargetMode="External"/><Relationship Id="rId20" Type="http://schemas.openxmlformats.org/officeDocument/2006/relationships/hyperlink" Target="https://www.ama-assn.org/system/files/2019-06/cpt-office-prolonged-svs-code-changes.pdf" TargetMode="External"/><Relationship Id="rId1" Type="http://schemas.openxmlformats.org/officeDocument/2006/relationships/styles" Target="styles.xml"/><Relationship Id="rId6" Type="http://schemas.openxmlformats.org/officeDocument/2006/relationships/hyperlink" Target="https://www.ama-assn.org/system/files/2019-06/cpt-office-prolonged-svs-code-changes.pdf" TargetMode="External"/><Relationship Id="rId11" Type="http://schemas.openxmlformats.org/officeDocument/2006/relationships/hyperlink" Target="https://www.novitas-solutions.com/webcenter/portal/MedicareJL/EMScoreSheet" TargetMode="External"/><Relationship Id="rId24" Type="http://schemas.openxmlformats.org/officeDocument/2006/relationships/theme" Target="theme/theme1.xml"/><Relationship Id="rId5" Type="http://schemas.openxmlformats.org/officeDocument/2006/relationships/hyperlink" Target="https://www.ama-assn.org/system/files/2023-e-m-descriptors-guidelines.pdf" TargetMode="External"/><Relationship Id="rId15" Type="http://schemas.openxmlformats.org/officeDocument/2006/relationships/hyperlink" Target="https://www.novitas-solutions.com/webcenter/portal/MedicareJH/pagebyid?contentId=00097341" TargetMode="External"/><Relationship Id="rId23" Type="http://schemas.openxmlformats.org/officeDocument/2006/relationships/fontTable" Target="fontTable.xml"/><Relationship Id="rId10" Type="http://schemas.openxmlformats.org/officeDocument/2006/relationships/hyperlink" Target="https://www.novitas-solutions.com/webcenter/portal/MedicareJH/EMScoreSheet" TargetMode="External"/><Relationship Id="rId19" Type="http://schemas.openxmlformats.org/officeDocument/2006/relationships/hyperlink" Target="https://www.cms.gov/Regulations-and-Guidance/Guidance/Manuals/Downloads/clm104c12.pdf" TargetMode="External"/><Relationship Id="rId4" Type="http://schemas.openxmlformats.org/officeDocument/2006/relationships/hyperlink" Target="https://www.ama-assn.org/system/files/2019-06/cpt-office-prolonged-svs-code-changes.pdf" TargetMode="External"/><Relationship Id="rId9" Type="http://schemas.openxmlformats.org/officeDocument/2006/relationships/hyperlink" Target="https://www.ama-assn.org/system/files/2019-06/cpt-office-prolonged-svs-code-changes.pdf" TargetMode="External"/><Relationship Id="rId14" Type="http://schemas.openxmlformats.org/officeDocument/2006/relationships/hyperlink" Target="https://www.novitas-solutions.com/webcenter/portal/MedicareJH/pagebyid?contentId=00002675" TargetMode="External"/><Relationship Id="rId22" Type="http://schemas.openxmlformats.org/officeDocument/2006/relationships/hyperlink" Target="https://www.ama-assn.org/system/files/2019-06/cpt-office-prolonged-svs-code-chang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2900</Words>
  <Characters>16535</Characters>
  <Application>Microsoft Office Word</Application>
  <DocSecurity>0</DocSecurity>
  <Lines>137</Lines>
  <Paragraphs>38</Paragraphs>
  <ScaleCrop>false</ScaleCrop>
  <Company/>
  <LinksUpToDate>false</LinksUpToDate>
  <CharactersWithSpaces>19397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James</dc:creator>
  <cp:keywords/>
  <dc:description/>
  <cp:lastModifiedBy>Michael James</cp:lastModifiedBy>
  <cp:revision>1</cp:revision>
  <dcterms:created xsi:type="dcterms:W3CDTF">2026-07-16T23:29:00Z</dcterms:created>
  <dcterms:modified xsi:type="dcterms:W3CDTF">2026-07-16T23:29:00Z</dcterms:modified>
</cp:coreProperties>
</file>