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595959"/>
          <w:sz w:val="30"/>
          <w:szCs w:val="30"/>
        </w:rPr>
        <w:t xml:space="preserve">TRIMERA HEALTH</w:t>
      </w:r>
    </w:p>
    <w:p>
      <w:pPr>
        <w:spacing w:after="0" w:before="120"/>
        <w:jc w:val="center"/>
      </w:pPr>
      <w:r>
        <w:rPr>
          <w:b/>
          <w:bCs/>
          <w:color w:val="1F3864"/>
          <w:sz w:val="56"/>
          <w:szCs w:val="56"/>
        </w:rPr>
        <w:t xml:space="preserve">Documentation &amp; Coding Standards Manual</w:t>
      </w:r>
    </w:p>
    <w:p>
      <w:pPr>
        <w:spacing w:after="0" w:before="240"/>
        <w:jc w:val="center"/>
      </w:pPr>
      <w:r>
        <w:rPr>
          <w:color w:val="2E5A88"/>
          <w:sz w:val="26"/>
          <w:szCs w:val="26"/>
        </w:rPr>
        <w:t xml:space="preserve">Version 1.0</w:t>
      </w:r>
    </w:p>
    <w:p>
      <w:pPr>
        <w:spacing w:after="0" w:before="720"/>
        <w:jc w:val="center"/>
      </w:pPr>
      <w:r>
        <w:rPr>
          <w:i/>
          <w:iCs/>
          <w:color w:val="595959"/>
          <w:sz w:val="22"/>
          <w:szCs w:val="22"/>
        </w:rPr>
        <w:t xml:space="preserve">An Authoritative Reference for Outpatient Psychiatric Documentation, Evaluation &amp; Management Coding, Psychotherapy Coding, Spravato and TMS Billing Compliance, and AI-Assisted Pre-Submission Documentation Review</w:t>
      </w:r>
    </w:p>
    <w:p>
      <w:pPr>
        <w:pBdr>
          <w:top w:val="single" w:color="9C6B14" w:sz="8" w:space="8"/>
        </w:pBdr>
        <w:spacing w:after="0" w:before="1200"/>
        <w:jc w:val="center"/>
      </w:pPr>
      <w:r>
        <w:rPr>
          <w:b/>
          <w:bCs/>
          <w:color w:val="9C6B14"/>
          <w:sz w:val="18"/>
          <w:szCs w:val="18"/>
        </w:rPr>
        <w:t xml:space="preserve">PREPARED FOR PROVIDER, CODING, AND COMPLIANCE USE</w:t>
      </w:r>
    </w:p>
    <w:p>
      <w:pPr>
        <w:spacing w:after="0" w:before="80"/>
        <w:jc w:val="center"/>
      </w:pPr>
      <w:r>
        <w:rPr>
          <w:b/>
          <w:bCs/>
          <w:color w:val="9C6B14"/>
          <w:sz w:val="18"/>
          <w:szCs w:val="18"/>
        </w:rPr>
        <w:t xml:space="preserve">AND AS THE GOVERNING KNOWLEDGE BASE FOR THE TRIMERA AI DOCUMENTATION AUDITOR</w:t>
      </w:r>
    </w:p>
    <w:p>
      <w:r>
        <w:br w:type="page"/>
      </w:r>
    </w:p>
    <w:p>
      <w:pPr>
        <w:pStyle w:val="Heading1"/>
        <w:spacing w:after="240"/>
      </w:pPr>
      <w:r>
        <w:rPr>
          <w:b/>
          <w:bCs/>
          <w:color w:val="1F3864"/>
          <w:sz w:val="32"/>
          <w:szCs w:val="32"/>
        </w:rPr>
        <w:t xml:space="preserve">Table of Contents</w:t>
      </w:r>
    </w:p>
    <w:p>
      <w:pPr>
        <w:tabs>
          <w:tab w:val="right" w:pos="9026" w:leader="dot"/>
        </w:tabs>
        <w:spacing w:after="160"/>
      </w:pPr>
      <w:r>
        <w:rPr>
          <w:b/>
          <w:bCs/>
          <w:color w:val="1F3864"/>
          <w:sz w:val="22"/>
          <w:szCs w:val="22"/>
        </w:rPr>
        <w:t xml:space="preserve">Chapter 1 — Introduction, Purpose, and Scope</w:t>
      </w:r>
      <w:r>
        <w:rPr>
          <w:color w:val="595959"/>
          <w:sz w:val="22"/>
          <w:szCs w:val="22"/>
        </w:rPr>
        <w:t xml:space="preserve">	3</w:t>
      </w:r>
    </w:p>
    <w:p>
      <w:pPr>
        <w:tabs>
          <w:tab w:val="right" w:pos="9026" w:leader="dot"/>
        </w:tabs>
        <w:spacing w:after="160"/>
      </w:pPr>
      <w:r>
        <w:rPr>
          <w:b/>
          <w:bCs/>
          <w:color w:val="1F3864"/>
          <w:sz w:val="22"/>
          <w:szCs w:val="22"/>
        </w:rPr>
        <w:t xml:space="preserve">Chapter 2 — Medical Decision Making: Problems Addressed</w:t>
      </w:r>
      <w:r>
        <w:rPr>
          <w:color w:val="595959"/>
          <w:sz w:val="22"/>
          <w:szCs w:val="22"/>
        </w:rPr>
        <w:t xml:space="preserve">	8</w:t>
      </w:r>
    </w:p>
    <w:p>
      <w:pPr>
        <w:tabs>
          <w:tab w:val="right" w:pos="9026" w:leader="dot"/>
        </w:tabs>
        <w:spacing w:after="160"/>
      </w:pPr>
      <w:r>
        <w:rPr>
          <w:b/>
          <w:bCs/>
          <w:color w:val="1F3864"/>
          <w:sz w:val="22"/>
          <w:szCs w:val="22"/>
        </w:rPr>
        <w:t xml:space="preserve">Chapter 3 — Medical Decision Making: Data Reviewed and Analyzed</w:t>
      </w:r>
      <w:r>
        <w:rPr>
          <w:color w:val="595959"/>
          <w:sz w:val="22"/>
          <w:szCs w:val="22"/>
        </w:rPr>
        <w:t xml:space="preserve">	15</w:t>
      </w:r>
    </w:p>
    <w:p>
      <w:pPr>
        <w:tabs>
          <w:tab w:val="right" w:pos="9026" w:leader="dot"/>
        </w:tabs>
        <w:spacing w:after="160"/>
      </w:pPr>
      <w:r>
        <w:rPr>
          <w:b/>
          <w:bCs/>
          <w:color w:val="1F3864"/>
          <w:sz w:val="22"/>
          <w:szCs w:val="22"/>
        </w:rPr>
        <w:t xml:space="preserve">Chapter 4 — Medical Decision Making: Risk of Complications, Morbidity, or Mortality</w:t>
      </w:r>
      <w:r>
        <w:rPr>
          <w:color w:val="595959"/>
          <w:sz w:val="22"/>
          <w:szCs w:val="22"/>
        </w:rPr>
        <w:t xml:space="preserve">	20</w:t>
      </w:r>
    </w:p>
    <w:p>
      <w:pPr>
        <w:tabs>
          <w:tab w:val="right" w:pos="9026" w:leader="dot"/>
        </w:tabs>
        <w:spacing w:after="160"/>
      </w:pPr>
      <w:r>
        <w:rPr>
          <w:b/>
          <w:bCs/>
          <w:color w:val="1F3864"/>
          <w:sz w:val="22"/>
          <w:szCs w:val="22"/>
        </w:rPr>
        <w:t xml:space="preserve">Chapter 5 — Time-Based Coding and Prolonged Services</w:t>
      </w:r>
      <w:r>
        <w:rPr>
          <w:color w:val="595959"/>
          <w:sz w:val="22"/>
          <w:szCs w:val="22"/>
        </w:rPr>
        <w:t xml:space="preserve">	26</w:t>
      </w:r>
    </w:p>
    <w:p>
      <w:pPr>
        <w:tabs>
          <w:tab w:val="right" w:pos="9026" w:leader="dot"/>
        </w:tabs>
        <w:spacing w:after="160"/>
      </w:pPr>
      <w:r>
        <w:rPr>
          <w:b/>
          <w:bCs/>
          <w:color w:val="1F3864"/>
          <w:sz w:val="22"/>
          <w:szCs w:val="22"/>
        </w:rPr>
        <w:t xml:space="preserve">Chapter 6 — Psychotherapy Coding</w:t>
      </w:r>
      <w:r>
        <w:rPr>
          <w:color w:val="595959"/>
          <w:sz w:val="22"/>
          <w:szCs w:val="22"/>
        </w:rPr>
        <w:t xml:space="preserve">	31</w:t>
      </w:r>
    </w:p>
    <w:p>
      <w:pPr>
        <w:tabs>
          <w:tab w:val="right" w:pos="9026" w:leader="dot"/>
        </w:tabs>
        <w:spacing w:after="160"/>
      </w:pPr>
      <w:r>
        <w:rPr>
          <w:b/>
          <w:bCs/>
          <w:color w:val="1F3864"/>
          <w:sz w:val="22"/>
          <w:szCs w:val="22"/>
        </w:rPr>
        <w:t xml:space="preserve">Chapter 7 — Controlled Substance Prescribing Documentation</w:t>
      </w:r>
      <w:r>
        <w:rPr>
          <w:color w:val="595959"/>
          <w:sz w:val="22"/>
          <w:szCs w:val="22"/>
        </w:rPr>
        <w:t xml:space="preserve">	35</w:t>
      </w:r>
    </w:p>
    <w:p>
      <w:pPr>
        <w:tabs>
          <w:tab w:val="right" w:pos="9026" w:leader="dot"/>
        </w:tabs>
        <w:spacing w:after="160"/>
      </w:pPr>
      <w:r>
        <w:rPr>
          <w:b/>
          <w:bCs/>
          <w:color w:val="1F3864"/>
          <w:sz w:val="22"/>
          <w:szCs w:val="22"/>
        </w:rPr>
        <w:t xml:space="preserve">Chapter 8 — The G2211 Visit Complexity Add-On Code</w:t>
      </w:r>
      <w:r>
        <w:rPr>
          <w:color w:val="595959"/>
          <w:sz w:val="22"/>
          <w:szCs w:val="22"/>
        </w:rPr>
        <w:t xml:space="preserve">	39</w:t>
      </w:r>
    </w:p>
    <w:p>
      <w:pPr>
        <w:tabs>
          <w:tab w:val="right" w:pos="9026" w:leader="dot"/>
        </w:tabs>
        <w:spacing w:after="160"/>
      </w:pPr>
      <w:r>
        <w:rPr>
          <w:b/>
          <w:bCs/>
          <w:color w:val="1F3864"/>
          <w:sz w:val="22"/>
          <w:szCs w:val="22"/>
        </w:rPr>
        <w:t xml:space="preserve">Chapter 9 — Spravato (Esketamine) Documentation and Billing Standards</w:t>
      </w:r>
      <w:r>
        <w:rPr>
          <w:color w:val="595959"/>
          <w:sz w:val="22"/>
          <w:szCs w:val="22"/>
        </w:rPr>
        <w:t xml:space="preserve">	42</w:t>
      </w:r>
    </w:p>
    <w:p>
      <w:pPr>
        <w:tabs>
          <w:tab w:val="right" w:pos="9026" w:leader="dot"/>
        </w:tabs>
        <w:spacing w:after="160"/>
      </w:pPr>
      <w:r>
        <w:rPr>
          <w:b/>
          <w:bCs/>
          <w:color w:val="1F3864"/>
          <w:sz w:val="22"/>
          <w:szCs w:val="22"/>
        </w:rPr>
        <w:t xml:space="preserve">Chapter 10 — Transcranial Magnetic Stimulation (TMS) Documentation and Billing</w:t>
      </w:r>
      <w:r>
        <w:rPr>
          <w:color w:val="595959"/>
          <w:sz w:val="22"/>
          <w:szCs w:val="22"/>
        </w:rPr>
        <w:t xml:space="preserve">	48</w:t>
      </w:r>
    </w:p>
    <w:p>
      <w:pPr>
        <w:tabs>
          <w:tab w:val="right" w:pos="9026" w:leader="dot"/>
        </w:tabs>
        <w:spacing w:after="160"/>
      </w:pPr>
      <w:r>
        <w:rPr>
          <w:b/>
          <w:bCs/>
          <w:color w:val="1F3864"/>
          <w:sz w:val="22"/>
          <w:szCs w:val="22"/>
        </w:rPr>
        <w:t xml:space="preserve">Chapter 11 — Telehealth Documentation Standards</w:t>
      </w:r>
      <w:r>
        <w:rPr>
          <w:color w:val="595959"/>
          <w:sz w:val="22"/>
          <w:szCs w:val="22"/>
        </w:rPr>
        <w:t xml:space="preserve">	52</w:t>
      </w:r>
    </w:p>
    <w:p>
      <w:pPr>
        <w:tabs>
          <w:tab w:val="right" w:pos="9026" w:leader="dot"/>
        </w:tabs>
        <w:spacing w:after="160"/>
      </w:pPr>
      <w:r>
        <w:rPr>
          <w:b/>
          <w:bCs/>
          <w:color w:val="1F3864"/>
          <w:sz w:val="22"/>
          <w:szCs w:val="22"/>
        </w:rPr>
        <w:t xml:space="preserve">Chapter 12 — Payer-Specific Documentation Expectations</w:t>
      </w:r>
      <w:r>
        <w:rPr>
          <w:color w:val="595959"/>
          <w:sz w:val="22"/>
          <w:szCs w:val="22"/>
        </w:rPr>
        <w:t xml:space="preserve">	55</w:t>
      </w:r>
    </w:p>
    <w:p>
      <w:pPr>
        <w:tabs>
          <w:tab w:val="right" w:pos="9026" w:leader="dot"/>
        </w:tabs>
        <w:spacing w:after="160"/>
      </w:pPr>
      <w:r>
        <w:rPr>
          <w:b/>
          <w:bCs/>
          <w:color w:val="1F3864"/>
          <w:sz w:val="22"/>
          <w:szCs w:val="22"/>
        </w:rPr>
        <w:t xml:space="preserve">Chapter 13 — AI Documentation Auditor: Master Decision Logic</w:t>
      </w:r>
      <w:r>
        <w:rPr>
          <w:color w:val="595959"/>
          <w:sz w:val="22"/>
          <w:szCs w:val="22"/>
        </w:rPr>
        <w:t xml:space="preserve">	59</w:t>
      </w:r>
    </w:p>
    <w:p>
      <w:pPr>
        <w:tabs>
          <w:tab w:val="right" w:pos="9026" w:leader="dot"/>
        </w:tabs>
        <w:spacing w:after="160"/>
      </w:pPr>
      <w:r>
        <w:rPr>
          <w:b/>
          <w:bCs/>
          <w:color w:val="1F3864"/>
          <w:sz w:val="22"/>
          <w:szCs w:val="22"/>
        </w:rPr>
        <w:t xml:space="preserve">Appendix A — CPT / HCPCS Quick Reference</w:t>
      </w:r>
      <w:r>
        <w:rPr>
          <w:color w:val="595959"/>
          <w:sz w:val="22"/>
          <w:szCs w:val="22"/>
        </w:rPr>
        <w:t xml:space="preserve">	61</w:t>
      </w:r>
    </w:p>
    <w:p>
      <w:pPr>
        <w:tabs>
          <w:tab w:val="right" w:pos="9026" w:leader="dot"/>
        </w:tabs>
        <w:spacing w:after="160"/>
      </w:pPr>
      <w:r>
        <w:rPr>
          <w:b/>
          <w:bCs/>
          <w:color w:val="1F3864"/>
          <w:sz w:val="22"/>
          <w:szCs w:val="22"/>
        </w:rPr>
        <w:t xml:space="preserve">Appendix B — Glossary</w:t>
      </w:r>
      <w:r>
        <w:rPr>
          <w:color w:val="595959"/>
          <w:sz w:val="22"/>
          <w:szCs w:val="22"/>
        </w:rPr>
        <w:t xml:space="preserve">	62</w:t>
      </w:r>
    </w:p>
    <w:p>
      <w:r>
        <w:br w:type="page"/>
      </w:r>
    </w:p>
    <w:p>
      <w:pPr>
        <w:pStyle w:val="Heading1"/>
        <w:pBdr>
          <w:bottom w:val="single" w:color="1F3864" w:sz="12" w:space="4"/>
        </w:pBdr>
        <w:spacing w:after="240" w:before="480"/>
      </w:pPr>
      <w:r>
        <w:rPr>
          <w:b/>
          <w:bCs/>
          <w:color w:val="1F3864"/>
          <w:sz w:val="32"/>
          <w:szCs w:val="32"/>
        </w:rPr>
        <w:t xml:space="preserve">Chapter 1 — Introduction, Purpose, and Scope</w:t>
      </w:r>
    </w:p>
    <w:p>
      <w:pPr>
        <w:pStyle w:val="Heading2"/>
        <w:spacing w:after="160" w:before="360"/>
      </w:pPr>
      <w:r>
        <w:rPr>
          <w:b/>
          <w:bCs/>
          <w:color w:val="2E5A88"/>
          <w:sz w:val="26"/>
          <w:szCs w:val="26"/>
        </w:rPr>
        <w:t xml:space="preserve">1.1 Purpose of This Manual</w:t>
      </w:r>
    </w:p>
    <w:p>
      <w:pPr>
        <w:spacing w:after="160" w:line="276"/>
        <w:jc w:val="both"/>
      </w:pPr>
      <w:r>
        <w:rPr>
          <w:sz w:val="22"/>
          <w:szCs w:val="22"/>
        </w:rPr>
        <w:t xml:space="preserve">This manual establishes the documentation and coding standards used by </w:t>
      </w:r>
      <w:r>
        <w:rPr>
          <w:b/>
          <w:bCs/>
          <w:sz w:val="22"/>
          <w:szCs w:val="22"/>
        </w:rPr>
        <w:t xml:space="preserve">Trimera Health</w:t>
      </w:r>
      <w:r>
        <w:rPr>
          <w:sz w:val="22"/>
          <w:szCs w:val="22"/>
        </w:rPr>
        <w:t xml:space="preserve"> to evaluate whether a clinical note supports the level of service, procedure code, or add-on code the provider intends to bill. It is written for two audiences simultaneously: the human providers, coders, and compliance staff who read and apply it, and the AI documentation review system that screens notes before claims are submitted. Every rule in this manual is written to be interpretable by both.</w:t>
      </w:r>
    </w:p>
    <w:p>
      <w:pPr>
        <w:spacing w:after="160" w:line="276"/>
        <w:jc w:val="both"/>
      </w:pPr>
      <w:r>
        <w:rPr>
          <w:sz w:val="22"/>
          <w:szCs w:val="22"/>
        </w:rPr>
        <w:t xml:space="preserve">The manual answers one question, and only one question, for any given encounter: </w:t>
      </w:r>
      <w:r>
        <w:rPr>
          <w:i/>
          <w:iCs/>
          <w:sz w:val="22"/>
          <w:szCs w:val="22"/>
        </w:rPr>
        <w:t xml:space="preserve">"Does the provider's documentation reasonably support the intended billing?"</w:t>
      </w:r>
      <w:r>
        <w:rPr>
          <w:sz w:val="22"/>
          <w:szCs w:val="22"/>
        </w:rPr>
        <w:t xml:space="preserve"> It does not instruct providers on how to practice medicine, does not recommend alternative diagnoses or treatments, and does not instruct providers to bill a different code than the one they intended. Where documentation is insufficient, the manual's role — and the AI auditor's role — is to identify the specific deficiency and cite the specific rule, not to substitute clinical judgment or coding judgment for the provider's own.</w:t>
      </w:r>
    </w:p>
    <w:p>
      <w:pPr>
        <w:pStyle w:val="Heading2"/>
        <w:spacing w:after="160" w:before="360"/>
      </w:pPr>
      <w:r>
        <w:rPr>
          <w:b/>
          <w:bCs/>
          <w:color w:val="2E5A88"/>
          <w:sz w:val="26"/>
          <w:szCs w:val="26"/>
        </w:rPr>
        <w:t xml:space="preserve">1.2 What This Manual Is Not</w:t>
      </w:r>
    </w:p>
    <w:p>
      <w:pPr>
        <w:spacing w:after="160" w:line="276"/>
        <w:jc w:val="both"/>
      </w:pPr>
      <w:r>
        <w:rPr>
          <w:sz w:val="22"/>
          <w:szCs w:val="22"/>
        </w:rPr>
        <w:t xml:space="preserve">This manual is not legal advice, not a substitute for payer-specific provider manuals, and not a guarantee of reimbursement. Meeting every standard described here reduces audit risk and denial risk but does not eliminate it, because payers retain discretion in claims adjudication and medical necessity determinations are inherently case-specific. This manual is also not static: CPT guidelines, CMS manuals, NCCI edits, and payer policies are revised on rolling schedules, and Trimera's compliance function is responsible for monitoring those updates and revising this manual accordingly. Version control is addressed in Section 1.6.</w:t>
      </w:r>
    </w:p>
    <w:p>
      <w:pPr>
        <w:pStyle w:val="Heading2"/>
        <w:spacing w:after="160" w:before="360"/>
      </w:pPr>
      <w:r>
        <w:rPr>
          <w:b/>
          <w:bCs/>
          <w:color w:val="2E5A88"/>
          <w:sz w:val="26"/>
          <w:szCs w:val="26"/>
        </w:rPr>
        <w:t xml:space="preserve">1.3 Primary Audience and Intended Use</w:t>
      </w:r>
    </w:p>
    <w:p>
      <w:pPr>
        <w:spacing w:after="160" w:line="276"/>
        <w:jc w:val="both"/>
      </w:pPr>
      <w:r>
        <w:rPr>
          <w:sz w:val="22"/>
          <w:szCs w:val="22"/>
        </w:rPr>
        <w:t xml:space="preserve">The primary audience is the outpatient psychiatric prescriber and therapist documenting office-based evaluation and management (E/M), psychotherapy, medication management, Spravato (esketamine) treatment, and Transcranial Magnetic Stimulation (TMS) services. The secondary audience is the AI documentation review system operating as a pre-submission screen. Where a rule includes an </w:t>
      </w:r>
      <w:r>
        <w:rPr>
          <w:b/>
          <w:bCs/>
          <w:sz w:val="22"/>
          <w:szCs w:val="22"/>
        </w:rPr>
        <w:t xml:space="preserve">AI Interpretation Logic</w:t>
      </w:r>
      <w:r>
        <w:rPr>
          <w:sz w:val="22"/>
          <w:szCs w:val="22"/>
        </w:rPr>
        <w:t xml:space="preserve"> field, that language is written as structured decision logic for the AI reviewer — not as software code, but as an explicit if/then evaluation path a human auditor could also follow by hand.</w:t>
      </w:r>
    </w:p>
    <w:p>
      <w:pPr>
        <w:pStyle w:val="Heading2"/>
        <w:spacing w:after="160" w:before="360"/>
      </w:pPr>
      <w:r>
        <w:rPr>
          <w:b/>
          <w:bCs/>
          <w:color w:val="2E5A88"/>
          <w:sz w:val="26"/>
          <w:szCs w:val="26"/>
        </w:rPr>
        <w:t xml:space="preserve">1.4 Specialty Scope</w:t>
      </w:r>
    </w:p>
    <w:p>
      <w:pPr>
        <w:spacing w:after="160" w:line="276"/>
        <w:jc w:val="both"/>
      </w:pPr>
      <w:r>
        <w:rPr>
          <w:sz w:val="22"/>
          <w:szCs w:val="22"/>
        </w:rPr>
        <w:t xml:space="preserve">Every example, rule, and clinical illustration in this manual is drawn from outpatient psychiatric practice. Where CPT or CMS source material uses generic internal-medicine language, this manual translates that language into the psychiatric context — office-based medication management for conditions such as major depressive disorder (MDD), generalized anxiety disorder (GAD), bipolar disorder, ADHD, PTSD, OCD, insomnia, and substance use disorders; controlled substance prescribing including stimulants and benzodiazepines; individual psychotherapy; and Trimera's specialty service lines, Spravato and TMS. Internal medicine examples (e.g., diabetes management, hypertension titration) are avoided except where a CPT or CMS rule can only be illustrated using the original source example, in which case a parallel psychiatric example is provided alongside it.</w:t>
      </w:r>
    </w:p>
    <w:p>
      <w:pPr>
        <w:pStyle w:val="Heading2"/>
        <w:spacing w:after="160" w:before="360"/>
      </w:pPr>
      <w:r>
        <w:rPr>
          <w:b/>
          <w:bCs/>
          <w:color w:val="2E5A88"/>
          <w:sz w:val="26"/>
          <w:szCs w:val="26"/>
        </w:rPr>
        <w:t xml:space="preserve">1.5 The Central Compliance Principle</w:t>
      </w:r>
    </w:p>
    <w:tbl>
      <w:tblPr>
        <w:tblW w:type="dxa" w:w="9360"/>
        <w:tblBorders>
          <w:top w:val="single" w:color="1F3864" w:sz="4"/>
          <w:left w:val="single" w:color="1F3864" w:sz="4"/>
          <w:bottom w:val="single" w:color="1F3864" w:sz="4"/>
          <w:right w:val="single" w:color="1F3864"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1F3864"/>
                <w:sz w:val="21"/>
                <w:szCs w:val="21"/>
              </w:rPr>
              <w:t xml:space="preserve">GOVERNING PRINCIPLE</w:t>
            </w:r>
          </w:p>
          <w:p>
            <w:pPr>
              <w:spacing w:after="60"/>
            </w:pPr>
            <w:r>
              <w:rPr>
                <w:sz w:val="21"/>
                <w:szCs w:val="21"/>
              </w:rPr>
              <w:t xml:space="preserve">Documentation drives the code. The code does not drive the documentation. A provider should never document with a target E/M level or CPT code already selected and then write notes to justify it after the fact. The clinical encounter happens, the provider documents what was clinically necessary and clinically true, and the code is derived from that documentation — never the reverse. Every rule and every piece of AI evaluation logic in this manual exists to test for this principle, not to help providers reverse-engineer a higher level of service.</w:t>
            </w:r>
          </w:p>
        </w:tc>
      </w:tr>
    </w:tbl>
    <w:p>
      <w:pPr>
        <w:spacing w:after="120"/>
      </w:pPr>
    </w:p>
    <w:p>
      <w:pPr>
        <w:pStyle w:val="Heading2"/>
        <w:spacing w:after="160" w:before="360"/>
      </w:pPr>
      <w:r>
        <w:rPr>
          <w:b/>
          <w:bCs/>
          <w:color w:val="2E5A88"/>
          <w:sz w:val="26"/>
          <w:szCs w:val="26"/>
        </w:rPr>
        <w:t xml:space="preserve">1.6 Authority Hierarchy</w:t>
      </w:r>
    </w:p>
    <w:p>
      <w:pPr>
        <w:spacing w:after="160" w:line="276"/>
        <w:jc w:val="both"/>
      </w:pPr>
      <w:r>
        <w:rPr>
          <w:sz w:val="22"/>
          <w:szCs w:val="22"/>
        </w:rPr>
        <w:t xml:space="preserve">Documentation and coding standards are drawn from six tiers of authority. When sources conflict, the higher tier always controls. This manual will explicitly flag any point where a lower-tier source (particularly a commercial payer policy) states something more restrictive than, or inconsistent with, a higher-tier source, because commercial payer preferences are never presented in this manual as if they were CPT or CMS requirements.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5160"/>
        <w:gridCol w:w="3000"/>
      </w:tblGrid>
      <w:tr>
        <w:trPr>
          <w:tblHeader/>
        </w:trPr>
        <w:tc>
          <w:tcPr>
            <w:tcW w:type="dxa" w:w="1200"/>
            <w:shd w:fill="1F3864" w:val="clear"/>
            <w:tcMar>
              <w:top w:type="dxa" w:w="80"/>
              <w:left w:type="dxa" w:w="120"/>
              <w:bottom w:type="dxa" w:w="80"/>
              <w:right w:type="dxa" w:w="120"/>
            </w:tcMar>
          </w:tcPr>
          <w:p>
            <w:r>
              <w:rPr>
                <w:b/>
                <w:bCs/>
                <w:color w:val="FFFFFF"/>
                <w:sz w:val="20"/>
                <w:szCs w:val="20"/>
              </w:rPr>
              <w:t xml:space="preserve">Tier</w:t>
            </w:r>
          </w:p>
        </w:tc>
        <w:tc>
          <w:tcPr>
            <w:tcW w:type="dxa" w:w="5160"/>
            <w:shd w:fill="1F3864" w:val="clear"/>
            <w:tcMar>
              <w:top w:type="dxa" w:w="80"/>
              <w:left w:type="dxa" w:w="120"/>
              <w:bottom w:type="dxa" w:w="80"/>
              <w:right w:type="dxa" w:w="120"/>
            </w:tcMar>
          </w:tcPr>
          <w:p>
            <w:r>
              <w:rPr>
                <w:b/>
                <w:bCs/>
                <w:color w:val="FFFFFF"/>
                <w:sz w:val="20"/>
                <w:szCs w:val="20"/>
              </w:rPr>
              <w:t xml:space="preserve">Source</w:t>
            </w:r>
          </w:p>
        </w:tc>
        <w:tc>
          <w:tcPr>
            <w:tcW w:type="dxa" w:w="3000"/>
            <w:shd w:fill="1F3864" w:val="clear"/>
            <w:tcMar>
              <w:top w:type="dxa" w:w="80"/>
              <w:left w:type="dxa" w:w="120"/>
              <w:bottom w:type="dxa" w:w="80"/>
              <w:right w:type="dxa" w:w="120"/>
            </w:tcMar>
          </w:tcPr>
          <w:p>
            <w:r>
              <w:rPr>
                <w:b/>
                <w:bCs/>
                <w:color w:val="FFFFFF"/>
                <w:sz w:val="20"/>
                <w:szCs w:val="20"/>
              </w:rPr>
              <w:t xml:space="preserve">Nature of Authority</w:t>
            </w:r>
          </w:p>
        </w:tc>
      </w:tr>
      <w:tr>
        <w:tc>
          <w:tcPr>
            <w:tcW w:type="dxa" w:w="1200"/>
            <w:shd w:fill="FFFFFF" w:val="clear"/>
            <w:tcMar>
              <w:top w:type="dxa" w:w="80"/>
              <w:left w:type="dxa" w:w="120"/>
              <w:bottom w:type="dxa" w:w="80"/>
              <w:right w:type="dxa" w:w="120"/>
            </w:tcMar>
          </w:tcPr>
          <w:p>
            <w:r>
              <w:rPr>
                <w:sz w:val="20"/>
                <w:szCs w:val="20"/>
              </w:rPr>
              <w:t xml:space="preserve">Tier 1</w:t>
            </w:r>
          </w:p>
        </w:tc>
        <w:tc>
          <w:tcPr>
            <w:tcW w:type="dxa" w:w="5160"/>
            <w:shd w:fill="FFFFFF" w:val="clear"/>
            <w:tcMar>
              <w:top w:type="dxa" w:w="80"/>
              <w:left w:type="dxa" w:w="120"/>
              <w:bottom w:type="dxa" w:w="80"/>
              <w:right w:type="dxa" w:w="120"/>
            </w:tcMar>
          </w:tcPr>
          <w:p>
            <w:r>
              <w:rPr>
                <w:sz w:val="20"/>
                <w:szCs w:val="20"/>
              </w:rPr>
              <w:t xml:space="preserve">AMA CPT® (Current Procedural Terminology)</w:t>
            </w:r>
          </w:p>
        </w:tc>
        <w:tc>
          <w:tcPr>
            <w:tcW w:type="dxa" w:w="3000"/>
            <w:shd w:fill="FFFFFF" w:val="clear"/>
            <w:tcMar>
              <w:top w:type="dxa" w:w="80"/>
              <w:left w:type="dxa" w:w="120"/>
              <w:bottom w:type="dxa" w:w="80"/>
              <w:right w:type="dxa" w:w="120"/>
            </w:tcMar>
          </w:tcPr>
          <w:p>
            <w:r>
              <w:rPr>
                <w:sz w:val="20"/>
                <w:szCs w:val="20"/>
              </w:rPr>
              <w:t xml:space="preserve">Defines the codes themselves, code descriptors, and the official E/M and MDM guidelines. Controls for all payers unless a payer explicitly adopts a different standard in a signed provider agreement.</w:t>
            </w:r>
          </w:p>
        </w:tc>
      </w:tr>
      <w:tr>
        <w:tc>
          <w:tcPr>
            <w:tcW w:type="dxa" w:w="1200"/>
            <w:shd w:fill="F2F2F2" w:val="clear"/>
            <w:tcMar>
              <w:top w:type="dxa" w:w="80"/>
              <w:left w:type="dxa" w:w="120"/>
              <w:bottom w:type="dxa" w:w="80"/>
              <w:right w:type="dxa" w:w="120"/>
            </w:tcMar>
          </w:tcPr>
          <w:p>
            <w:r>
              <w:rPr>
                <w:sz w:val="20"/>
                <w:szCs w:val="20"/>
              </w:rPr>
              <w:t xml:space="preserve">Tier 2</w:t>
            </w:r>
          </w:p>
        </w:tc>
        <w:tc>
          <w:tcPr>
            <w:tcW w:type="dxa" w:w="5160"/>
            <w:shd w:fill="F2F2F2" w:val="clear"/>
            <w:tcMar>
              <w:top w:type="dxa" w:w="80"/>
              <w:left w:type="dxa" w:w="120"/>
              <w:bottom w:type="dxa" w:w="80"/>
              <w:right w:type="dxa" w:w="120"/>
            </w:tcMar>
          </w:tcPr>
          <w:p>
            <w:r>
              <w:rPr>
                <w:sz w:val="20"/>
                <w:szCs w:val="20"/>
              </w:rPr>
              <w:t xml:space="preserve">CMS (MLN publications, Medicare Claims Processing Manual, Medicare Benefit Policy Manual, NCCI edits, CMS Transmittals, CMS FAQs)</w:t>
            </w:r>
          </w:p>
        </w:tc>
        <w:tc>
          <w:tcPr>
            <w:tcW w:type="dxa" w:w="3000"/>
            <w:shd w:fill="F2F2F2" w:val="clear"/>
            <w:tcMar>
              <w:top w:type="dxa" w:w="80"/>
              <w:left w:type="dxa" w:w="120"/>
              <w:bottom w:type="dxa" w:w="80"/>
              <w:right w:type="dxa" w:w="120"/>
            </w:tcMar>
          </w:tcPr>
          <w:p>
            <w:r>
              <w:rPr>
                <w:sz w:val="20"/>
                <w:szCs w:val="20"/>
              </w:rPr>
              <w:t xml:space="preserve">Governs Medicare claims directly and is treated as strong persuasive authority for commercial payers that have not published a conflicting policy.</w:t>
            </w:r>
          </w:p>
        </w:tc>
      </w:tr>
      <w:tr>
        <w:tc>
          <w:tcPr>
            <w:tcW w:type="dxa" w:w="1200"/>
            <w:shd w:fill="FFFFFF" w:val="clear"/>
            <w:tcMar>
              <w:top w:type="dxa" w:w="80"/>
              <w:left w:type="dxa" w:w="120"/>
              <w:bottom w:type="dxa" w:w="80"/>
              <w:right w:type="dxa" w:w="120"/>
            </w:tcMar>
          </w:tcPr>
          <w:p>
            <w:r>
              <w:rPr>
                <w:sz w:val="20"/>
                <w:szCs w:val="20"/>
              </w:rPr>
              <w:t xml:space="preserve">Tier 3</w:t>
            </w:r>
          </w:p>
        </w:tc>
        <w:tc>
          <w:tcPr>
            <w:tcW w:type="dxa" w:w="5160"/>
            <w:shd w:fill="FFFFFF" w:val="clear"/>
            <w:tcMar>
              <w:top w:type="dxa" w:w="80"/>
              <w:left w:type="dxa" w:w="120"/>
              <w:bottom w:type="dxa" w:w="80"/>
              <w:right w:type="dxa" w:w="120"/>
            </w:tcMar>
          </w:tcPr>
          <w:p>
            <w:r>
              <w:rPr>
                <w:sz w:val="20"/>
                <w:szCs w:val="20"/>
              </w:rPr>
              <w:t xml:space="preserve">Local Coverage Determinations (LCDs) and Local Coverage Articles (LCAs)</w:t>
            </w:r>
          </w:p>
        </w:tc>
        <w:tc>
          <w:tcPr>
            <w:tcW w:type="dxa" w:w="3000"/>
            <w:shd w:fill="FFFFFF" w:val="clear"/>
            <w:tcMar>
              <w:top w:type="dxa" w:w="80"/>
              <w:left w:type="dxa" w:w="120"/>
              <w:bottom w:type="dxa" w:w="80"/>
              <w:right w:type="dxa" w:w="120"/>
            </w:tcMar>
          </w:tcPr>
          <w:p>
            <w:r>
              <w:rPr>
                <w:sz w:val="20"/>
                <w:szCs w:val="20"/>
              </w:rPr>
              <w:t xml:space="preserve">Governs medical necessity and coverage criteria for specific services (e.g., TMS, psychotherapy) within a defined Medicare Administrative Contractor (MAC) jurisdiction.</w:t>
            </w:r>
          </w:p>
        </w:tc>
      </w:tr>
      <w:tr>
        <w:tc>
          <w:tcPr>
            <w:tcW w:type="dxa" w:w="1200"/>
            <w:shd w:fill="F2F2F2" w:val="clear"/>
            <w:tcMar>
              <w:top w:type="dxa" w:w="80"/>
              <w:left w:type="dxa" w:w="120"/>
              <w:bottom w:type="dxa" w:w="80"/>
              <w:right w:type="dxa" w:w="120"/>
            </w:tcMar>
          </w:tcPr>
          <w:p>
            <w:r>
              <w:rPr>
                <w:sz w:val="20"/>
                <w:szCs w:val="20"/>
              </w:rPr>
              <w:t xml:space="preserve">Tier 4</w:t>
            </w:r>
          </w:p>
        </w:tc>
        <w:tc>
          <w:tcPr>
            <w:tcW w:type="dxa" w:w="5160"/>
            <w:shd w:fill="F2F2F2" w:val="clear"/>
            <w:tcMar>
              <w:top w:type="dxa" w:w="80"/>
              <w:left w:type="dxa" w:w="120"/>
              <w:bottom w:type="dxa" w:w="80"/>
              <w:right w:type="dxa" w:w="120"/>
            </w:tcMar>
          </w:tcPr>
          <w:p>
            <w:r>
              <w:rPr>
                <w:sz w:val="20"/>
                <w:szCs w:val="20"/>
              </w:rPr>
              <w:t xml:space="preserve">National commercial payer documentation policies (UnitedHealthcare/Optum, BCBS, Aetna, Cigna, Humana)</w:t>
            </w:r>
          </w:p>
        </w:tc>
        <w:tc>
          <w:tcPr>
            <w:tcW w:type="dxa" w:w="3000"/>
            <w:shd w:fill="F2F2F2" w:val="clear"/>
            <w:tcMar>
              <w:top w:type="dxa" w:w="80"/>
              <w:left w:type="dxa" w:w="120"/>
              <w:bottom w:type="dxa" w:w="80"/>
              <w:right w:type="dxa" w:w="120"/>
            </w:tcMar>
          </w:tcPr>
          <w:p>
            <w:r>
              <w:rPr>
                <w:sz w:val="20"/>
                <w:szCs w:val="20"/>
              </w:rPr>
              <w:t xml:space="preserve">Governs claims submitted to that specific payer. Binding for that payer's claims but never treated as a CPT or CMS requirement outside that payer relationship.</w:t>
            </w:r>
          </w:p>
        </w:tc>
      </w:tr>
      <w:tr>
        <w:tc>
          <w:tcPr>
            <w:tcW w:type="dxa" w:w="1200"/>
            <w:shd w:fill="FFFFFF" w:val="clear"/>
            <w:tcMar>
              <w:top w:type="dxa" w:w="80"/>
              <w:left w:type="dxa" w:w="120"/>
              <w:bottom w:type="dxa" w:w="80"/>
              <w:right w:type="dxa" w:w="120"/>
            </w:tcMar>
          </w:tcPr>
          <w:p>
            <w:r>
              <w:rPr>
                <w:sz w:val="20"/>
                <w:szCs w:val="20"/>
              </w:rPr>
              <w:t xml:space="preserve">Tier 5</w:t>
            </w:r>
          </w:p>
        </w:tc>
        <w:tc>
          <w:tcPr>
            <w:tcW w:type="dxa" w:w="5160"/>
            <w:shd w:fill="FFFFFF" w:val="clear"/>
            <w:tcMar>
              <w:top w:type="dxa" w:w="80"/>
              <w:left w:type="dxa" w:w="120"/>
              <w:bottom w:type="dxa" w:w="80"/>
              <w:right w:type="dxa" w:w="120"/>
            </w:tcMar>
          </w:tcPr>
          <w:p>
            <w:r>
              <w:rPr>
                <w:sz w:val="20"/>
                <w:szCs w:val="20"/>
              </w:rPr>
              <w:t xml:space="preserve">Trimera Best Practices</w:t>
            </w:r>
          </w:p>
        </w:tc>
        <w:tc>
          <w:tcPr>
            <w:tcW w:type="dxa" w:w="3000"/>
            <w:shd w:fill="FFFFFF" w:val="clear"/>
            <w:tcMar>
              <w:top w:type="dxa" w:w="80"/>
              <w:left w:type="dxa" w:w="120"/>
              <w:bottom w:type="dxa" w:w="80"/>
              <w:right w:type="dxa" w:w="120"/>
            </w:tcMar>
          </w:tcPr>
          <w:p>
            <w:r>
              <w:rPr>
                <w:sz w:val="20"/>
                <w:szCs w:val="20"/>
              </w:rPr>
              <w:t xml:space="preserve">Internal standards that exceed the regulatory floor for consistency, defensibility, and operational efficiency across all payers.</w:t>
            </w:r>
          </w:p>
        </w:tc>
      </w:tr>
      <w:tr>
        <w:tc>
          <w:tcPr>
            <w:tcW w:type="dxa" w:w="1200"/>
            <w:shd w:fill="F2F2F2" w:val="clear"/>
            <w:tcMar>
              <w:top w:type="dxa" w:w="80"/>
              <w:left w:type="dxa" w:w="120"/>
              <w:bottom w:type="dxa" w:w="80"/>
              <w:right w:type="dxa" w:w="120"/>
            </w:tcMar>
          </w:tcPr>
          <w:p>
            <w:r>
              <w:rPr>
                <w:sz w:val="20"/>
                <w:szCs w:val="20"/>
              </w:rPr>
              <w:t xml:space="preserve">Tier 6</w:t>
            </w:r>
          </w:p>
        </w:tc>
        <w:tc>
          <w:tcPr>
            <w:tcW w:type="dxa" w:w="5160"/>
            <w:shd w:fill="F2F2F2" w:val="clear"/>
            <w:tcMar>
              <w:top w:type="dxa" w:w="80"/>
              <w:left w:type="dxa" w:w="120"/>
              <w:bottom w:type="dxa" w:w="80"/>
              <w:right w:type="dxa" w:w="120"/>
            </w:tcMar>
          </w:tcPr>
          <w:p>
            <w:r>
              <w:rPr>
                <w:sz w:val="20"/>
                <w:szCs w:val="20"/>
              </w:rPr>
              <w:t xml:space="preserve">Trimera Historical Audit Findings</w:t>
            </w:r>
          </w:p>
        </w:tc>
        <w:tc>
          <w:tcPr>
            <w:tcW w:type="dxa" w:w="3000"/>
            <w:shd w:fill="F2F2F2" w:val="clear"/>
            <w:tcMar>
              <w:top w:type="dxa" w:w="80"/>
              <w:left w:type="dxa" w:w="120"/>
              <w:bottom w:type="dxa" w:w="80"/>
              <w:right w:type="dxa" w:w="120"/>
            </w:tcMar>
          </w:tcPr>
          <w:p>
            <w:r>
              <w:rPr>
                <w:sz w:val="20"/>
                <w:szCs w:val="20"/>
              </w:rPr>
              <w:t xml:space="preserve">Lessons learned from Trimera's own prior payer audits and internal chart reviews; used to flag patterns most likely to trigger scrutiny at this practice specifically.</w:t>
            </w:r>
          </w:p>
        </w:tc>
      </w:tr>
    </w:tbl>
    <w:p>
      <w:pPr>
        <w:spacing w:after="120"/>
      </w:pPr>
    </w:p>
    <w:p>
      <w:pPr>
        <w:pStyle w:val="Heading3"/>
        <w:spacing w:after="120" w:before="280"/>
      </w:pPr>
      <w:r>
        <w:rPr>
          <w:b/>
          <w:bCs/>
          <w:color w:val="1F3864"/>
          <w:sz w:val="23"/>
          <w:szCs w:val="23"/>
        </w:rPr>
        <w:t xml:space="preserve">1.6.1 How Conflicts Are Resolved</w:t>
      </w:r>
    </w:p>
    <w:p>
      <w:pPr>
        <w:spacing w:after="160" w:line="276"/>
        <w:jc w:val="both"/>
      </w:pPr>
      <w:r>
        <w:rPr>
          <w:sz w:val="22"/>
          <w:szCs w:val="22"/>
        </w:rPr>
        <w:t xml:space="preserve">When a commercial payer's documentation policy is </w:t>
      </w:r>
      <w:r>
        <w:rPr>
          <w:b/>
          <w:bCs/>
          <w:sz w:val="22"/>
          <w:szCs w:val="22"/>
        </w:rPr>
        <w:t xml:space="preserve">more restrictive</w:t>
      </w:r>
      <w:r>
        <w:rPr>
          <w:sz w:val="22"/>
          <w:szCs w:val="22"/>
        </w:rPr>
        <w:t xml:space="preserve"> than CPT or CMS (for example, requiring a specific template element CPT does not require), Trimera follows the payer-specific requirement </w:t>
      </w:r>
      <w:r>
        <w:rPr>
          <w:i/>
          <w:iCs/>
          <w:sz w:val="22"/>
          <w:szCs w:val="22"/>
        </w:rPr>
        <w:t xml:space="preserve">only</w:t>
      </w:r>
      <w:r>
        <w:rPr>
          <w:sz w:val="22"/>
          <w:szCs w:val="22"/>
        </w:rPr>
        <w:t xml:space="preserve"> for claims submitted to that payer, and this manual labels that requirement as payer-specific rather than as a universal coding rule. When a commercial payer's stated policy </w:t>
      </w:r>
      <w:r>
        <w:rPr>
          <w:b/>
          <w:bCs/>
          <w:sz w:val="22"/>
          <w:szCs w:val="22"/>
        </w:rPr>
        <w:t xml:space="preserve">contradicts</w:t>
      </w:r>
      <w:r>
        <w:rPr>
          <w:sz w:val="22"/>
          <w:szCs w:val="22"/>
        </w:rPr>
        <w:t xml:space="preserve"> CPT or CMS in a way that would deny a legitimately supported claim (for example, bundling a professional E/M service into a drug-administration code when no drug charge was billed), Trimera does not silently conform documentation to the payer's incorrect position. Instead, the deficiency is treated as a payer processing error to be appealed, not as a documentation failure to be corrected. Chapter 12 and the Spravato chapter (Chapter 9) address this distinction in detail, including the recurring pattern in which a payer's bundling logic assumes a drug charge is present on the claim when Trimera's Spravato billing model — outside-pharmacy dispensing with in-office self-administration under monitoring — never includes one.</w:t>
      </w:r>
    </w:p>
    <w:p>
      <w:pPr>
        <w:pStyle w:val="Heading3"/>
        <w:spacing w:after="120" w:before="280"/>
      </w:pPr>
      <w:r>
        <w:rPr>
          <w:b/>
          <w:bCs/>
          <w:color w:val="1F3864"/>
          <w:sz w:val="23"/>
          <w:szCs w:val="23"/>
        </w:rPr>
        <w:t xml:space="preserve">1.6.2 Medical Necessity Is Independent of Code Selection</w:t>
      </w:r>
    </w:p>
    <w:p>
      <w:pPr>
        <w:spacing w:after="160" w:line="276"/>
        <w:jc w:val="both"/>
      </w:pPr>
      <w:r>
        <w:rPr>
          <w:sz w:val="22"/>
          <w:szCs w:val="22"/>
        </w:rPr>
        <w:t xml:space="preserve">A note can fully satisfy the Medical Decision Making (MDM) or time thresholds for a given E/M level and still fail medical necessity review if the visit itself was not clinically indicated at that frequency or intensity. MDM/time and medical necessity are evaluated as two separate tests. This manual addresses MDM and time-based sufficiency chapter by chapter; medical necessity is treated as a standing, cross-cutting requirement discussed in Section 1.7 and revisited wherever it materially affects a specific code.</w:t>
      </w:r>
    </w:p>
    <w:p>
      <w:pPr>
        <w:pStyle w:val="Heading2"/>
        <w:spacing w:after="160" w:before="360"/>
      </w:pPr>
      <w:r>
        <w:rPr>
          <w:b/>
          <w:bCs/>
          <w:color w:val="2E5A88"/>
          <w:sz w:val="26"/>
          <w:szCs w:val="26"/>
        </w:rPr>
        <w:t xml:space="preserve">1.7 Medical Necessity as a Standing Requirement</w:t>
      </w:r>
    </w:p>
    <w:p>
      <w:pPr>
        <w:spacing w:after="160" w:line="276"/>
        <w:jc w:val="both"/>
      </w:pPr>
      <w:r>
        <w:rPr>
          <w:sz w:val="22"/>
          <w:szCs w:val="22"/>
        </w:rPr>
        <w:t xml:space="preserve">CMS defines medically necessary services as those that are reasonable and necessary for the diagnosis or treatment of illness or injury. In outpatient psychiatry, medical necessity is most often challenged not because a condition was invented, but because the </w:t>
      </w:r>
      <w:r>
        <w:rPr>
          <w:b/>
          <w:bCs/>
          <w:sz w:val="22"/>
          <w:szCs w:val="22"/>
        </w:rPr>
        <w:t xml:space="preserve">frequency or intensity</w:t>
      </w:r>
      <w:r>
        <w:rPr>
          <w:sz w:val="22"/>
          <w:szCs w:val="22"/>
        </w:rPr>
        <w:t xml:space="preserve"> of the billed service exceeded what the documented clinical picture supported — for example, a stable, well-controlled GAD patient on an unchanged medication regimen seen every two weeks with a 99214 billed at every visit, where nothing in the note explains why biweekly moderate-complexity management was clinically required rather than routine quarterly follow-up.</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MN-1.7  —  Medical Necessity Independent of MDM Sufficiency</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CMS Medicare Program Integrity Manual, Ch. 3; CMS Benefit Policy Manual, general coverage principles; adopted by commercial payers via medical policy.</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Prevents a technically well-documented note from being used to justify a visit frequency or service intensity the clinical picture does not require.</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A note may satisfy every MDM or time element for a given CPT code and still be denied on medical necessity grounds if the documented clinical status does not explain why that level of service, at that frequency, was required.</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A stable patient on a well-tolerated, unchanged regimen ordinarily requires medical necessity justification to be seen and billed at a moderate-complexity level more often than every 4-12 weeks, absent a specific acute issue. Frequent visits are appropriate during titration, crisis, or Spravato induction, but the note must say so.</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MDM elements support the intended level AND visit interval is unusually short relative to documented stability THEN flag for medical-necessity review (not an automatic fail) AND require the reviewer to check for an explicit acute issue, titration phase, or safety concern justifying the interval.</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COMMON DOCUMENTATION FAILURES</w:t>
            </w:r>
          </w:p>
          <w:p>
            <w:pPr>
              <w:spacing w:after="0" w:line="264"/>
              <w:jc w:val="both"/>
            </w:pPr>
            <w:r>
              <w:rPr>
                <w:sz w:val="21"/>
                <w:szCs w:val="21"/>
              </w:rPr>
              <w:t xml:space="preserve">Templates auto-populate 'follow up in 2 weeks' regardless of clinical status; no free-text rationale is ever added explaining why a stable patient needs biweekly moderate-complexity visits.</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Whenever a visit interval is shorter than the norm for a stable condition, document one sentence of rationale (e.g., 'seen at 2 weeks given recent dose increase and need to monitor for emergent suicidal ideation per FDA labeling for this age group').</w:t>
            </w:r>
          </w:p>
        </w:tc>
      </w:tr>
    </w:tbl>
    <w:p>
      <w:pPr>
        <w:spacing w:after="120"/>
      </w:pPr>
    </w:p>
    <w:p>
      <w:pPr>
        <w:pStyle w:val="Heading2"/>
        <w:spacing w:after="160" w:before="360"/>
      </w:pPr>
      <w:r>
        <w:rPr>
          <w:b/>
          <w:bCs/>
          <w:color w:val="2E5A88"/>
          <w:sz w:val="26"/>
          <w:szCs w:val="26"/>
        </w:rPr>
        <w:t xml:space="preserve">1.8 How to Read a Rule Box in This Manual</w:t>
      </w:r>
    </w:p>
    <w:p>
      <w:pPr>
        <w:spacing w:after="160" w:line="276"/>
        <w:jc w:val="both"/>
      </w:pPr>
      <w:r>
        <w:rPr>
          <w:sz w:val="22"/>
          <w:szCs w:val="22"/>
        </w:rPr>
        <w:t xml:space="preserve">Every major rule throughout this manual is presented in a standardized rule box containing up to eight fields: Authority (the source controlling the rule, tied to the tier system above), Purpose (why the rule exists), Rule (the operative standard itself), Clinical Explanation (what this looks like in an actual psychiatric encounter), AI Interpretation Logic (the structured evaluation path the AI documentation auditor follows), Common Documentation Failures (patterns that cause notes to fall short), Common Audit Findings (what payer or Medicare auditors have historically cited), and Trimera Best Practice (Trimera's internal standard, which may exceed the regulatory floor). Not every rule box populates all eight fields; fields are omitted where not applicable rather than filled with placeholder text.</w:t>
      </w:r>
    </w:p>
    <w:p>
      <w:pPr>
        <w:pStyle w:val="Heading2"/>
        <w:spacing w:after="160" w:before="360"/>
      </w:pPr>
      <w:r>
        <w:rPr>
          <w:b/>
          <w:bCs/>
          <w:color w:val="2E5A88"/>
          <w:sz w:val="26"/>
          <w:szCs w:val="26"/>
        </w:rPr>
        <w:t xml:space="preserve">1.9 How to Read a Myth Box</w:t>
      </w:r>
    </w:p>
    <w:tbl>
      <w:tblPr>
        <w:tblW w:type="dxa" w:w="9360"/>
        <w:tblBorders>
          <w:top w:val="single" w:color="9C2B2B" w:sz="4"/>
          <w:left w:val="single" w:color="9C2B2B" w:sz="4"/>
          <w:bottom w:val="single" w:color="9C2B2B" w:sz="4"/>
          <w:right w:val="single" w:color="9C2B2B" w:sz="4"/>
          <w:insideH w:val="none" w:color="FFFFFF" w:sz="0"/>
          <w:insideV w:val="none" w:color="FFFFFF" w:sz="0"/>
        </w:tblBorders>
      </w:tblPr>
      <w:tblGrid>
        <w:gridCol w:w="9360"/>
      </w:tblGrid>
      <w:tr>
        <w:tc>
          <w:tcPr>
            <w:tcW w:type="dxa" w:w="9360"/>
            <w:shd w:fill="FBEAEA" w:val="clear"/>
            <w:tcMar>
              <w:top w:type="dxa" w:w="140"/>
              <w:left w:type="dxa" w:w="180"/>
              <w:bottom w:type="dxa" w:w="140"/>
              <w:right w:type="dxa" w:w="180"/>
            </w:tcMar>
          </w:tcPr>
          <w:p>
            <w:pPr>
              <w:spacing w:after="80"/>
            </w:pPr>
            <w:r>
              <w:rPr>
                <w:b/>
                <w:bCs/>
                <w:color w:val="9C2B2B"/>
                <w:sz w:val="21"/>
                <w:szCs w:val="21"/>
              </w:rPr>
              <w:t xml:space="preserve">COMMON CODING MYTHS</w:t>
            </w:r>
          </w:p>
          <w:p>
            <w:pPr>
              <w:spacing w:after="60"/>
            </w:pPr>
            <w:r>
              <w:rPr>
                <w:b/>
                <w:bCs/>
                <w:color w:val="9C2B2B"/>
                <w:sz w:val="21"/>
                <w:szCs w:val="21"/>
              </w:rPr>
              <w:t xml:space="preserve">MYTH: </w:t>
            </w:r>
            <w:r>
              <w:rPr>
                <w:i/>
                <w:iCs/>
                <w:sz w:val="21"/>
                <w:szCs w:val="21"/>
              </w:rPr>
              <w:t xml:space="preserve">This manual exists to help providers document up to a higher code.</w:t>
            </w:r>
          </w:p>
          <w:p>
            <w:pPr>
              <w:spacing w:after="60"/>
            </w:pPr>
            <w:r>
              <w:rPr>
                <w:b/>
                <w:bCs/>
                <w:color w:val="1F3864"/>
                <w:sz w:val="21"/>
                <w:szCs w:val="21"/>
              </w:rPr>
              <w:t xml:space="preserve">REALITY: </w:t>
            </w:r>
            <w:r>
              <w:rPr>
                <w:sz w:val="21"/>
                <w:szCs w:val="21"/>
              </w:rPr>
              <w:t xml:space="preserve">This manual exists to test whether documentation matches the care actually given and the medical decision-making actually exercised. It never recommends inflating a note to justify a predetermined code.</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If the AI auditor passes a note, the claim is guaranteed to be paid.</w:t>
            </w:r>
          </w:p>
          <w:p>
            <w:pPr>
              <w:spacing w:after="60"/>
            </w:pPr>
            <w:r>
              <w:rPr>
                <w:b/>
                <w:bCs/>
                <w:color w:val="1F3864"/>
                <w:sz w:val="21"/>
                <w:szCs w:val="21"/>
              </w:rPr>
              <w:t xml:space="preserve">REALITY: </w:t>
            </w:r>
            <w:r>
              <w:rPr>
                <w:sz w:val="21"/>
                <w:szCs w:val="21"/>
              </w:rPr>
              <w:t xml:space="preserve">The AI auditor evaluates documentation sufficiency against CPT, CMS, and payer standards. It cannot guarantee payer adjudication outcomes, eligibility, authorization status, or non-documentation-related denial reasons (e.g., timely filing, coordination of benefits).</w:t>
            </w:r>
          </w:p>
        </w:tc>
      </w:tr>
    </w:tbl>
    <w:p>
      <w:pPr>
        <w:spacing w:after="120"/>
      </w:pPr>
    </w:p>
    <w:p>
      <w:pPr>
        <w:pStyle w:val="Heading2"/>
        <w:spacing w:after="160" w:before="360"/>
      </w:pPr>
      <w:r>
        <w:rPr>
          <w:b/>
          <w:bCs/>
          <w:color w:val="2E5A88"/>
          <w:sz w:val="26"/>
          <w:szCs w:val="26"/>
        </w:rPr>
        <w:t xml:space="preserve">1.10 Manual Organization</w:t>
      </w:r>
    </w:p>
    <w:p>
      <w:pPr>
        <w:spacing w:after="160" w:line="276"/>
        <w:jc w:val="both"/>
      </w:pPr>
      <w:r>
        <w:rPr>
          <w:sz w:val="22"/>
          <w:szCs w:val="22"/>
        </w:rPr>
        <w:t xml:space="preserve">Chapters 2 through 4 build the 2023 AMA Medical Decision Making framework element by element (Problems Addressed, Data Reviewed and Analyzed, and Risk), because MDM is the backbone against which most outpatient psychiatric E/M levels are set. Chapter 5 addresses time-based coding and prolonged services. Chapter 6 covers psychotherapy codes, including psychotherapy furnished with E/M on the same date. Chapter 7 addresses controlled substance prescribing documentation specifically, given its outsized role in psychiatric audit risk. Chapter 8 covers the G2211 visit complexity add-on code. Chapters 9 and 10 address Trimera's specialty service lines, Spravato and TMS, in full billing and documentation detail. Chapter 11 covers telehealth-specific documentation requirements. Chapter 12 catalogs payer-specific documentation expectations by name (UHC/Optum, BCBS, Aetna, Cigna, Humana) and distinguishes them from CPT/CMS requirements per the Tier 4 principle in Section 1.6. Chapter 13 consolidates the AI documentation auditor's master decision logic across all code families into unified decision trees. Appendices provide a CPT quick-reference table and glossary.</w:t>
      </w:r>
    </w:p>
    <w:p>
      <w:pPr>
        <w:pStyle w:val="Heading2"/>
        <w:spacing w:after="160" w:before="360"/>
      </w:pPr>
      <w:r>
        <w:rPr>
          <w:b/>
          <w:bCs/>
          <w:color w:val="2E5A88"/>
          <w:sz w:val="26"/>
          <w:szCs w:val="26"/>
        </w:rPr>
        <w:t xml:space="preserve">1.11 Version Control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1F3864" w:val="clear"/>
            <w:tcMar>
              <w:top w:type="dxa" w:w="80"/>
              <w:left w:type="dxa" w:w="120"/>
              <w:bottom w:type="dxa" w:w="80"/>
              <w:right w:type="dxa" w:w="120"/>
            </w:tcMar>
          </w:tcPr>
          <w:p>
            <w:r>
              <w:rPr>
                <w:b/>
                <w:bCs/>
                <w:color w:val="FFFFFF"/>
                <w:sz w:val="20"/>
                <w:szCs w:val="20"/>
              </w:rPr>
              <w:t xml:space="preserve">Field</w:t>
            </w:r>
          </w:p>
        </w:tc>
        <w:tc>
          <w:tcPr>
            <w:tcW w:type="dxa" w:w="6360"/>
            <w:shd w:fill="1F3864" w:val="clear"/>
            <w:tcMar>
              <w:top w:type="dxa" w:w="80"/>
              <w:left w:type="dxa" w:w="120"/>
              <w:bottom w:type="dxa" w:w="80"/>
              <w:right w:type="dxa" w:w="120"/>
            </w:tcMar>
          </w:tcPr>
          <w:p>
            <w:r>
              <w:rPr>
                <w:b/>
                <w:bCs/>
                <w:color w:val="FFFFFF"/>
                <w:sz w:val="20"/>
                <w:szCs w:val="20"/>
              </w:rPr>
              <w:t xml:space="preserve">Value</w:t>
            </w:r>
          </w:p>
        </w:tc>
      </w:tr>
      <w:tr>
        <w:tc>
          <w:tcPr>
            <w:tcW w:type="dxa" w:w="3000"/>
            <w:shd w:fill="FFFFFF" w:val="clear"/>
            <w:tcMar>
              <w:top w:type="dxa" w:w="80"/>
              <w:left w:type="dxa" w:w="120"/>
              <w:bottom w:type="dxa" w:w="80"/>
              <w:right w:type="dxa" w:w="120"/>
            </w:tcMar>
          </w:tcPr>
          <w:p>
            <w:r>
              <w:rPr>
                <w:sz w:val="20"/>
                <w:szCs w:val="20"/>
              </w:rPr>
              <w:t xml:space="preserve">Manual Title</w:t>
            </w:r>
          </w:p>
        </w:tc>
        <w:tc>
          <w:tcPr>
            <w:tcW w:type="dxa" w:w="6360"/>
            <w:shd w:fill="FFFFFF" w:val="clear"/>
            <w:tcMar>
              <w:top w:type="dxa" w:w="80"/>
              <w:left w:type="dxa" w:w="120"/>
              <w:bottom w:type="dxa" w:w="80"/>
              <w:right w:type="dxa" w:w="120"/>
            </w:tcMar>
          </w:tcPr>
          <w:p>
            <w:r>
              <w:rPr>
                <w:sz w:val="20"/>
                <w:szCs w:val="20"/>
              </w:rPr>
              <w:t xml:space="preserve">Trimera Health Documentation &amp; Coding Standards Manual</w:t>
            </w:r>
          </w:p>
        </w:tc>
      </w:tr>
      <w:tr>
        <w:tc>
          <w:tcPr>
            <w:tcW w:type="dxa" w:w="3000"/>
            <w:shd w:fill="F2F2F2" w:val="clear"/>
            <w:tcMar>
              <w:top w:type="dxa" w:w="80"/>
              <w:left w:type="dxa" w:w="120"/>
              <w:bottom w:type="dxa" w:w="80"/>
              <w:right w:type="dxa" w:w="120"/>
            </w:tcMar>
          </w:tcPr>
          <w:p>
            <w:r>
              <w:rPr>
                <w:sz w:val="20"/>
                <w:szCs w:val="20"/>
              </w:rPr>
              <w:t xml:space="preserve">Version</w:t>
            </w:r>
          </w:p>
        </w:tc>
        <w:tc>
          <w:tcPr>
            <w:tcW w:type="dxa" w:w="6360"/>
            <w:shd w:fill="F2F2F2" w:val="clear"/>
            <w:tcMar>
              <w:top w:type="dxa" w:w="80"/>
              <w:left w:type="dxa" w:w="120"/>
              <w:bottom w:type="dxa" w:w="80"/>
              <w:right w:type="dxa" w:w="120"/>
            </w:tcMar>
          </w:tcPr>
          <w:p>
            <w:r>
              <w:rPr>
                <w:sz w:val="20"/>
                <w:szCs w:val="20"/>
              </w:rPr>
              <w:t xml:space="preserve">1.0</w:t>
            </w:r>
          </w:p>
        </w:tc>
      </w:tr>
      <w:tr>
        <w:tc>
          <w:tcPr>
            <w:tcW w:type="dxa" w:w="3000"/>
            <w:shd w:fill="FFFFFF" w:val="clear"/>
            <w:tcMar>
              <w:top w:type="dxa" w:w="80"/>
              <w:left w:type="dxa" w:w="120"/>
              <w:bottom w:type="dxa" w:w="80"/>
              <w:right w:type="dxa" w:w="120"/>
            </w:tcMar>
          </w:tcPr>
          <w:p>
            <w:r>
              <w:rPr>
                <w:sz w:val="20"/>
                <w:szCs w:val="20"/>
              </w:rPr>
              <w:t xml:space="preserve">Scope of This Release</w:t>
            </w:r>
          </w:p>
        </w:tc>
        <w:tc>
          <w:tcPr>
            <w:tcW w:type="dxa" w:w="6360"/>
            <w:shd w:fill="FFFFFF" w:val="clear"/>
            <w:tcMar>
              <w:top w:type="dxa" w:w="80"/>
              <w:left w:type="dxa" w:w="120"/>
              <w:bottom w:type="dxa" w:w="80"/>
              <w:right w:type="dxa" w:w="120"/>
            </w:tcMar>
          </w:tcPr>
          <w:p>
            <w:r>
              <w:rPr>
                <w:sz w:val="20"/>
                <w:szCs w:val="20"/>
              </w:rPr>
              <w:t xml:space="preserve">Chapter 1 of a multi-chapter release; subsequent chapters issued sequentially</w:t>
            </w:r>
          </w:p>
        </w:tc>
      </w:tr>
      <w:tr>
        <w:tc>
          <w:tcPr>
            <w:tcW w:type="dxa" w:w="3000"/>
            <w:shd w:fill="F2F2F2" w:val="clear"/>
            <w:tcMar>
              <w:top w:type="dxa" w:w="80"/>
              <w:left w:type="dxa" w:w="120"/>
              <w:bottom w:type="dxa" w:w="80"/>
              <w:right w:type="dxa" w:w="120"/>
            </w:tcMar>
          </w:tcPr>
          <w:p>
            <w:r>
              <w:rPr>
                <w:sz w:val="20"/>
                <w:szCs w:val="20"/>
              </w:rPr>
              <w:t xml:space="preserve">Baseline Standard</w:t>
            </w:r>
          </w:p>
        </w:tc>
        <w:tc>
          <w:tcPr>
            <w:tcW w:type="dxa" w:w="6360"/>
            <w:shd w:fill="F2F2F2" w:val="clear"/>
            <w:tcMar>
              <w:top w:type="dxa" w:w="80"/>
              <w:left w:type="dxa" w:w="120"/>
              <w:bottom w:type="dxa" w:w="80"/>
              <w:right w:type="dxa" w:w="120"/>
            </w:tcMar>
          </w:tcPr>
          <w:p>
            <w:r>
              <w:rPr>
                <w:sz w:val="20"/>
                <w:szCs w:val="20"/>
              </w:rPr>
              <w:t xml:space="preserve">2023 AMA CPT E/M Guidelines (office/outpatient E/M), as revised for 2024–2026</w:t>
            </w:r>
          </w:p>
        </w:tc>
      </w:tr>
      <w:tr>
        <w:tc>
          <w:tcPr>
            <w:tcW w:type="dxa" w:w="3000"/>
            <w:shd w:fill="FFFFFF" w:val="clear"/>
            <w:tcMar>
              <w:top w:type="dxa" w:w="80"/>
              <w:left w:type="dxa" w:w="120"/>
              <w:bottom w:type="dxa" w:w="80"/>
              <w:right w:type="dxa" w:w="120"/>
            </w:tcMar>
          </w:tcPr>
          <w:p>
            <w:r>
              <w:rPr>
                <w:sz w:val="20"/>
                <w:szCs w:val="20"/>
              </w:rPr>
              <w:t xml:space="preserve">Effective Date</w:t>
            </w:r>
          </w:p>
        </w:tc>
        <w:tc>
          <w:tcPr>
            <w:tcW w:type="dxa" w:w="6360"/>
            <w:shd w:fill="FFFFFF" w:val="clear"/>
            <w:tcMar>
              <w:top w:type="dxa" w:w="80"/>
              <w:left w:type="dxa" w:w="120"/>
              <w:bottom w:type="dxa" w:w="80"/>
              <w:right w:type="dxa" w:w="120"/>
            </w:tcMar>
          </w:tcPr>
          <w:p>
            <w:r>
              <w:rPr>
                <w:sz w:val="20"/>
                <w:szCs w:val="20"/>
              </w:rPr>
              <w:t xml:space="preserve">Upon Trimera compliance sign-off; superseded automatically by future CPT/CMS annual updates</w:t>
            </w:r>
          </w:p>
        </w:tc>
      </w:tr>
      <w:tr>
        <w:tc>
          <w:tcPr>
            <w:tcW w:type="dxa" w:w="3000"/>
            <w:shd w:fill="F2F2F2" w:val="clear"/>
            <w:tcMar>
              <w:top w:type="dxa" w:w="80"/>
              <w:left w:type="dxa" w:w="120"/>
              <w:bottom w:type="dxa" w:w="80"/>
              <w:right w:type="dxa" w:w="120"/>
            </w:tcMar>
          </w:tcPr>
          <w:p>
            <w:r>
              <w:rPr>
                <w:sz w:val="20"/>
                <w:szCs w:val="20"/>
              </w:rPr>
              <w:t xml:space="preserve">Review Cycle</w:t>
            </w:r>
          </w:p>
        </w:tc>
        <w:tc>
          <w:tcPr>
            <w:tcW w:type="dxa" w:w="6360"/>
            <w:shd w:fill="F2F2F2" w:val="clear"/>
            <w:tcMar>
              <w:top w:type="dxa" w:w="80"/>
              <w:left w:type="dxa" w:w="120"/>
              <w:bottom w:type="dxa" w:w="80"/>
              <w:right w:type="dxa" w:w="120"/>
            </w:tcMar>
          </w:tcPr>
          <w:p>
            <w:r>
              <w:rPr>
                <w:sz w:val="20"/>
                <w:szCs w:val="20"/>
              </w:rPr>
              <w:t xml:space="preserve">Annually at CPT/CMS code set release, and immediately upon any named payer's material policy change (e.g., the BCBS TX downcoding policy addressed in Chapter 12)</w:t>
            </w:r>
          </w:p>
        </w:tc>
      </w:tr>
    </w:tbl>
    <w:p>
      <w:r>
        <w:br w:type="page"/>
      </w:r>
    </w:p>
    <w:p>
      <w:pPr>
        <w:pStyle w:val="Heading1"/>
        <w:pBdr>
          <w:bottom w:val="single" w:color="1F3864" w:sz="12" w:space="4"/>
        </w:pBdr>
        <w:spacing w:after="240" w:before="480"/>
      </w:pPr>
      <w:r>
        <w:rPr>
          <w:b/>
          <w:bCs/>
          <w:color w:val="1F3864"/>
          <w:sz w:val="32"/>
          <w:szCs w:val="32"/>
        </w:rPr>
        <w:t xml:space="preserve">Chapter 2 — Medical Decision Making: Number and Complexity of Problems Addressed</w:t>
      </w:r>
    </w:p>
    <w:p>
      <w:pPr>
        <w:pStyle w:val="Heading2"/>
        <w:spacing w:after="160" w:before="360"/>
      </w:pPr>
      <w:r>
        <w:rPr>
          <w:b/>
          <w:bCs/>
          <w:color w:val="2E5A88"/>
          <w:sz w:val="26"/>
          <w:szCs w:val="26"/>
        </w:rPr>
        <w:t xml:space="preserve">2.1 MDM and Its Three Elements</w:t>
      </w:r>
    </w:p>
    <w:p>
      <w:pPr>
        <w:spacing w:after="160" w:line="276"/>
        <w:jc w:val="both"/>
      </w:pPr>
      <w:r>
        <w:rPr>
          <w:sz w:val="22"/>
          <w:szCs w:val="22"/>
        </w:rPr>
        <w:t xml:space="preserve">Under the 2023 AMA CPT Evaluation and Management guidelines (carried forward without material change through the current code set), office and outpatient E/M level for codes 99202–99205 (new patient) and 99212–99215 (established patient) is determined by either </w:t>
      </w:r>
      <w:r>
        <w:rPr>
          <w:b/>
          <w:bCs/>
          <w:sz w:val="22"/>
          <w:szCs w:val="22"/>
        </w:rPr>
        <w:t xml:space="preserve">total time</w:t>
      </w:r>
      <w:r>
        <w:rPr>
          <w:sz w:val="22"/>
          <w:szCs w:val="22"/>
        </w:rPr>
        <w:t xml:space="preserve"> on the date of the encounter (Chapter 5) or the level of </w:t>
      </w:r>
      <w:r>
        <w:rPr>
          <w:b/>
          <w:bCs/>
          <w:sz w:val="22"/>
          <w:szCs w:val="22"/>
        </w:rPr>
        <w:t xml:space="preserve">Medical Decision Making (MDM)</w:t>
      </w:r>
      <w:r>
        <w:rPr>
          <w:sz w:val="22"/>
          <w:szCs w:val="22"/>
        </w:rPr>
        <w:t xml:space="preserve"> — whichever is higher, and whichever the documentation actually supports. MDM itself is built from three elements, and the final MDM level is set by whichever combination rule in Section 2.9 the documented elements satisfy: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5000"/>
        <w:gridCol w:w="1360"/>
      </w:tblGrid>
      <w:tr>
        <w:trPr>
          <w:tblHeader/>
        </w:trPr>
        <w:tc>
          <w:tcPr>
            <w:tcW w:type="dxa" w:w="3000"/>
            <w:shd w:fill="1F3864" w:val="clear"/>
            <w:tcMar>
              <w:top w:type="dxa" w:w="80"/>
              <w:left w:type="dxa" w:w="120"/>
              <w:bottom w:type="dxa" w:w="80"/>
              <w:right w:type="dxa" w:w="120"/>
            </w:tcMar>
          </w:tcPr>
          <w:p>
            <w:r>
              <w:rPr>
                <w:b/>
                <w:bCs/>
                <w:color w:val="FFFFFF"/>
                <w:sz w:val="20"/>
                <w:szCs w:val="20"/>
              </w:rPr>
              <w:t xml:space="preserve">Element</w:t>
            </w:r>
          </w:p>
        </w:tc>
        <w:tc>
          <w:tcPr>
            <w:tcW w:type="dxa" w:w="5000"/>
            <w:shd w:fill="1F3864" w:val="clear"/>
            <w:tcMar>
              <w:top w:type="dxa" w:w="80"/>
              <w:left w:type="dxa" w:w="120"/>
              <w:bottom w:type="dxa" w:w="80"/>
              <w:right w:type="dxa" w:w="120"/>
            </w:tcMar>
          </w:tcPr>
          <w:p>
            <w:r>
              <w:rPr>
                <w:b/>
                <w:bCs/>
                <w:color w:val="FFFFFF"/>
                <w:sz w:val="20"/>
                <w:szCs w:val="20"/>
              </w:rPr>
              <w:t xml:space="preserve">What It Measures</w:t>
            </w:r>
          </w:p>
        </w:tc>
        <w:tc>
          <w:tcPr>
            <w:tcW w:type="dxa" w:w="1360"/>
            <w:shd w:fill="1F3864" w:val="clear"/>
            <w:tcMar>
              <w:top w:type="dxa" w:w="80"/>
              <w:left w:type="dxa" w:w="120"/>
              <w:bottom w:type="dxa" w:w="80"/>
              <w:right w:type="dxa" w:w="120"/>
            </w:tcMar>
          </w:tcPr>
          <w:p>
            <w:r>
              <w:rPr>
                <w:b/>
                <w:bCs/>
                <w:color w:val="FFFFFF"/>
                <w:sz w:val="20"/>
                <w:szCs w:val="20"/>
              </w:rPr>
              <w:t xml:space="preserve">Chapter</w:t>
            </w:r>
          </w:p>
        </w:tc>
      </w:tr>
      <w:tr>
        <w:tc>
          <w:tcPr>
            <w:tcW w:type="dxa" w:w="3000"/>
            <w:shd w:fill="FFFFFF" w:val="clear"/>
            <w:tcMar>
              <w:top w:type="dxa" w:w="80"/>
              <w:left w:type="dxa" w:w="120"/>
              <w:bottom w:type="dxa" w:w="80"/>
              <w:right w:type="dxa" w:w="120"/>
            </w:tcMar>
          </w:tcPr>
          <w:p>
            <w:r>
              <w:rPr>
                <w:sz w:val="20"/>
                <w:szCs w:val="20"/>
              </w:rPr>
              <w:t xml:space="preserve">Problems Addressed</w:t>
            </w:r>
          </w:p>
        </w:tc>
        <w:tc>
          <w:tcPr>
            <w:tcW w:type="dxa" w:w="5000"/>
            <w:shd w:fill="FFFFFF" w:val="clear"/>
            <w:tcMar>
              <w:top w:type="dxa" w:w="80"/>
              <w:left w:type="dxa" w:w="120"/>
              <w:bottom w:type="dxa" w:w="80"/>
              <w:right w:type="dxa" w:w="120"/>
            </w:tcMar>
          </w:tcPr>
          <w:p>
            <w:r>
              <w:rPr>
                <w:sz w:val="20"/>
                <w:szCs w:val="20"/>
              </w:rPr>
              <w:t xml:space="preserve">Number and clinical complexity of the diagnoses, conditions, or presenting concerns actively managed at this encounter</w:t>
            </w:r>
          </w:p>
        </w:tc>
        <w:tc>
          <w:tcPr>
            <w:tcW w:type="dxa" w:w="1360"/>
            <w:shd w:fill="FFFFFF" w:val="clear"/>
            <w:tcMar>
              <w:top w:type="dxa" w:w="80"/>
              <w:left w:type="dxa" w:w="120"/>
              <w:bottom w:type="dxa" w:w="80"/>
              <w:right w:type="dxa" w:w="120"/>
            </w:tcMar>
          </w:tcPr>
          <w:p>
            <w:r>
              <w:rPr>
                <w:sz w:val="20"/>
                <w:szCs w:val="20"/>
              </w:rPr>
              <w:t xml:space="preserve">Chapter 2 (this chapter)</w:t>
            </w:r>
          </w:p>
        </w:tc>
      </w:tr>
      <w:tr>
        <w:tc>
          <w:tcPr>
            <w:tcW w:type="dxa" w:w="3000"/>
            <w:shd w:fill="F2F2F2" w:val="clear"/>
            <w:tcMar>
              <w:top w:type="dxa" w:w="80"/>
              <w:left w:type="dxa" w:w="120"/>
              <w:bottom w:type="dxa" w:w="80"/>
              <w:right w:type="dxa" w:w="120"/>
            </w:tcMar>
          </w:tcPr>
          <w:p>
            <w:r>
              <w:rPr>
                <w:sz w:val="20"/>
                <w:szCs w:val="20"/>
              </w:rPr>
              <w:t xml:space="preserve">Data Reviewed and Analyzed</w:t>
            </w:r>
          </w:p>
        </w:tc>
        <w:tc>
          <w:tcPr>
            <w:tcW w:type="dxa" w:w="5000"/>
            <w:shd w:fill="F2F2F2" w:val="clear"/>
            <w:tcMar>
              <w:top w:type="dxa" w:w="80"/>
              <w:left w:type="dxa" w:w="120"/>
              <w:bottom w:type="dxa" w:w="80"/>
              <w:right w:type="dxa" w:w="120"/>
            </w:tcMar>
          </w:tcPr>
          <w:p>
            <w:r>
              <w:rPr>
                <w:sz w:val="20"/>
                <w:szCs w:val="20"/>
              </w:rPr>
              <w:t xml:space="preserve">Amount and complexity of records, tests, rating scales, collateral sources, and interprofessional discussion factored into the encounter</w:t>
            </w:r>
          </w:p>
        </w:tc>
        <w:tc>
          <w:tcPr>
            <w:tcW w:type="dxa" w:w="1360"/>
            <w:shd w:fill="F2F2F2" w:val="clear"/>
            <w:tcMar>
              <w:top w:type="dxa" w:w="80"/>
              <w:left w:type="dxa" w:w="120"/>
              <w:bottom w:type="dxa" w:w="80"/>
              <w:right w:type="dxa" w:w="120"/>
            </w:tcMar>
          </w:tcPr>
          <w:p>
            <w:r>
              <w:rPr>
                <w:sz w:val="20"/>
                <w:szCs w:val="20"/>
              </w:rPr>
              <w:t xml:space="preserve">Chapter 3</w:t>
            </w:r>
          </w:p>
        </w:tc>
      </w:tr>
      <w:tr>
        <w:tc>
          <w:tcPr>
            <w:tcW w:type="dxa" w:w="3000"/>
            <w:shd w:fill="FFFFFF" w:val="clear"/>
            <w:tcMar>
              <w:top w:type="dxa" w:w="80"/>
              <w:left w:type="dxa" w:w="120"/>
              <w:bottom w:type="dxa" w:w="80"/>
              <w:right w:type="dxa" w:w="120"/>
            </w:tcMar>
          </w:tcPr>
          <w:p>
            <w:r>
              <w:rPr>
                <w:sz w:val="20"/>
                <w:szCs w:val="20"/>
              </w:rPr>
              <w:t xml:space="preserve">Risk of Complications, Morbidity, or Mortality</w:t>
            </w:r>
          </w:p>
        </w:tc>
        <w:tc>
          <w:tcPr>
            <w:tcW w:type="dxa" w:w="5000"/>
            <w:shd w:fill="FFFFFF" w:val="clear"/>
            <w:tcMar>
              <w:top w:type="dxa" w:w="80"/>
              <w:left w:type="dxa" w:w="120"/>
              <w:bottom w:type="dxa" w:w="80"/>
              <w:right w:type="dxa" w:w="120"/>
            </w:tcMar>
          </w:tcPr>
          <w:p>
            <w:r>
              <w:rPr>
                <w:sz w:val="20"/>
                <w:szCs w:val="20"/>
              </w:rPr>
              <w:t xml:space="preserve">Risk associated with the management decisions made at this encounter, including medication management and treatment options considered</w:t>
            </w:r>
          </w:p>
        </w:tc>
        <w:tc>
          <w:tcPr>
            <w:tcW w:type="dxa" w:w="1360"/>
            <w:shd w:fill="FFFFFF" w:val="clear"/>
            <w:tcMar>
              <w:top w:type="dxa" w:w="80"/>
              <w:left w:type="dxa" w:w="120"/>
              <w:bottom w:type="dxa" w:w="80"/>
              <w:right w:type="dxa" w:w="120"/>
            </w:tcMar>
          </w:tcPr>
          <w:p>
            <w:r>
              <w:rPr>
                <w:sz w:val="20"/>
                <w:szCs w:val="20"/>
              </w:rPr>
              <w:t xml:space="preserve">Chapter 4</w:t>
            </w:r>
          </w:p>
        </w:tc>
      </w:tr>
    </w:tbl>
    <w:p>
      <w:pPr>
        <w:spacing w:after="120"/>
      </w:pPr>
    </w:p>
    <w:p>
      <w:pPr>
        <w:spacing w:after="160" w:line="276"/>
        <w:jc w:val="both"/>
      </w:pPr>
      <w:r>
        <w:rPr>
          <w:sz w:val="22"/>
          <w:szCs w:val="22"/>
        </w:rPr>
        <w:t xml:space="preserve">This chapter addresses only the first element. A note cannot be leveled from this chapter alone — the AI documentation auditor never issues a final MDM level determination until Chapters 2, 3, and 4 have each been evaluated and combined under the synthesis rule in Section 2.9.</w:t>
      </w:r>
    </w:p>
    <w:p>
      <w:pPr>
        <w:pStyle w:val="Heading2"/>
        <w:spacing w:after="160" w:before="360"/>
      </w:pPr>
      <w:r>
        <w:rPr>
          <w:b/>
          <w:bCs/>
          <w:color w:val="2E5A88"/>
          <w:sz w:val="26"/>
          <w:szCs w:val="26"/>
        </w:rPr>
        <w:t xml:space="preserve">2.2 Defining "Problem Addressed"</w:t>
      </w:r>
    </w:p>
    <w:p>
      <w:pPr>
        <w:spacing w:after="160" w:line="276"/>
        <w:jc w:val="both"/>
      </w:pPr>
      <w:r>
        <w:rPr>
          <w:sz w:val="22"/>
          <w:szCs w:val="22"/>
        </w:rPr>
        <w:t xml:space="preserve">CPT defines a </w:t>
      </w:r>
      <w:r>
        <w:rPr>
          <w:b/>
          <w:bCs/>
          <w:sz w:val="22"/>
          <w:szCs w:val="22"/>
        </w:rPr>
        <w:t xml:space="preserve">problem addressed</w:t>
      </w:r>
      <w:r>
        <w:rPr>
          <w:sz w:val="22"/>
          <w:szCs w:val="22"/>
        </w:rPr>
        <w:t xml:space="preserve"> as a condition, illness, injury, symptom, or complaint that is evaluated or treated at the encounter — meaning the provider made an assessment, obtained additional history, reviewed data, or initiated, continued, or adjusted management related to that problem </w:t>
      </w:r>
      <w:r>
        <w:rPr>
          <w:i/>
          <w:iCs/>
          <w:sz w:val="22"/>
          <w:szCs w:val="22"/>
        </w:rPr>
        <w:t xml:space="preserve">at this visit</w:t>
      </w:r>
      <w:r>
        <w:rPr>
          <w:sz w:val="22"/>
          <w:szCs w:val="22"/>
        </w:rPr>
        <w:t xml:space="preserve">. A diagnosis that appears only in the patient's problem list or past medical history, with no evidence the provider considered it at this encounter, is not a problem addressed for MDM purposes, even if it is clinically relevant to the patient overall.</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PA-2.2  —  Listing Is Not Addressing</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E/M Guidelines, 2023 (Office/Outpatient E/M), definition of “problem addressed.”</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Prevents MDM credit for diagnoses that were not actually part of this encounter's clinical work, which would inflate complexity without corresponding clinical effort.</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A condition counts as a problem addressed only if the note reflects that the provider evaluated, assessed, or managed it at this specific encounter. Carrying a diagnosis in an auto-populated problem list, without independent assessment language for that visit, does not count.</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A patient with a psychiatric history of PTSD and a current visit focused solely on stimulant management for ADHD should not have PTSD counted toward Problems Addressed unless the note documents that PTSD symptoms, status, or treatment were actually reviewed at this visit.</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a diagnosis appears in the assessment/plan with encounter-specific status language (e.g., ‘stable,’ ‘worsening,’ ‘improved,’ ‘new onset’) OR is tied to a documented management action THEN count it as addressed. IF a diagnosis appears only in a static problem list or history section with no encounter-specific language THEN exclude it from the Problems Addressed count and flag as list-only for reviewer visibility.</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COMMON DOCUMENTATION FAILURES</w:t>
            </w:r>
          </w:p>
          <w:p>
            <w:pPr>
              <w:spacing w:after="0" w:line="264"/>
              <w:jc w:val="both"/>
            </w:pPr>
            <w:r>
              <w:rPr>
                <w:sz w:val="21"/>
                <w:szCs w:val="21"/>
              </w:rPr>
              <w:t xml:space="preserve">EHR problem list auto-imports 8–12 diagnoses into the note header; provider does not delete inactive ones or annotate current-visit status; coder or auditor cannot tell which were actually addressed today.</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COMMON AUDIT FINDINGS</w:t>
            </w:r>
          </w:p>
          <w:p>
            <w:pPr>
              <w:spacing w:after="0" w:line="264"/>
              <w:jc w:val="both"/>
            </w:pPr>
            <w:r>
              <w:rPr>
                <w:sz w:val="21"/>
                <w:szCs w:val="21"/>
              </w:rPr>
              <w:t xml:space="preserve">Auditors specifically look for this pattern in behavioral health notes because templated EHRs make list-only diagnoses common; it is one of the most frequently cited MDM downgrade reasons in commercial payer post-payment review.</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Every diagnosis counted toward the visit's MDM must appear in the Assessment with at least one encounter-specific status word or management action. Trimera templates should require this field to be free-text, not auto-carried, for every active problem.</w:t>
            </w:r>
          </w:p>
        </w:tc>
      </w:tr>
    </w:tbl>
    <w:p>
      <w:pPr>
        <w:spacing w:after="120"/>
      </w:pPr>
    </w:p>
    <w:p>
      <w:pPr>
        <w:pStyle w:val="Heading2"/>
        <w:spacing w:after="160" w:before="360"/>
      </w:pPr>
      <w:r>
        <w:rPr>
          <w:b/>
          <w:bCs/>
          <w:color w:val="2E5A88"/>
          <w:sz w:val="26"/>
          <w:szCs w:val="26"/>
        </w:rPr>
        <w:t xml:space="preserve">2.3 The Four Complexity Tiers</w:t>
      </w:r>
    </w:p>
    <w:p>
      <w:pPr>
        <w:spacing w:after="160" w:line="276"/>
        <w:jc w:val="both"/>
      </w:pPr>
      <w:r>
        <w:rPr>
          <w:sz w:val="22"/>
          <w:szCs w:val="22"/>
        </w:rPr>
        <w:t xml:space="preserve">CPT recognizes four levels of problem complexity, each mapped to a straightforward/low/moderate/high MDM tier. The table below adapts CPT's generic descriptors into outpatient psychiatric language.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2100"/>
        <w:gridCol w:w="3100"/>
        <w:gridCol w:w="3060"/>
      </w:tblGrid>
      <w:tr>
        <w:trPr>
          <w:tblHeader/>
        </w:trPr>
        <w:tc>
          <w:tcPr>
            <w:tcW w:type="dxa" w:w="1100"/>
            <w:shd w:fill="1F3864" w:val="clear"/>
            <w:tcMar>
              <w:top w:type="dxa" w:w="80"/>
              <w:left w:type="dxa" w:w="120"/>
              <w:bottom w:type="dxa" w:w="80"/>
              <w:right w:type="dxa" w:w="120"/>
            </w:tcMar>
          </w:tcPr>
          <w:p>
            <w:r>
              <w:rPr>
                <w:b/>
                <w:bCs/>
                <w:color w:val="FFFFFF"/>
                <w:sz w:val="20"/>
                <w:szCs w:val="20"/>
              </w:rPr>
              <w:t xml:space="preserve">MDM Tier</w:t>
            </w:r>
          </w:p>
        </w:tc>
        <w:tc>
          <w:tcPr>
            <w:tcW w:type="dxa" w:w="2100"/>
            <w:shd w:fill="1F3864" w:val="clear"/>
            <w:tcMar>
              <w:top w:type="dxa" w:w="80"/>
              <w:left w:type="dxa" w:w="120"/>
              <w:bottom w:type="dxa" w:w="80"/>
              <w:right w:type="dxa" w:w="120"/>
            </w:tcMar>
          </w:tcPr>
          <w:p>
            <w:r>
              <w:rPr>
                <w:b/>
                <w:bCs/>
                <w:color w:val="FFFFFF"/>
                <w:sz w:val="20"/>
                <w:szCs w:val="20"/>
              </w:rPr>
              <w:t xml:space="preserve">CPT Descriptor</w:t>
            </w:r>
          </w:p>
        </w:tc>
        <w:tc>
          <w:tcPr>
            <w:tcW w:type="dxa" w:w="3100"/>
            <w:shd w:fill="1F3864" w:val="clear"/>
            <w:tcMar>
              <w:top w:type="dxa" w:w="80"/>
              <w:left w:type="dxa" w:w="120"/>
              <w:bottom w:type="dxa" w:w="80"/>
              <w:right w:type="dxa" w:w="120"/>
            </w:tcMar>
          </w:tcPr>
          <w:p>
            <w:r>
              <w:rPr>
                <w:b/>
                <w:bCs/>
                <w:color w:val="FFFFFF"/>
                <w:sz w:val="20"/>
                <w:szCs w:val="20"/>
              </w:rPr>
              <w:t xml:space="preserve">Psychiatric Translation</w:t>
            </w:r>
          </w:p>
        </w:tc>
        <w:tc>
          <w:tcPr>
            <w:tcW w:type="dxa" w:w="3060"/>
            <w:shd w:fill="1F3864" w:val="clear"/>
            <w:tcMar>
              <w:top w:type="dxa" w:w="80"/>
              <w:left w:type="dxa" w:w="120"/>
              <w:bottom w:type="dxa" w:w="80"/>
              <w:right w:type="dxa" w:w="120"/>
            </w:tcMar>
          </w:tcPr>
          <w:p>
            <w:r>
              <w:rPr>
                <w:b/>
                <w:bCs/>
                <w:color w:val="FFFFFF"/>
                <w:sz w:val="20"/>
                <w:szCs w:val="20"/>
              </w:rPr>
              <w:t xml:space="preserve">Representative Examples</w:t>
            </w:r>
          </w:p>
        </w:tc>
      </w:tr>
      <w:tr>
        <w:tc>
          <w:tcPr>
            <w:tcW w:type="dxa" w:w="1100"/>
            <w:shd w:fill="FFFFFF" w:val="clear"/>
            <w:tcMar>
              <w:top w:type="dxa" w:w="80"/>
              <w:left w:type="dxa" w:w="120"/>
              <w:bottom w:type="dxa" w:w="80"/>
              <w:right w:type="dxa" w:w="120"/>
            </w:tcMar>
          </w:tcPr>
          <w:p>
            <w:r>
              <w:rPr>
                <w:sz w:val="20"/>
                <w:szCs w:val="20"/>
              </w:rPr>
              <w:t xml:space="preserve">Straightforward</w:t>
            </w:r>
          </w:p>
        </w:tc>
        <w:tc>
          <w:tcPr>
            <w:tcW w:type="dxa" w:w="2100"/>
            <w:shd w:fill="FFFFFF" w:val="clear"/>
            <w:tcMar>
              <w:top w:type="dxa" w:w="80"/>
              <w:left w:type="dxa" w:w="120"/>
              <w:bottom w:type="dxa" w:w="80"/>
              <w:right w:type="dxa" w:w="120"/>
            </w:tcMar>
          </w:tcPr>
          <w:p>
            <w:r>
              <w:rPr>
                <w:sz w:val="20"/>
                <w:szCs w:val="20"/>
              </w:rPr>
              <w:t xml:space="preserve">Minimal problem(s)</w:t>
            </w:r>
          </w:p>
        </w:tc>
        <w:tc>
          <w:tcPr>
            <w:tcW w:type="dxa" w:w="3100"/>
            <w:shd w:fill="FFFFFF" w:val="clear"/>
            <w:tcMar>
              <w:top w:type="dxa" w:w="80"/>
              <w:left w:type="dxa" w:w="120"/>
              <w:bottom w:type="dxa" w:w="80"/>
              <w:right w:type="dxa" w:w="120"/>
            </w:tcMar>
          </w:tcPr>
          <w:p>
            <w:r>
              <w:rPr>
                <w:sz w:val="20"/>
                <w:szCs w:val="20"/>
              </w:rPr>
              <w:t xml:space="preserve">A single self-limited concern requiring minimal clinical judgment</w:t>
            </w:r>
          </w:p>
        </w:tc>
        <w:tc>
          <w:tcPr>
            <w:tcW w:type="dxa" w:w="3060"/>
            <w:shd w:fill="FFFFFF" w:val="clear"/>
            <w:tcMar>
              <w:top w:type="dxa" w:w="80"/>
              <w:left w:type="dxa" w:w="120"/>
              <w:bottom w:type="dxa" w:w="80"/>
              <w:right w:type="dxa" w:w="120"/>
            </w:tcMar>
          </w:tcPr>
          <w:p>
            <w:r>
              <w:rPr>
                <w:sz w:val="20"/>
                <w:szCs w:val="20"/>
              </w:rPr>
              <w:t xml:space="preserve">Brief adjustment reaction with no functional impairment; single mild insomnia complaint with clear precipitant</w:t>
            </w:r>
          </w:p>
        </w:tc>
      </w:tr>
      <w:tr>
        <w:tc>
          <w:tcPr>
            <w:tcW w:type="dxa" w:w="1100"/>
            <w:shd w:fill="F2F2F2" w:val="clear"/>
            <w:tcMar>
              <w:top w:type="dxa" w:w="80"/>
              <w:left w:type="dxa" w:w="120"/>
              <w:bottom w:type="dxa" w:w="80"/>
              <w:right w:type="dxa" w:w="120"/>
            </w:tcMar>
          </w:tcPr>
          <w:p>
            <w:r>
              <w:rPr>
                <w:sz w:val="20"/>
                <w:szCs w:val="20"/>
              </w:rPr>
              <w:t xml:space="preserve">Low</w:t>
            </w:r>
          </w:p>
        </w:tc>
        <w:tc>
          <w:tcPr>
            <w:tcW w:type="dxa" w:w="2100"/>
            <w:shd w:fill="F2F2F2" w:val="clear"/>
            <w:tcMar>
              <w:top w:type="dxa" w:w="80"/>
              <w:left w:type="dxa" w:w="120"/>
              <w:bottom w:type="dxa" w:w="80"/>
              <w:right w:type="dxa" w:w="120"/>
            </w:tcMar>
          </w:tcPr>
          <w:p>
            <w:r>
              <w:rPr>
                <w:sz w:val="20"/>
                <w:szCs w:val="20"/>
              </w:rPr>
              <w:t xml:space="preserve">1 stable chronic illness, OR 2+ self-limited/minor problems, OR 1 acute uncomplicated illness/injury</w:t>
            </w:r>
          </w:p>
        </w:tc>
        <w:tc>
          <w:tcPr>
            <w:tcW w:type="dxa" w:w="3100"/>
            <w:shd w:fill="F2F2F2" w:val="clear"/>
            <w:tcMar>
              <w:top w:type="dxa" w:w="80"/>
              <w:left w:type="dxa" w:w="120"/>
              <w:bottom w:type="dxa" w:w="80"/>
              <w:right w:type="dxa" w:w="120"/>
            </w:tcMar>
          </w:tcPr>
          <w:p>
            <w:r>
              <w:rPr>
                <w:sz w:val="20"/>
                <w:szCs w:val="20"/>
              </w:rPr>
              <w:t xml:space="preserve">A stable, well-controlled chronic psychiatric condition on unchanged treatment, or a minor new complaint</w:t>
            </w:r>
          </w:p>
        </w:tc>
        <w:tc>
          <w:tcPr>
            <w:tcW w:type="dxa" w:w="3060"/>
            <w:shd w:fill="F2F2F2" w:val="clear"/>
            <w:tcMar>
              <w:top w:type="dxa" w:w="80"/>
              <w:left w:type="dxa" w:w="120"/>
              <w:bottom w:type="dxa" w:w="80"/>
              <w:right w:type="dxa" w:w="120"/>
            </w:tcMar>
          </w:tcPr>
          <w:p>
            <w:r>
              <w:rPr>
                <w:sz w:val="20"/>
                <w:szCs w:val="20"/>
              </w:rPr>
              <w:t xml:space="preserve">Stable MDD in remission on unchanged SSRI; stable, well-controlled GAD; new mild adjustment-related sleep complaint</w:t>
            </w:r>
          </w:p>
        </w:tc>
      </w:tr>
      <w:tr>
        <w:tc>
          <w:tcPr>
            <w:tcW w:type="dxa" w:w="1100"/>
            <w:shd w:fill="FFFFFF" w:val="clear"/>
            <w:tcMar>
              <w:top w:type="dxa" w:w="80"/>
              <w:left w:type="dxa" w:w="120"/>
              <w:bottom w:type="dxa" w:w="80"/>
              <w:right w:type="dxa" w:w="120"/>
            </w:tcMar>
          </w:tcPr>
          <w:p>
            <w:r>
              <w:rPr>
                <w:sz w:val="20"/>
                <w:szCs w:val="20"/>
              </w:rPr>
              <w:t xml:space="preserve">Moderate</w:t>
            </w:r>
          </w:p>
        </w:tc>
        <w:tc>
          <w:tcPr>
            <w:tcW w:type="dxa" w:w="2100"/>
            <w:shd w:fill="FFFFFF" w:val="clear"/>
            <w:tcMar>
              <w:top w:type="dxa" w:w="80"/>
              <w:left w:type="dxa" w:w="120"/>
              <w:bottom w:type="dxa" w:w="80"/>
              <w:right w:type="dxa" w:w="120"/>
            </w:tcMar>
          </w:tcPr>
          <w:p>
            <w:r>
              <w:rPr>
                <w:sz w:val="20"/>
                <w:szCs w:val="20"/>
              </w:rPr>
              <w:t xml:space="preserve">1+ chronic illness with exacerbation/progression/side effects, OR 2+ stable chronic illnesses, OR 1 undiagnosed new problem with uncertain prognosis, OR acute illness with systemic symptoms, OR acute complicated injury</w:t>
            </w:r>
          </w:p>
        </w:tc>
        <w:tc>
          <w:tcPr>
            <w:tcW w:type="dxa" w:w="3100"/>
            <w:shd w:fill="FFFFFF" w:val="clear"/>
            <w:tcMar>
              <w:top w:type="dxa" w:w="80"/>
              <w:left w:type="dxa" w:w="120"/>
              <w:bottom w:type="dxa" w:w="80"/>
              <w:right w:type="dxa" w:w="120"/>
            </w:tcMar>
          </w:tcPr>
          <w:p>
            <w:r>
              <w:rPr>
                <w:sz w:val="20"/>
                <w:szCs w:val="20"/>
              </w:rPr>
              <w:t xml:space="preserve">A chronic condition that is worsening, side-effect-limited, or requires treatment change; two or more stable chronic conditions managed together; a genuinely new psychiatric presentation without an established diagnosis</w:t>
            </w:r>
          </w:p>
        </w:tc>
        <w:tc>
          <w:tcPr>
            <w:tcW w:type="dxa" w:w="3060"/>
            <w:shd w:fill="FFFFFF" w:val="clear"/>
            <w:tcMar>
              <w:top w:type="dxa" w:w="80"/>
              <w:left w:type="dxa" w:w="120"/>
              <w:bottom w:type="dxa" w:w="80"/>
              <w:right w:type="dxa" w:w="120"/>
            </w:tcMar>
          </w:tcPr>
          <w:p>
            <w:r>
              <w:rPr>
                <w:sz w:val="20"/>
                <w:szCs w:val="20"/>
              </w:rPr>
              <w:t xml:space="preserve">MDD with breakthrough symptoms on current dose; GAD plus stable stable ADHD both managed same visit; new-onset panic symptoms of uncertain etiology; medication side effect requiring dose adjustment</w:t>
            </w:r>
          </w:p>
        </w:tc>
      </w:tr>
      <w:tr>
        <w:tc>
          <w:tcPr>
            <w:tcW w:type="dxa" w:w="1100"/>
            <w:shd w:fill="F2F2F2" w:val="clear"/>
            <w:tcMar>
              <w:top w:type="dxa" w:w="80"/>
              <w:left w:type="dxa" w:w="120"/>
              <w:bottom w:type="dxa" w:w="80"/>
              <w:right w:type="dxa" w:w="120"/>
            </w:tcMar>
          </w:tcPr>
          <w:p>
            <w:r>
              <w:rPr>
                <w:sz w:val="20"/>
                <w:szCs w:val="20"/>
              </w:rPr>
              <w:t xml:space="preserve">High</w:t>
            </w:r>
          </w:p>
        </w:tc>
        <w:tc>
          <w:tcPr>
            <w:tcW w:type="dxa" w:w="2100"/>
            <w:shd w:fill="F2F2F2" w:val="clear"/>
            <w:tcMar>
              <w:top w:type="dxa" w:w="80"/>
              <w:left w:type="dxa" w:w="120"/>
              <w:bottom w:type="dxa" w:w="80"/>
              <w:right w:type="dxa" w:w="120"/>
            </w:tcMar>
          </w:tcPr>
          <w:p>
            <w:r>
              <w:rPr>
                <w:sz w:val="20"/>
                <w:szCs w:val="20"/>
              </w:rPr>
              <w:t xml:space="preserve">1+ chronic illness with severe exacerbation/progression, OR side effects posing threat to life/bodily function, OR acute illness/injury posing threat to life/bodily function</w:t>
            </w:r>
          </w:p>
        </w:tc>
        <w:tc>
          <w:tcPr>
            <w:tcW w:type="dxa" w:w="3100"/>
            <w:shd w:fill="F2F2F2" w:val="clear"/>
            <w:tcMar>
              <w:top w:type="dxa" w:w="80"/>
              <w:left w:type="dxa" w:w="120"/>
              <w:bottom w:type="dxa" w:w="80"/>
              <w:right w:type="dxa" w:w="120"/>
            </w:tcMar>
          </w:tcPr>
          <w:p>
            <w:r>
              <w:rPr>
                <w:sz w:val="20"/>
                <w:szCs w:val="20"/>
              </w:rPr>
              <w:t xml:space="preserve">Acute safety risk, severe destabilization, or a medication effect that is medically dangerous</w:t>
            </w:r>
          </w:p>
        </w:tc>
        <w:tc>
          <w:tcPr>
            <w:tcW w:type="dxa" w:w="3060"/>
            <w:shd w:fill="F2F2F2" w:val="clear"/>
            <w:tcMar>
              <w:top w:type="dxa" w:w="80"/>
              <w:left w:type="dxa" w:w="120"/>
              <w:bottom w:type="dxa" w:w="80"/>
              <w:right w:type="dxa" w:w="120"/>
            </w:tcMar>
          </w:tcPr>
          <w:p>
            <w:r>
              <w:rPr>
                <w:sz w:val="20"/>
                <w:szCs w:val="20"/>
              </w:rPr>
              <w:t xml:space="preserve">Active suicidal ideation with plan; acute mania with impaired judgment; serotonin syndrome or NMS concern; lithium toxicity symptoms</w:t>
            </w:r>
          </w:p>
        </w:tc>
      </w:tr>
    </w:tbl>
    <w:p>
      <w:pPr>
        <w:spacing w:after="120"/>
      </w:pPr>
    </w:p>
    <w:p>
      <w:pPr>
        <w:pStyle w:val="Heading2"/>
        <w:spacing w:after="160" w:before="360"/>
      </w:pPr>
      <w:r>
        <w:rPr>
          <w:b/>
          <w:bCs/>
          <w:color w:val="2E5A88"/>
          <w:sz w:val="26"/>
          <w:szCs w:val="26"/>
        </w:rPr>
        <w:t xml:space="preserve">2.4 Chronic Illness With Exacerbation, Progression, or Side Effects — the Workhorse Moderate Category</w:t>
      </w:r>
    </w:p>
    <w:p>
      <w:pPr>
        <w:spacing w:after="160" w:line="276"/>
        <w:jc w:val="both"/>
      </w:pPr>
      <w:r>
        <w:rPr>
          <w:sz w:val="22"/>
          <w:szCs w:val="22"/>
        </w:rPr>
        <w:t xml:space="preserve">In outpatient psychiatric practice, the single most frequently applicable moderate-complexity problem category is </w:t>
      </w:r>
      <w:r>
        <w:rPr>
          <w:b/>
          <w:bCs/>
          <w:sz w:val="22"/>
          <w:szCs w:val="22"/>
        </w:rPr>
        <w:t xml:space="preserve">“one or more chronic illnesses with exacerbation, progression, or side effects of treatment.”</w:t>
      </w:r>
      <w:r>
        <w:rPr>
          <w:sz w:val="22"/>
          <w:szCs w:val="22"/>
        </w:rPr>
        <w:t xml:space="preserve"> This category is doing a great deal of work in psychiatric coding and is also the category most often misapplied in both directions — undercoded when providers do not realize a medication side effect qualifies, and overcoded when “exacerbation” is asserted without supporting detail.</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PA-2.4  —  Exacerbation, Progression, and Treatment Side Effects</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E/M Guidelines, 2023, Table of Risk / Problem Complexity definitions.</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Distinguishes a chronic condition that is being actively, non-routinely managed from one that is simply being monitored at a stable baseline.</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A chronic illness qualifies as moderate complexity when the note documents that it is exacerbated (worse than baseline), progressing (trending worse over time even if not acutely), or that the patient is experiencing side effects from its treatment — and the note reflects a management response to that status, not merely a mention of it.</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‘Patient reports increased anxiety over the past two weeks, PHQ-9 up from 6 to 14, attributes to workplace stressor, discussed increasing sertraline from 50mg to 100mg’ documents exacerbation and a management response. ‘Anxiety ongoing, continue sertraline 50mg’ without a stated change in status does not.</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assessment language includes a comparative worsening indicator (score change, symptom trend, new side effect) AND a corresponding management action (dose change, added intervention, referral, closer follow-up interval) is documented THEN classify as moderate-complexity chronic illness with exacerbation. IF worsening is asserted with no comparative baseline or no management response THEN flag as underspecified rather than auto-classifying as moderate.</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COMMON DOCUMENTATION FAILURES</w:t>
            </w:r>
          </w:p>
          <w:p>
            <w:pPr>
              <w:spacing w:after="0" w:line="264"/>
              <w:jc w:val="both"/>
            </w:pPr>
            <w:r>
              <w:rPr>
                <w:sz w:val="21"/>
                <w:szCs w:val="21"/>
              </w:rPr>
              <w:t xml:space="preserve">Provider writes ‘symptoms worse’ without any baseline comparison (score, prior note reference, or duration), making it unclear whether this reflects a genuine exacerbation or normal day-to-day symptom variability.</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Pair every exacerbation claim with an objective or semi-objective anchor — a rating scale delta, a specific new symptom, or a specific functional change — and state the resulting management decision explicitly, even when the decision is to hold current treatment and monitor.</w:t>
            </w:r>
          </w:p>
        </w:tc>
      </w:tr>
    </w:tbl>
    <w:p>
      <w:pPr>
        <w:spacing w:after="120"/>
      </w:pPr>
    </w:p>
    <w:p>
      <w:pPr>
        <w:pStyle w:val="Heading2"/>
        <w:spacing w:after="160" w:before="360"/>
      </w:pPr>
      <w:r>
        <w:rPr>
          <w:b/>
          <w:bCs/>
          <w:color w:val="2E5A88"/>
          <w:sz w:val="26"/>
          <w:szCs w:val="26"/>
        </w:rPr>
        <w:t xml:space="preserve">2.5 Two or More Stable Chronic Illnesses</w:t>
      </w:r>
    </w:p>
    <w:p>
      <w:pPr>
        <w:spacing w:after="160" w:line="276"/>
        <w:jc w:val="both"/>
      </w:pPr>
      <w:r>
        <w:rPr>
          <w:sz w:val="22"/>
          <w:szCs w:val="22"/>
        </w:rPr>
        <w:t xml:space="preserve">A visit addressing two or more stable, well-controlled chronic conditions reaches moderate complexity even without exacerbation of either one — this is a common and easily overlooked path to moderate complexity in psychiatric practice, where comorbidity (e.g., MDD plus GAD, or ADHD plus a mood disorder) is the norm rather than the exception.</w:t>
      </w:r>
    </w:p>
    <w:tbl>
      <w:tblPr>
        <w:tblW w:type="dxa" w:w="9360"/>
        <w:tblBorders>
          <w:top w:val="single" w:color="2E5A88" w:sz="4"/>
          <w:left w:val="single" w:color="2E5A88" w:sz="4"/>
          <w:bottom w:val="single" w:color="2E5A88" w:sz="4"/>
          <w:right w:val="single" w:color="2E5A88"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2E5A88"/>
                <w:sz w:val="21"/>
                <w:szCs w:val="21"/>
              </w:rPr>
              <w:t xml:space="preserve">EXAMPLE — MODERATE VIA TWO STABLE CHRONIC CONDITIONS</w:t>
            </w:r>
          </w:p>
          <w:p>
            <w:pPr>
              <w:spacing w:after="60"/>
            </w:pPr>
            <w:r>
              <w:rPr>
                <w:b/>
                <w:bCs/>
                <w:i/>
                <w:iCs/>
                <w:sz w:val="21"/>
                <w:szCs w:val="21"/>
              </w:rPr>
              <w:t xml:space="preserve">Note excerpt: </w:t>
            </w:r>
            <w:r>
              <w:rPr>
                <w:i/>
                <w:iCs/>
                <w:sz w:val="21"/>
                <w:szCs w:val="21"/>
              </w:rPr>
              <w:t xml:space="preserve">Established patient with MDD and GAD, both in sustained remission on unchanged escitalopram 20mg. Assessment: ‘MDD — stable, PHQ-9 3, continue current dose. GAD — stable, GAD-7 2, continue current dose. No medication changes; follow up 3 months.’</w:t>
            </w:r>
          </w:p>
          <w:p>
            <w:pPr>
              <w:spacing w:after="60"/>
            </w:pPr>
            <w:r>
              <w:rPr>
                <w:sz w:val="21"/>
                <w:szCs w:val="21"/>
              </w:rPr>
              <w:t xml:space="default"/>
            </w:r>
          </w:p>
        </w:tc>
      </w:tr>
    </w:tbl>
    <w:p>
      <w:pPr>
        <w:spacing w:after="120"/>
      </w:pPr>
    </w:p>
    <w:p>
      <w:pPr>
        <w:pStyle w:val="Heading2"/>
        <w:spacing w:after="160" w:before="360"/>
      </w:pPr>
      <w:r>
        <w:rPr>
          <w:b/>
          <w:bCs/>
          <w:color w:val="2E5A88"/>
          <w:sz w:val="26"/>
          <w:szCs w:val="26"/>
        </w:rPr>
        <w:t xml:space="preserve">2.6 Undiagnosed New Problem With Uncertain Prognosis</w:t>
      </w:r>
    </w:p>
    <w:p>
      <w:pPr>
        <w:spacing w:after="160" w:line="276"/>
        <w:jc w:val="both"/>
      </w:pPr>
      <w:r>
        <w:rPr>
          <w:sz w:val="22"/>
          <w:szCs w:val="22"/>
        </w:rPr>
        <w:t xml:space="preserve">This category is reserved for a genuinely new presentation where the diagnosis itself is not yet established and the likely course is unclear — not simply a first visit for a condition the provider can readily diagnose from a classic presentation. New-onset panic attacks of unclear etiology, a first psychotic episode prior to a working diagnosis, or new dissociative symptoms without a clear precipitant are illustrative; a straightforward new diagnosis of mild adjustment disorder with anxious mood following a clearly identified stressor is not — that is more accurately an acute, uncomplicated problem (low complexity) because the diagnosis and expected course are reasonably clear.</w:t>
      </w:r>
    </w:p>
    <w:p>
      <w:pPr>
        <w:pStyle w:val="Heading2"/>
        <w:spacing w:after="160" w:before="360"/>
      </w:pPr>
      <w:r>
        <w:rPr>
          <w:b/>
          <w:bCs/>
          <w:color w:val="2E5A88"/>
          <w:sz w:val="26"/>
          <w:szCs w:val="26"/>
        </w:rPr>
        <w:t xml:space="preserve">2.7 High Complexity: Threat to Life or Bodily Function</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PA-2.7  —  High-Complexity Problems in Psychiatry</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E/M Guidelines, 2023, Table of Risk / Problem Complexity definitions.</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Reserves the highest problem-complexity tier for presentations carrying genuine acute risk, consistent with CPT's intent that this tier reflect situations of substantial clinical stakes.</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A chronic illness with severe exacerbation/progression posing a threat to life or bodily function, or an acute illness/injury posing a threat to life or bodily function, qualifies as high complexity.</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Active suicidal ideation with intent or plan, acute mania with grossly impaired judgment and safety risk, catatonia, medication-induced conditions such as suspected serotonin syndrome or neuroleptic malignant syndrome, and severe, function-impairing psychotic decompensation are the recurring psychiatric examples of this tier.</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the note documents an acute safety risk assessment (SI/HI with plan or intent, acute mania with impaired safety, medication toxicity concern) AND a corresponding acute management response (safety plan, hospitalization consideration, ED referral, emergency contact involvement, medication discontinuation for toxicity) THEN classify as high-complexity problem. A risk assessment alone, without any documented response, should be flagged for completeness review — a high-acuity finding with no documented next step is itself a red flag independent of coding.</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COMMON DOCUMENTATION FAILURES</w:t>
            </w:r>
          </w:p>
          <w:p>
            <w:pPr>
              <w:spacing w:after="0" w:line="264"/>
              <w:jc w:val="both"/>
            </w:pPr>
            <w:r>
              <w:rPr>
                <w:sz w:val="21"/>
                <w:szCs w:val="21"/>
              </w:rPr>
              <w:t xml:space="preserve">Provider documents ‘patient endorses passive SI, denies plan or intent, no acute safety concern’ and then bills as if this were a high-complexity problem. Passive ideation without plan, intent, or means is a real clinical finding but does not, by itself, meet the CPT threshold for threat to life or bodily function — it more typically supports moderate complexity depending on the full risk assessment.</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When documenting active SI/HI or acute mania, explicitly state the risk assessment conclusion (e.g., ‘low/moderate/high acute risk’), the specific protective and risk factors considered, and the specific action taken as a result, even if the action is continued outpatient management with an explicit safety plan rather than higher level of care.</w:t>
            </w:r>
          </w:p>
        </w:tc>
      </w:tr>
    </w:tbl>
    <w:p>
      <w:pPr>
        <w:spacing w:after="120"/>
      </w:pPr>
    </w:p>
    <w:p>
      <w:pPr>
        <w:pStyle w:val="Heading2"/>
        <w:spacing w:after="160" w:before="360"/>
      </w:pPr>
      <w:r>
        <w:rPr>
          <w:b/>
          <w:bCs/>
          <w:color w:val="2E5A88"/>
          <w:sz w:val="26"/>
          <w:szCs w:val="26"/>
        </w:rPr>
        <w:t xml:space="preserve">2.8 Counting Multiple Problems</w:t>
      </w:r>
    </w:p>
    <w:p>
      <w:pPr>
        <w:spacing w:after="160" w:line="276"/>
        <w:jc w:val="both"/>
      </w:pPr>
      <w:r>
        <w:rPr>
          <w:sz w:val="22"/>
          <w:szCs w:val="22"/>
        </w:rPr>
        <w:t xml:space="preserve">Where more than one qualifying problem is addressed at a single encounter, complexity is generally driven by the </w:t>
      </w:r>
      <w:r>
        <w:rPr>
          <w:b/>
          <w:bCs/>
          <w:sz w:val="22"/>
          <w:szCs w:val="22"/>
        </w:rPr>
        <w:t xml:space="preserve">single highest-complexity problem</w:t>
      </w:r>
      <w:r>
        <w:rPr>
          <w:sz w:val="22"/>
          <w:szCs w:val="22"/>
        </w:rPr>
        <w:t xml:space="preserve"> addressed, with the number of additional problems serving as a secondary factor CPT and payers consider when a visit sits at the borderline between two tiers. A visit is not scored by summing problem complexities; it is scored by the ceiling they reach collectively under the tier definitions in Section 2.3 (e.g., two stable chronic illnesses together reach moderate, as in Section 2.5, without either individually being more than low).</w:t>
      </w:r>
    </w:p>
    <w:p>
      <w:pPr>
        <w:pStyle w:val="Heading2"/>
        <w:spacing w:after="160" w:before="360"/>
      </w:pPr>
      <w:r>
        <w:rPr>
          <w:b/>
          <w:bCs/>
          <w:color w:val="2E5A88"/>
          <w:sz w:val="26"/>
          <w:szCs w:val="26"/>
        </w:rPr>
        <w:t xml:space="preserve">2.9 Common Coding Myths — Problems Addressed</w:t>
      </w:r>
    </w:p>
    <w:tbl>
      <w:tblPr>
        <w:tblW w:type="dxa" w:w="9360"/>
        <w:tblBorders>
          <w:top w:val="single" w:color="9C2B2B" w:sz="4"/>
          <w:left w:val="single" w:color="9C2B2B" w:sz="4"/>
          <w:bottom w:val="single" w:color="9C2B2B" w:sz="4"/>
          <w:right w:val="single" w:color="9C2B2B" w:sz="4"/>
          <w:insideH w:val="none" w:color="FFFFFF" w:sz="0"/>
          <w:insideV w:val="none" w:color="FFFFFF" w:sz="0"/>
        </w:tblBorders>
      </w:tblPr>
      <w:tblGrid>
        <w:gridCol w:w="9360"/>
      </w:tblGrid>
      <w:tr>
        <w:tc>
          <w:tcPr>
            <w:tcW w:type="dxa" w:w="9360"/>
            <w:shd w:fill="FBEAEA" w:val="clear"/>
            <w:tcMar>
              <w:top w:type="dxa" w:w="140"/>
              <w:left w:type="dxa" w:w="180"/>
              <w:bottom w:type="dxa" w:w="140"/>
              <w:right w:type="dxa" w:w="180"/>
            </w:tcMar>
          </w:tcPr>
          <w:p>
            <w:pPr>
              <w:spacing w:after="80"/>
            </w:pPr>
            <w:r>
              <w:rPr>
                <w:b/>
                <w:bCs/>
                <w:color w:val="9C2B2B"/>
                <w:sz w:val="21"/>
                <w:szCs w:val="21"/>
              </w:rPr>
              <w:t xml:space="preserve">COMMON CODING MYTHS</w:t>
            </w:r>
          </w:p>
          <w:p>
            <w:pPr>
              <w:spacing w:after="60"/>
            </w:pPr>
            <w:r>
              <w:rPr>
                <w:b/>
                <w:bCs/>
                <w:color w:val="9C2B2B"/>
                <w:sz w:val="21"/>
                <w:szCs w:val="21"/>
              </w:rPr>
              <w:t xml:space="preserve">MYTH: </w:t>
            </w:r>
            <w:r>
              <w:rPr>
                <w:i/>
                <w:iCs/>
                <w:sz w:val="21"/>
                <w:szCs w:val="21"/>
              </w:rPr>
              <w:t xml:space="preserve">Every medication refill visit automatically qualifies as at least moderate complexity.</w:t>
            </w:r>
          </w:p>
          <w:p>
            <w:pPr>
              <w:spacing w:after="60"/>
            </w:pPr>
            <w:r>
              <w:rPr>
                <w:b/>
                <w:bCs/>
                <w:color w:val="1F3864"/>
                <w:sz w:val="21"/>
                <w:szCs w:val="21"/>
              </w:rPr>
              <w:t xml:space="preserve">REALITY: </w:t>
            </w:r>
            <w:r>
              <w:rPr>
                <w:sz w:val="21"/>
                <w:szCs w:val="21"/>
              </w:rPr>
              <w:t xml:space="preserve">A refill of a stable, unchanged regimen with no exacerbation, no side effects, and no new problem is low complexity for a single condition. It only reaches moderate if two or more stable chronic conditions are addressed together, or if exacerbation/side effects/a new problem is also present and documented.</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Listing more diagnoses in the assessment always increases the MDM level.</w:t>
            </w:r>
          </w:p>
          <w:p>
            <w:pPr>
              <w:spacing w:after="60"/>
            </w:pPr>
            <w:r>
              <w:rPr>
                <w:b/>
                <w:bCs/>
                <w:color w:val="1F3864"/>
                <w:sz w:val="21"/>
                <w:szCs w:val="21"/>
              </w:rPr>
              <w:t xml:space="preserve">REALITY: </w:t>
            </w:r>
            <w:r>
              <w:rPr>
                <w:sz w:val="21"/>
                <w:szCs w:val="21"/>
              </w:rPr>
              <w:t xml:space="preserve">Only diagnoses that are actually addressed at this encounter, with encounter-specific status and management language, count. Padding the assessment with inactive or unaddressed diagnoses does not increase complexity and creates audit risk under Rule PA-2.2.</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Any mention of suicidal ideation, regardless of severity, supports high-complexity problem coding.</w:t>
            </w:r>
          </w:p>
          <w:p>
            <w:pPr>
              <w:spacing w:after="60"/>
            </w:pPr>
            <w:r>
              <w:rPr>
                <w:b/>
                <w:bCs/>
                <w:color w:val="1F3864"/>
                <w:sz w:val="21"/>
                <w:szCs w:val="21"/>
              </w:rPr>
              <w:t xml:space="preserve">REALITY: </w:t>
            </w:r>
            <w:r>
              <w:rPr>
                <w:sz w:val="21"/>
                <w:szCs w:val="21"/>
              </w:rPr>
              <w:t xml:space="preserve">Passive ideation without plan, intent, or means, appropriately assessed and found low-acuity, typically supports moderate — not high — complexity. High complexity requires a genuine threat to life or bodily function, consistent with Rule PA-2.7.</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A follow-up visit can never be high complexity because the patient is already established.</w:t>
            </w:r>
          </w:p>
          <w:p>
            <w:pPr>
              <w:spacing w:after="60"/>
            </w:pPr>
            <w:r>
              <w:rPr>
                <w:b/>
                <w:bCs/>
                <w:color w:val="1F3864"/>
                <w:sz w:val="21"/>
                <w:szCs w:val="21"/>
              </w:rPr>
              <w:t xml:space="preserve">REALITY: </w:t>
            </w:r>
            <w:r>
              <w:rPr>
                <w:sz w:val="21"/>
                <w:szCs w:val="21"/>
              </w:rPr>
              <w:t xml:space="preserve">Established-patient status is irrelevant to problem complexity. An established patient in acute crisis (e.g., acute mania, active SI with plan) is scored on the current presentation, not on visit history.</w:t>
            </w:r>
          </w:p>
        </w:tc>
      </w:tr>
    </w:tbl>
    <w:p>
      <w:pPr>
        <w:spacing w:after="120"/>
      </w:pPr>
    </w:p>
    <w:p>
      <w:pPr>
        <w:pStyle w:val="Heading2"/>
        <w:spacing w:after="160" w:before="360"/>
      </w:pPr>
      <w:r>
        <w:rPr>
          <w:b/>
          <w:bCs/>
          <w:color w:val="2E5A88"/>
          <w:sz w:val="26"/>
          <w:szCs w:val="26"/>
        </w:rPr>
        <w:t xml:space="preserve">2.10 AI Interpretation Logic — Problems Addressed (Master Decision Path)</w:t>
      </w:r>
    </w:p>
    <w:tbl>
      <w:tblPr>
        <w:tblW w:type="dxa" w:w="9360"/>
        <w:tblBorders>
          <w:top w:val="single" w:color="1F3864" w:sz="4"/>
          <w:left w:val="single" w:color="1F3864" w:sz="4"/>
          <w:bottom w:val="single" w:color="1F3864" w:sz="4"/>
          <w:right w:val="single" w:color="1F3864"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1F3864"/>
                <w:sz w:val="21"/>
                <w:szCs w:val="21"/>
              </w:rPr>
              <w:t xml:space="preserve">AI DECISION LOGIC — PROBLEMS ADDRESSED</w:t>
            </w:r>
          </w:p>
          <w:p>
            <w:pPr>
              <w:spacing w:after="60"/>
            </w:pPr>
            <w:r>
              <w:rPr>
                <w:sz w:val="21"/>
                <w:szCs w:val="21"/>
              </w:rPr>
              <w:t xml:space="preserve">STEP 1: Extract every diagnosis/condition appearing in the Assessment. Discard any without encounter-specific status or management language (Rule PA-2.2).</w:t>
            </w:r>
          </w:p>
          <w:p>
            <w:pPr>
              <w:spacing w:after="60"/>
            </w:pPr>
            <w:r>
              <w:rPr>
                <w:sz w:val="21"/>
                <w:szCs w:val="21"/>
              </w:rPr>
              <w:t xml:space="preserve">STEP 2: For each remaining problem, classify individually using the Section 2.3 tier table based on stability, exacerbation, side effects, and acuity language actually present in the note.</w:t>
            </w:r>
          </w:p>
          <w:p>
            <w:pPr>
              <w:spacing w:after="60"/>
            </w:pPr>
            <w:r>
              <w:rPr>
                <w:sz w:val="21"/>
                <w:szCs w:val="21"/>
              </w:rPr>
              <w:t xml:space="preserve">STEP 3: IF any single problem reaches High (threat to life/bodily function, per Rule PA-2.7) AND a documented acute response is present → Problems element = High.</w:t>
            </w:r>
          </w:p>
          <w:p>
            <w:pPr>
              <w:spacing w:after="60"/>
            </w:pPr>
            <w:r>
              <w:rPr>
                <w:sz w:val="21"/>
                <w:szCs w:val="21"/>
              </w:rPr>
              <w:t xml:space="preserve">STEP 4: ELSE IF any single problem reaches Moderate (exacerbation, progression, side effects, or new problem with uncertain prognosis) → Problems element = Moderate.</w:t>
            </w:r>
          </w:p>
          <w:p>
            <w:pPr>
              <w:spacing w:after="60"/>
            </w:pPr>
            <w:r>
              <w:rPr>
                <w:sz w:val="21"/>
                <w:szCs w:val="21"/>
              </w:rPr>
              <w:t xml:space="preserve">STEP 5: ELSE IF two or more distinct problems each independently reach Low (stable chronic) → Problems element = Moderate (per Section 2.5).</w:t>
            </w:r>
          </w:p>
          <w:p>
            <w:pPr>
              <w:spacing w:after="60"/>
            </w:pPr>
            <w:r>
              <w:rPr>
                <w:sz w:val="21"/>
                <w:szCs w:val="21"/>
              </w:rPr>
              <w:t xml:space="preserve">STEP 6: ELSE IF exactly one problem reaches Low, or two-plus self-limited/minor problems are present → Problems element = Low.</w:t>
            </w:r>
          </w:p>
          <w:p>
            <w:pPr>
              <w:spacing w:after="60"/>
            </w:pPr>
            <w:r>
              <w:rPr>
                <w:sz w:val="21"/>
                <w:szCs w:val="21"/>
              </w:rPr>
              <w:t xml:space="preserve">STEP 7: ELSE → Problems element = Straightforward.</w:t>
            </w:r>
          </w:p>
          <w:p>
            <w:pPr>
              <w:spacing w:after="60"/>
            </w:pPr>
            <w:r>
              <w:rPr>
                <w:sz w:val="21"/>
                <w:szCs w:val="21"/>
              </w:rPr>
              <w:t xml:space="preserve">STEP 8: Pass the resulting Problems element tier forward to the Chapter 2.11/Chapter 4 synthesis step alongside the Data (Chapter 3) and Risk (Chapter 4) tiers.</w:t>
            </w:r>
          </w:p>
        </w:tc>
      </w:tr>
    </w:tbl>
    <w:p>
      <w:pPr>
        <w:spacing w:after="120"/>
      </w:pPr>
    </w:p>
    <w:p>
      <w:pPr>
        <w:pStyle w:val="Heading2"/>
        <w:spacing w:after="160" w:before="360"/>
      </w:pPr>
      <w:r>
        <w:rPr>
          <w:b/>
          <w:bCs/>
          <w:color w:val="2E5A88"/>
          <w:sz w:val="26"/>
          <w:szCs w:val="26"/>
        </w:rPr>
        <w:t xml:space="preserve">2.11 Worked Examples</w:t>
      </w:r>
    </w:p>
    <w:tbl>
      <w:tblPr>
        <w:tblW w:type="dxa" w:w="9360"/>
        <w:tblBorders>
          <w:top w:val="single" w:color="2E5A88" w:sz="4"/>
          <w:left w:val="single" w:color="2E5A88" w:sz="4"/>
          <w:bottom w:val="single" w:color="2E5A88" w:sz="4"/>
          <w:right w:val="single" w:color="2E5A88"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2E5A88"/>
                <w:sz w:val="21"/>
                <w:szCs w:val="21"/>
              </w:rPr>
              <w:t xml:space="preserve">EXAMPLE A — LOW COMPLEXITY (PASS AS DOCUMENTED)</w:t>
            </w:r>
          </w:p>
          <w:p>
            <w:pPr>
              <w:spacing w:after="60"/>
            </w:pPr>
            <w:r>
              <w:rPr>
                <w:b/>
                <w:bCs/>
                <w:i/>
                <w:iCs/>
                <w:sz w:val="21"/>
                <w:szCs w:val="21"/>
              </w:rPr>
              <w:t xml:space="preserve">Note excerpt: </w:t>
            </w:r>
            <w:r>
              <w:rPr>
                <w:i/>
                <w:iCs/>
                <w:sz w:val="21"/>
                <w:szCs w:val="21"/>
              </w:rPr>
              <w:t xml:space="preserve">‘Established patient, GAD, stable on buspirone 15mg BID x 8 months, GAD-7 4 (unchanged from last visit), sleeping well, no side effects. Continue current dose, follow up 3 months.’</w:t>
            </w:r>
          </w:p>
          <w:p>
            <w:pPr>
              <w:spacing w:after="60"/>
            </w:pPr>
            <w:r>
              <w:rPr>
                <w:sz w:val="21"/>
                <w:szCs w:val="21"/>
              </w:rPr>
              <w:t xml:space="default"/>
            </w:r>
          </w:p>
        </w:tc>
      </w:tr>
    </w:tbl>
    <w:tbl>
      <w:tblPr>
        <w:tblW w:type="dxa" w:w="9360"/>
        <w:tblBorders>
          <w:top w:val="single" w:color="2E5A88" w:sz="4"/>
          <w:left w:val="single" w:color="2E5A88" w:sz="4"/>
          <w:bottom w:val="single" w:color="2E5A88" w:sz="4"/>
          <w:right w:val="single" w:color="2E5A88"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2E5A88"/>
                <w:sz w:val="21"/>
                <w:szCs w:val="21"/>
              </w:rPr>
              <w:t xml:space="preserve">EXAMPLE B — MODERATE COMPLEXITY (PASS AS DOCUMENTED)</w:t>
            </w:r>
          </w:p>
          <w:p>
            <w:pPr>
              <w:spacing w:after="60"/>
            </w:pPr>
            <w:r>
              <w:rPr>
                <w:b/>
                <w:bCs/>
                <w:i/>
                <w:iCs/>
                <w:sz w:val="21"/>
                <w:szCs w:val="21"/>
              </w:rPr>
              <w:t xml:space="preserve">Note excerpt: </w:t>
            </w:r>
            <w:r>
              <w:rPr>
                <w:i/>
                <w:iCs/>
                <w:sz w:val="21"/>
                <w:szCs w:val="21"/>
              </w:rPr>
              <w:t xml:space="preserve">‘Established patient, MDD, PHQ-9 increased from 8 to 16 over 6 weeks, reports return of anhedonia and early morning awakening, attributes partly to recent job loss. Discussed increasing sertraline from 50mg to 100mg; patient agreeable. Will follow up in 3 weeks to reassess.’</w:t>
            </w:r>
          </w:p>
          <w:p>
            <w:pPr>
              <w:spacing w:after="60"/>
            </w:pPr>
            <w:r>
              <w:rPr>
                <w:sz w:val="21"/>
                <w:szCs w:val="21"/>
              </w:rPr>
              <w:t xml:space="default"/>
            </w:r>
          </w:p>
        </w:tc>
      </w:tr>
    </w:tbl>
    <w:tbl>
      <w:tblPr>
        <w:tblW w:type="dxa" w:w="9360"/>
        <w:tblBorders>
          <w:top w:val="single" w:color="9C6B14" w:sz="4"/>
          <w:left w:val="single" w:color="9C6B14" w:sz="4"/>
          <w:bottom w:val="single" w:color="9C6B14" w:sz="4"/>
          <w:right w:val="single" w:color="9C6B14" w:sz="4"/>
          <w:insideH w:val="none" w:color="FFFFFF" w:sz="0"/>
          <w:insideV w:val="none" w:color="FFFFFF" w:sz="0"/>
        </w:tblBorders>
      </w:tblPr>
      <w:tblGrid>
        <w:gridCol w:w="9360"/>
      </w:tblGrid>
      <w:tr>
        <w:tc>
          <w:tcPr>
            <w:tcW w:type="dxa" w:w="9360"/>
            <w:shd w:fill="FBF3E3" w:val="clear"/>
            <w:tcMar>
              <w:top w:type="dxa" w:w="140"/>
              <w:left w:type="dxa" w:w="180"/>
              <w:bottom w:type="dxa" w:w="140"/>
              <w:right w:type="dxa" w:w="180"/>
            </w:tcMar>
          </w:tcPr>
          <w:p>
            <w:pPr>
              <w:spacing w:after="80"/>
            </w:pPr>
            <w:r>
              <w:rPr>
                <w:b/>
                <w:bCs/>
                <w:color w:val="9C6B14"/>
                <w:sz w:val="21"/>
                <w:szCs w:val="21"/>
              </w:rPr>
              <w:t xml:space="preserve">EXAMPLE C — BORDERLINE / INSUFFICIENT AS WRITTEN (FLAG FOR PROVIDER)</w:t>
            </w:r>
          </w:p>
          <w:p>
            <w:pPr>
              <w:spacing w:after="60"/>
            </w:pPr>
            <w:r>
              <w:rPr>
                <w:b/>
                <w:bCs/>
                <w:i/>
                <w:iCs/>
                <w:sz w:val="21"/>
                <w:szCs w:val="21"/>
              </w:rPr>
              <w:t xml:space="preserve">Note excerpt: </w:t>
            </w:r>
            <w:r>
              <w:rPr>
                <w:i/>
                <w:iCs/>
                <w:sz w:val="21"/>
                <w:szCs w:val="21"/>
              </w:rPr>
              <w:t xml:space="preserve">‘Patient doing okay, some ups and downs. Continue meds.’</w:t>
            </w:r>
          </w:p>
          <w:p>
            <w:pPr>
              <w:spacing w:after="60"/>
            </w:pPr>
            <w:r>
              <w:rPr>
                <w:sz w:val="21"/>
                <w:szCs w:val="21"/>
              </w:rPr>
              <w:t xml:space="default"/>
            </w:r>
          </w:p>
        </w:tc>
      </w:tr>
    </w:tbl>
    <w:p>
      <w:pPr>
        <w:spacing w:after="120"/>
      </w:pPr>
    </w:p>
    <w:p>
      <w:r>
        <w:br w:type="page"/>
      </w:r>
    </w:p>
    <w:p>
      <w:pPr>
        <w:pStyle w:val="Heading1"/>
        <w:pBdr>
          <w:bottom w:val="single" w:color="1F3864" w:sz="12" w:space="4"/>
        </w:pBdr>
        <w:spacing w:after="240" w:before="480"/>
      </w:pPr>
      <w:r>
        <w:rPr>
          <w:b/>
          <w:bCs/>
          <w:color w:val="1F3864"/>
          <w:sz w:val="32"/>
          <w:szCs w:val="32"/>
        </w:rPr>
        <w:t xml:space="preserve">Chapter 3 — Medical Decision Making: Data Reviewed and Analyzed</w:t>
      </w:r>
    </w:p>
    <w:p>
      <w:pPr>
        <w:pStyle w:val="Heading2"/>
        <w:spacing w:after="160" w:before="360"/>
      </w:pPr>
      <w:r>
        <w:rPr>
          <w:b/>
          <w:bCs/>
          <w:color w:val="2E5A88"/>
          <w:sz w:val="26"/>
          <w:szCs w:val="26"/>
        </w:rPr>
        <w:t xml:space="preserve">3.1 Overview</w:t>
      </w:r>
    </w:p>
    <w:p>
      <w:pPr>
        <w:spacing w:after="160" w:line="276"/>
        <w:jc w:val="both"/>
      </w:pPr>
      <w:r>
        <w:rPr>
          <w:sz w:val="22"/>
          <w:szCs w:val="22"/>
        </w:rPr>
        <w:t xml:space="preserve">The Data element measures the amount and complexity of information the provider reviewed, ordered, or discussed in arriving at the encounter's management decisions. CPT organizes Data into three categories, and the resulting Data complexity tier is set by which categories, and how many distinct items within them, the note supports. Data is frequently the most underdocumented of the three MDM elements in outpatient psychiatry, because much of what qualifies — reviewing a rating scale trend, obtaining collateral history, reading a prior provider's note — happens routinely but is not written down as a discrete, countable data element.</w:t>
      </w:r>
    </w:p>
    <w:p>
      <w:pPr>
        <w:pStyle w:val="Heading2"/>
        <w:spacing w:after="160" w:before="360"/>
      </w:pPr>
      <w:r>
        <w:rPr>
          <w:b/>
          <w:bCs/>
          <w:color w:val="2E5A88"/>
          <w:sz w:val="26"/>
          <w:szCs w:val="26"/>
        </w:rPr>
        <w:t xml:space="preserve">3.2 The Three Data Categories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3200"/>
        <w:gridCol w:w="4760"/>
      </w:tblGrid>
      <w:tr>
        <w:trPr>
          <w:tblHeader/>
        </w:trPr>
        <w:tc>
          <w:tcPr>
            <w:tcW w:type="dxa" w:w="1400"/>
            <w:shd w:fill="1F3864" w:val="clear"/>
            <w:tcMar>
              <w:top w:type="dxa" w:w="80"/>
              <w:left w:type="dxa" w:w="120"/>
              <w:bottom w:type="dxa" w:w="80"/>
              <w:right w:type="dxa" w:w="120"/>
            </w:tcMar>
          </w:tcPr>
          <w:p>
            <w:r>
              <w:rPr>
                <w:b/>
                <w:bCs/>
                <w:color w:val="FFFFFF"/>
                <w:sz w:val="20"/>
                <w:szCs w:val="20"/>
              </w:rPr>
              <w:t xml:space="preserve">Category</w:t>
            </w:r>
          </w:p>
        </w:tc>
        <w:tc>
          <w:tcPr>
            <w:tcW w:type="dxa" w:w="3200"/>
            <w:shd w:fill="1F3864" w:val="clear"/>
            <w:tcMar>
              <w:top w:type="dxa" w:w="80"/>
              <w:left w:type="dxa" w:w="120"/>
              <w:bottom w:type="dxa" w:w="80"/>
              <w:right w:type="dxa" w:w="120"/>
            </w:tcMar>
          </w:tcPr>
          <w:p>
            <w:r>
              <w:rPr>
                <w:b/>
                <w:bCs/>
                <w:color w:val="FFFFFF"/>
                <w:sz w:val="20"/>
                <w:szCs w:val="20"/>
              </w:rPr>
              <w:t xml:space="preserve">CPT Description</w:t>
            </w:r>
          </w:p>
        </w:tc>
        <w:tc>
          <w:tcPr>
            <w:tcW w:type="dxa" w:w="4760"/>
            <w:shd w:fill="1F3864" w:val="clear"/>
            <w:tcMar>
              <w:top w:type="dxa" w:w="80"/>
              <w:left w:type="dxa" w:w="120"/>
              <w:bottom w:type="dxa" w:w="80"/>
              <w:right w:type="dxa" w:w="120"/>
            </w:tcMar>
          </w:tcPr>
          <w:p>
            <w:r>
              <w:rPr>
                <w:b/>
                <w:bCs/>
                <w:color w:val="FFFFFF"/>
                <w:sz w:val="20"/>
                <w:szCs w:val="20"/>
              </w:rPr>
              <w:t xml:space="preserve">Common Psychiatric Examples</w:t>
            </w:r>
          </w:p>
        </w:tc>
      </w:tr>
      <w:tr>
        <w:tc>
          <w:tcPr>
            <w:tcW w:type="dxa" w:w="1400"/>
            <w:shd w:fill="FFFFFF" w:val="clear"/>
            <w:tcMar>
              <w:top w:type="dxa" w:w="80"/>
              <w:left w:type="dxa" w:w="120"/>
              <w:bottom w:type="dxa" w:w="80"/>
              <w:right w:type="dxa" w:w="120"/>
            </w:tcMar>
          </w:tcPr>
          <w:p>
            <w:r>
              <w:rPr>
                <w:sz w:val="20"/>
                <w:szCs w:val="20"/>
              </w:rPr>
              <w:t xml:space="preserve">Category 1</w:t>
            </w:r>
          </w:p>
        </w:tc>
        <w:tc>
          <w:tcPr>
            <w:tcW w:type="dxa" w:w="3200"/>
            <w:shd w:fill="FFFFFF" w:val="clear"/>
            <w:tcMar>
              <w:top w:type="dxa" w:w="80"/>
              <w:left w:type="dxa" w:w="120"/>
              <w:bottom w:type="dxa" w:w="80"/>
              <w:right w:type="dxa" w:w="120"/>
            </w:tcMar>
          </w:tcPr>
          <w:p>
            <w:r>
              <w:rPr>
                <w:sz w:val="20"/>
                <w:szCs w:val="20"/>
              </w:rPr>
              <w:t xml:space="preserve">Tests, documents, orders, or independent historian(s)</w:t>
            </w:r>
          </w:p>
        </w:tc>
        <w:tc>
          <w:tcPr>
            <w:tcW w:type="dxa" w:w="4760"/>
            <w:shd w:fill="FFFFFF" w:val="clear"/>
            <w:tcMar>
              <w:top w:type="dxa" w:w="80"/>
              <w:left w:type="dxa" w:w="120"/>
              <w:bottom w:type="dxa" w:w="80"/>
              <w:right w:type="dxa" w:w="120"/>
            </w:tcMar>
          </w:tcPr>
          <w:p>
            <w:r>
              <w:rPr>
                <w:sz w:val="20"/>
                <w:szCs w:val="20"/>
              </w:rPr>
              <w:t xml:space="preserve">Ordering/reviewing labs (lithium level, CBC, CMP, LFTs, TSH, urine drug screen); reviewing a rating scale (PHQ-9, GAD-7, ASRS, YMRS, C-SSRS); reviewing records from another provider; obtaining history from a parent, spouse, or caregiver when the patient is a limited historian</w:t>
            </w:r>
          </w:p>
        </w:tc>
      </w:tr>
      <w:tr>
        <w:tc>
          <w:tcPr>
            <w:tcW w:type="dxa" w:w="1400"/>
            <w:shd w:fill="F2F2F2" w:val="clear"/>
            <w:tcMar>
              <w:top w:type="dxa" w:w="80"/>
              <w:left w:type="dxa" w:w="120"/>
              <w:bottom w:type="dxa" w:w="80"/>
              <w:right w:type="dxa" w:w="120"/>
            </w:tcMar>
          </w:tcPr>
          <w:p>
            <w:r>
              <w:rPr>
                <w:sz w:val="20"/>
                <w:szCs w:val="20"/>
              </w:rPr>
              <w:t xml:space="preserve">Category 2</w:t>
            </w:r>
          </w:p>
        </w:tc>
        <w:tc>
          <w:tcPr>
            <w:tcW w:type="dxa" w:w="3200"/>
            <w:shd w:fill="F2F2F2" w:val="clear"/>
            <w:tcMar>
              <w:top w:type="dxa" w:w="80"/>
              <w:left w:type="dxa" w:w="120"/>
              <w:bottom w:type="dxa" w:w="80"/>
              <w:right w:type="dxa" w:w="120"/>
            </w:tcMar>
          </w:tcPr>
          <w:p>
            <w:r>
              <w:rPr>
                <w:sz w:val="20"/>
                <w:szCs w:val="20"/>
              </w:rPr>
              <w:t xml:space="preserve">Independent interpretation of a test performed by another provider (not separately reported)</w:t>
            </w:r>
          </w:p>
        </w:tc>
        <w:tc>
          <w:tcPr>
            <w:tcW w:type="dxa" w:w="4760"/>
            <w:shd w:fill="F2F2F2" w:val="clear"/>
            <w:tcMar>
              <w:top w:type="dxa" w:w="80"/>
              <w:left w:type="dxa" w:w="120"/>
              <w:bottom w:type="dxa" w:w="80"/>
              <w:right w:type="dxa" w:w="120"/>
            </w:tcMar>
          </w:tcPr>
          <w:p>
            <w:r>
              <w:rPr>
                <w:sz w:val="20"/>
                <w:szCs w:val="20"/>
              </w:rPr>
              <w:t xml:space="preserve">Independently reviewing and interpreting an EEG, neuropsychological testing report, or imaging obtained elsewhere, where the interpreting radiologist/other provider's report is also on file but the treating psychiatrist forms their own independent read relevant to management</w:t>
            </w:r>
          </w:p>
        </w:tc>
      </w:tr>
      <w:tr>
        <w:tc>
          <w:tcPr>
            <w:tcW w:type="dxa" w:w="1400"/>
            <w:shd w:fill="FFFFFF" w:val="clear"/>
            <w:tcMar>
              <w:top w:type="dxa" w:w="80"/>
              <w:left w:type="dxa" w:w="120"/>
              <w:bottom w:type="dxa" w:w="80"/>
              <w:right w:type="dxa" w:w="120"/>
            </w:tcMar>
          </w:tcPr>
          <w:p>
            <w:r>
              <w:rPr>
                <w:sz w:val="20"/>
                <w:szCs w:val="20"/>
              </w:rPr>
              <w:t xml:space="preserve">Category 3</w:t>
            </w:r>
          </w:p>
        </w:tc>
        <w:tc>
          <w:tcPr>
            <w:tcW w:type="dxa" w:w="3200"/>
            <w:shd w:fill="FFFFFF" w:val="clear"/>
            <w:tcMar>
              <w:top w:type="dxa" w:w="80"/>
              <w:left w:type="dxa" w:w="120"/>
              <w:bottom w:type="dxa" w:w="80"/>
              <w:right w:type="dxa" w:w="120"/>
            </w:tcMar>
          </w:tcPr>
          <w:p>
            <w:r>
              <w:rPr>
                <w:sz w:val="20"/>
                <w:szCs w:val="20"/>
              </w:rPr>
              <w:t xml:space="preserve">Discussion of management or test interpretation with an external physician, other qualified health care professional, or appropriate source</w:t>
            </w:r>
          </w:p>
        </w:tc>
        <w:tc>
          <w:tcPr>
            <w:tcW w:type="dxa" w:w="4760"/>
            <w:shd w:fill="FFFFFF" w:val="clear"/>
            <w:tcMar>
              <w:top w:type="dxa" w:w="80"/>
              <w:left w:type="dxa" w:w="120"/>
              <w:bottom w:type="dxa" w:w="80"/>
              <w:right w:type="dxa" w:w="120"/>
            </w:tcMar>
          </w:tcPr>
          <w:p>
            <w:r>
              <w:rPr>
                <w:sz w:val="20"/>
                <w:szCs w:val="20"/>
              </w:rPr>
              <w:t xml:space="preserve">Discussing the patient's case with the referring PCP, a treating therapist, a school counselor (for a pediatric ADHD case), or another treating specialist — must be interactive, not merely reading a note the other provider wrote</w:t>
            </w:r>
          </w:p>
        </w:tc>
      </w:tr>
    </w:tbl>
    <w:p>
      <w:pPr>
        <w:spacing w:after="120"/>
      </w:pPr>
    </w:p>
    <w:p>
      <w:pPr>
        <w:pStyle w:val="Heading2"/>
        <w:spacing w:after="160" w:before="360"/>
      </w:pPr>
      <w:r>
        <w:rPr>
          <w:b/>
          <w:bCs/>
          <w:color w:val="2E5A88"/>
          <w:sz w:val="26"/>
          <w:szCs w:val="26"/>
        </w:rPr>
        <w:t xml:space="preserve">3.3 Category 1: Counting Rule</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DA-3.3  —  Category 1 Point Counting</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E/M Guidelines, 2023, Data Element table.</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Establishes an objective, countable method for translating routine record-review and testing activity into an MDM data tier.</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Within Category 1, each unique test ordered or reviewed, each unique document reviewed, and each unique independent historian counts as one point (review of a single rating scale = 1 point; review of a prior psychiatrist's note = 1 point; collateral history from a parent = 1 point). Moderate Data generally requires reaching a combination equal to 3 Category 1 points, or 2 categories at a lower threshold, or Category 3; High Data generally requires Category 1 plus Category 2 or Category 3 combinations, per the CPT table referenced in Section 3.5.</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A visit in which the provider reviews the patient's self-completed PHQ-9 (1 point), reviews a discharge summary from a recent inpatient psychiatric admission (1 point), and obtains history from the patient's spouse because the patient is a poor historian post-hospitalization (1 point, independent historian) reaches 3 Category 1 points on its own.</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the note documents 3 or more distinct, named Category 1 items (each test/document/historian individually identifiable, not a vague reference to 'records') THEN Category 1 alone supports Moderate Data. IF fewer than 3 are documented, check whether Category 2 or Category 3 is also present before finalizing the Data tier.</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COMMON DOCUMENTATION FAILURES</w:t>
            </w:r>
          </w:p>
          <w:p>
            <w:pPr>
              <w:spacing w:after="0" w:line="264"/>
              <w:jc w:val="both"/>
            </w:pPr>
            <w:r>
              <w:rPr>
                <w:sz w:val="21"/>
                <w:szCs w:val="21"/>
              </w:rPr>
              <w:t xml:space="preserve">Note states ‘reviewed records’ or ‘reviewed old chart’ without identifying what was reviewed. This is not countable — CPT and payer auditors require the specific document or test to be identifiable, not a generic assertion that review occurred.</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Name every data source specifically: ‘Reviewed PHQ-9 completed today (score 14, up from 7)’ rather than ‘reviewed screening tools’; ‘Reviewed discharge summary from [Hospital], dated [date]’ rather than ‘reviewed records.’ Specific, dated, sourced references are both better clinical documentation and countable Data points.</w:t>
            </w:r>
          </w:p>
        </w:tc>
      </w:tr>
    </w:tbl>
    <w:p>
      <w:pPr>
        <w:spacing w:after="120"/>
      </w:pPr>
    </w:p>
    <w:p>
      <w:pPr>
        <w:pStyle w:val="Heading2"/>
        <w:spacing w:after="160" w:before="360"/>
      </w:pPr>
      <w:r>
        <w:rPr>
          <w:b/>
          <w:bCs/>
          <w:color w:val="2E5A88"/>
          <w:sz w:val="26"/>
          <w:szCs w:val="26"/>
        </w:rPr>
        <w:t xml:space="preserve">3.4 Independent Historian</w:t>
      </w:r>
    </w:p>
    <w:p>
      <w:pPr>
        <w:spacing w:after="160" w:line="276"/>
        <w:jc w:val="both"/>
      </w:pPr>
      <w:r>
        <w:rPr>
          <w:sz w:val="22"/>
          <w:szCs w:val="22"/>
        </w:rPr>
        <w:t xml:space="preserve">An </w:t>
      </w:r>
      <w:r>
        <w:rPr>
          <w:b/>
          <w:bCs/>
          <w:sz w:val="22"/>
          <w:szCs w:val="22"/>
        </w:rPr>
        <w:t xml:space="preserve">independent historian</w:t>
      </w:r>
      <w:r>
        <w:rPr>
          <w:sz w:val="22"/>
          <w:szCs w:val="22"/>
        </w:rPr>
        <w:t xml:space="preserve"> is someone other than the patient (or, for pediatric care, in addition to the parent normally providing history) who supplies history because the patient cannot provide a complete or reliable history independently — due to developmental stage, cognitive impairment, acute psychiatric symptoms (e.g., acute psychosis, severe cognitive slowing in depression, or acute mania with impaired insight), or dissociative symptoms. This category is commonly under-recognized in psychiatry, where collateral input from a parent, spouse, or caregiver is routine but rarely flagged in the note as meeting this specific CPT category.</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DA-3.4  —  Independent Historian Credit</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E/M Guidelines, 2023, Data Element table, Category 1.</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Recognizes the added clinical complexity of gathering and reconciling history from a source other than the patient.</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Collateral history counts as an independent historian data point when the note documents both who provided it and why it was necessary (i.e., the patient could not reliably provide it alone).</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A parent providing collateral history for a pediatric ADHD evaluation is standard practice and, per CPT guidance, generally expected as part of that encounter rather than separately creditable in every routine pediatric visit; but a spouse providing collateral history for an adult patient with acute mania and impaired insight is creditable, because it reflects added complexity beyond the routine encounter.</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collateral source is documented AND note explains that the patient's own history was incomplete, unreliable, or the source added information changing management THEN count as independent historian. IF collateral is routine and expected for the patient's age/care type without added complexity explanation THEN do not count separately.</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State explicitly why collateral was obtained: ‘Patient's mother provided history given patient's acute manic state and impaired insight into recent spending and sleep changes.’</w:t>
            </w:r>
          </w:p>
        </w:tc>
      </w:tr>
    </w:tbl>
    <w:p>
      <w:pPr>
        <w:spacing w:after="120"/>
      </w:pPr>
    </w:p>
    <w:p>
      <w:pPr>
        <w:pStyle w:val="Heading2"/>
        <w:spacing w:after="160" w:before="360"/>
      </w:pPr>
      <w:r>
        <w:rPr>
          <w:b/>
          <w:bCs/>
          <w:color w:val="2E5A88"/>
          <w:sz w:val="26"/>
          <w:szCs w:val="26"/>
        </w:rPr>
        <w:t xml:space="preserve">3.5 Category 3: Interprofessional Discussion</w:t>
      </w:r>
    </w:p>
    <w:p>
      <w:pPr>
        <w:spacing w:after="160" w:line="276"/>
        <w:jc w:val="both"/>
      </w:pPr>
      <w:r>
        <w:rPr>
          <w:sz w:val="22"/>
          <w:szCs w:val="22"/>
        </w:rPr>
        <w:t xml:space="preserve">Category 3 requires an </w:t>
      </w:r>
      <w:r>
        <w:rPr>
          <w:b/>
          <w:bCs/>
          <w:sz w:val="22"/>
          <w:szCs w:val="22"/>
        </w:rPr>
        <w:t xml:space="preserve">interactive exchange</w:t>
      </w:r>
      <w:r>
        <w:rPr>
          <w:sz w:val="22"/>
          <w:szCs w:val="22"/>
        </w:rPr>
        <w:t xml:space="preserve"> — a synchronous or asynchronous but two-way discussion — with an external physician, other qualified health care professional, or appropriate source (which can include non-clinical sources such as a school counselor or case manager when relevant to management). Reading a note that another provider wrote and placed in the chart is Category 1 (a document reviewed), not Category 3. Category 3 requires evidence that the discussion actually happened: a phone call, a secure message exchange with back-and-forth, or a documented care coordination conversation.</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DA-3.5  —  Category 3 Requires a Genuine Exchange</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E/M Guidelines, 2023, Data Element table, Category 3.</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Distinguishes passive record review from active care coordination, which represents meaningfully greater cognitive work and warrants higher Data credit.</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Category 3 credit requires documentation that a discussion occurred — not merely that another provider's records exist or were reviewed.</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‘Spoke with patient's therapist, [name], by phone today; she reports increasing avoidance behaviors not fully captured in today's visit; discussed adjusting therapy frequency and will consider adding exposure-based work’ is Category 3. ‘Per therapist's note in chart, patient has been avoidant’ is Category 1, not Category 3.</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the note documents a named external party AND describes the content or outcome of a two-way exchange (not just that contact was attempted or that a record was read) THEN credit Category 3. IF the note only references what another provider wrote THEN credit Category 1 (document reviewed) instead.</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COMMON DOCUMENTATION FAILURES</w:t>
            </w:r>
          </w:p>
          <w:p>
            <w:pPr>
              <w:spacing w:after="0" w:line="264"/>
              <w:jc w:val="both"/>
            </w:pPr>
            <w:r>
              <w:rPr>
                <w:sz w:val="21"/>
                <w:szCs w:val="21"/>
              </w:rPr>
              <w:t xml:space="preserve">Templates include a checkbox for 'Coordinated with therapist' that gets checked without any free-text description of what was discussed, leaving no audit trail that an actual exchange occurred.</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Document the coordinating party's name/role, the date of contact, and at least one substantive detail exchanged or decision reached as a result of the conversation.</w:t>
            </w:r>
          </w:p>
        </w:tc>
      </w:tr>
    </w:tbl>
    <w:p>
      <w:pPr>
        <w:spacing w:after="120"/>
      </w:pPr>
    </w:p>
    <w:p>
      <w:pPr>
        <w:pStyle w:val="Heading2"/>
        <w:spacing w:after="160" w:before="360"/>
      </w:pPr>
      <w:r>
        <w:rPr>
          <w:b/>
          <w:bCs/>
          <w:color w:val="2E5A88"/>
          <w:sz w:val="26"/>
          <w:szCs w:val="26"/>
        </w:rPr>
        <w:t xml:space="preserve">3.6 Data Tier Summary Table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7760"/>
      </w:tblGrid>
      <w:tr>
        <w:trPr>
          <w:tblHeader/>
        </w:trPr>
        <w:tc>
          <w:tcPr>
            <w:tcW w:type="dxa" w:w="1600"/>
            <w:shd w:fill="1F3864" w:val="clear"/>
            <w:tcMar>
              <w:top w:type="dxa" w:w="80"/>
              <w:left w:type="dxa" w:w="120"/>
              <w:bottom w:type="dxa" w:w="80"/>
              <w:right w:type="dxa" w:w="120"/>
            </w:tcMar>
          </w:tcPr>
          <w:p>
            <w:r>
              <w:rPr>
                <w:b/>
                <w:bCs/>
                <w:color w:val="FFFFFF"/>
                <w:sz w:val="20"/>
                <w:szCs w:val="20"/>
              </w:rPr>
              <w:t xml:space="preserve">Data Tier</w:t>
            </w:r>
          </w:p>
        </w:tc>
        <w:tc>
          <w:tcPr>
            <w:tcW w:type="dxa" w:w="7760"/>
            <w:shd w:fill="1F3864" w:val="clear"/>
            <w:tcMar>
              <w:top w:type="dxa" w:w="80"/>
              <w:left w:type="dxa" w:w="120"/>
              <w:bottom w:type="dxa" w:w="80"/>
              <w:right w:type="dxa" w:w="120"/>
            </w:tcMar>
          </w:tcPr>
          <w:p>
            <w:r>
              <w:rPr>
                <w:b/>
                <w:bCs/>
                <w:color w:val="FFFFFF"/>
                <w:sz w:val="20"/>
                <w:szCs w:val="20"/>
              </w:rPr>
              <w:t xml:space="preserve">Typical Combinations That Qualify</w:t>
            </w:r>
          </w:p>
        </w:tc>
      </w:tr>
      <w:tr>
        <w:tc>
          <w:tcPr>
            <w:tcW w:type="dxa" w:w="1600"/>
            <w:shd w:fill="FFFFFF" w:val="clear"/>
            <w:tcMar>
              <w:top w:type="dxa" w:w="80"/>
              <w:left w:type="dxa" w:w="120"/>
              <w:bottom w:type="dxa" w:w="80"/>
              <w:right w:type="dxa" w:w="120"/>
            </w:tcMar>
          </w:tcPr>
          <w:p>
            <w:r>
              <w:rPr>
                <w:sz w:val="20"/>
                <w:szCs w:val="20"/>
              </w:rPr>
              <w:t xml:space="preserve">Minimal or None</w:t>
            </w:r>
          </w:p>
        </w:tc>
        <w:tc>
          <w:tcPr>
            <w:tcW w:type="dxa" w:w="7760"/>
            <w:shd w:fill="FFFFFF" w:val="clear"/>
            <w:tcMar>
              <w:top w:type="dxa" w:w="80"/>
              <w:left w:type="dxa" w:w="120"/>
              <w:bottom w:type="dxa" w:w="80"/>
              <w:right w:type="dxa" w:w="120"/>
            </w:tcMar>
          </w:tcPr>
          <w:p>
            <w:r>
              <w:rPr>
                <w:sz w:val="20"/>
                <w:szCs w:val="20"/>
              </w:rPr>
              <w:t xml:space="preserve">No tests, documents, historians, independent interpretation, or discussion reviewed and analyzed for this encounter.</w:t>
            </w:r>
          </w:p>
        </w:tc>
      </w:tr>
      <w:tr>
        <w:tc>
          <w:tcPr>
            <w:tcW w:type="dxa" w:w="1600"/>
            <w:shd w:fill="F2F2F2" w:val="clear"/>
            <w:tcMar>
              <w:top w:type="dxa" w:w="80"/>
              <w:left w:type="dxa" w:w="120"/>
              <w:bottom w:type="dxa" w:w="80"/>
              <w:right w:type="dxa" w:w="120"/>
            </w:tcMar>
          </w:tcPr>
          <w:p>
            <w:r>
              <w:rPr>
                <w:sz w:val="20"/>
                <w:szCs w:val="20"/>
              </w:rPr>
              <w:t xml:space="preserve">Limited</w:t>
            </w:r>
          </w:p>
        </w:tc>
        <w:tc>
          <w:tcPr>
            <w:tcW w:type="dxa" w:w="7760"/>
            <w:shd w:fill="F2F2F2" w:val="clear"/>
            <w:tcMar>
              <w:top w:type="dxa" w:w="80"/>
              <w:left w:type="dxa" w:w="120"/>
              <w:bottom w:type="dxa" w:w="80"/>
              <w:right w:type="dxa" w:w="120"/>
            </w:tcMar>
          </w:tcPr>
          <w:p>
            <w:r>
              <w:rPr>
                <w:sz w:val="20"/>
                <w:szCs w:val="20"/>
              </w:rPr>
              <w:t xml:space="preserve">1–2 Category 1 points (e.g., review of one rating scale, or review of one prior note).</w:t>
            </w:r>
          </w:p>
        </w:tc>
      </w:tr>
      <w:tr>
        <w:tc>
          <w:tcPr>
            <w:tcW w:type="dxa" w:w="1600"/>
            <w:shd w:fill="FFFFFF" w:val="clear"/>
            <w:tcMar>
              <w:top w:type="dxa" w:w="80"/>
              <w:left w:type="dxa" w:w="120"/>
              <w:bottom w:type="dxa" w:w="80"/>
              <w:right w:type="dxa" w:w="120"/>
            </w:tcMar>
          </w:tcPr>
          <w:p>
            <w:r>
              <w:rPr>
                <w:sz w:val="20"/>
                <w:szCs w:val="20"/>
              </w:rPr>
              <w:t xml:space="preserve">Moderate</w:t>
            </w:r>
          </w:p>
        </w:tc>
        <w:tc>
          <w:tcPr>
            <w:tcW w:type="dxa" w:w="7760"/>
            <w:shd w:fill="FFFFFF" w:val="clear"/>
            <w:tcMar>
              <w:top w:type="dxa" w:w="80"/>
              <w:left w:type="dxa" w:w="120"/>
              <w:bottom w:type="dxa" w:w="80"/>
              <w:right w:type="dxa" w:w="120"/>
            </w:tcMar>
          </w:tcPr>
          <w:p>
            <w:r>
              <w:rPr>
                <w:sz w:val="20"/>
                <w:szCs w:val="20"/>
              </w:rPr>
              <w:t xml:space="preserve">3+ Category 1 points; OR any combination reaching two of the three categories (e.g., Category 1 review plus a Category 3 discussion); OR independent interpretation of a test (Category 2) with a Category 1 item.</w:t>
            </w:r>
          </w:p>
        </w:tc>
      </w:tr>
      <w:tr>
        <w:tc>
          <w:tcPr>
            <w:tcW w:type="dxa" w:w="1600"/>
            <w:shd w:fill="F2F2F2" w:val="clear"/>
            <w:tcMar>
              <w:top w:type="dxa" w:w="80"/>
              <w:left w:type="dxa" w:w="120"/>
              <w:bottom w:type="dxa" w:w="80"/>
              <w:right w:type="dxa" w:w="120"/>
            </w:tcMar>
          </w:tcPr>
          <w:p>
            <w:r>
              <w:rPr>
                <w:sz w:val="20"/>
                <w:szCs w:val="20"/>
              </w:rPr>
              <w:t xml:space="preserve">Extensive (High)</w:t>
            </w:r>
          </w:p>
        </w:tc>
        <w:tc>
          <w:tcPr>
            <w:tcW w:type="dxa" w:w="7760"/>
            <w:shd w:fill="F2F2F2" w:val="clear"/>
            <w:tcMar>
              <w:top w:type="dxa" w:w="80"/>
              <w:left w:type="dxa" w:w="120"/>
              <w:bottom w:type="dxa" w:w="80"/>
              <w:right w:type="dxa" w:w="120"/>
            </w:tcMar>
          </w:tcPr>
          <w:p>
            <w:r>
              <w:rPr>
                <w:sz w:val="20"/>
                <w:szCs w:val="20"/>
              </w:rPr>
              <w:t xml:space="preserve">Category 1 combined with either Category 2 and Category 3, or a comparably high-complexity combination reflecting substantial multi-source synthesis — uncommon in routine outpatient psychiatric medication management but seen in complex diagnostic workups (e.g., first-episode psychosis evaluation involving labs, imaging review, and discussion with an inpatient team).</w:t>
            </w:r>
          </w:p>
        </w:tc>
      </w:tr>
    </w:tbl>
    <w:p>
      <w:pPr>
        <w:spacing w:after="120"/>
      </w:pPr>
    </w:p>
    <w:p>
      <w:pPr>
        <w:pStyle w:val="Heading2"/>
        <w:spacing w:after="160" w:before="360"/>
      </w:pPr>
      <w:r>
        <w:rPr>
          <w:b/>
          <w:bCs/>
          <w:color w:val="2E5A88"/>
          <w:sz w:val="26"/>
          <w:szCs w:val="26"/>
        </w:rPr>
        <w:t xml:space="preserve">3.7 Common Coding Myths — Data</w:t>
      </w:r>
    </w:p>
    <w:tbl>
      <w:tblPr>
        <w:tblW w:type="dxa" w:w="9360"/>
        <w:tblBorders>
          <w:top w:val="single" w:color="9C2B2B" w:sz="4"/>
          <w:left w:val="single" w:color="9C2B2B" w:sz="4"/>
          <w:bottom w:val="single" w:color="9C2B2B" w:sz="4"/>
          <w:right w:val="single" w:color="9C2B2B" w:sz="4"/>
          <w:insideH w:val="none" w:color="FFFFFF" w:sz="0"/>
          <w:insideV w:val="none" w:color="FFFFFF" w:sz="0"/>
        </w:tblBorders>
      </w:tblPr>
      <w:tblGrid>
        <w:gridCol w:w="9360"/>
      </w:tblGrid>
      <w:tr>
        <w:tc>
          <w:tcPr>
            <w:tcW w:type="dxa" w:w="9360"/>
            <w:shd w:fill="FBEAEA" w:val="clear"/>
            <w:tcMar>
              <w:top w:type="dxa" w:w="140"/>
              <w:left w:type="dxa" w:w="180"/>
              <w:bottom w:type="dxa" w:w="140"/>
              <w:right w:type="dxa" w:w="180"/>
            </w:tcMar>
          </w:tcPr>
          <w:p>
            <w:pPr>
              <w:spacing w:after="80"/>
            </w:pPr>
            <w:r>
              <w:rPr>
                <w:b/>
                <w:bCs/>
                <w:color w:val="9C2B2B"/>
                <w:sz w:val="21"/>
                <w:szCs w:val="21"/>
              </w:rPr>
              <w:t xml:space="preserve">COMMON CODING MYTHS</w:t>
            </w:r>
          </w:p>
          <w:p>
            <w:pPr>
              <w:spacing w:after="60"/>
            </w:pPr>
            <w:r>
              <w:rPr>
                <w:b/>
                <w:bCs/>
                <w:color w:val="9C2B2B"/>
                <w:sz w:val="21"/>
                <w:szCs w:val="21"/>
              </w:rPr>
              <w:t xml:space="preserve">MYTH: </w:t>
            </w:r>
            <w:r>
              <w:rPr>
                <w:i/>
                <w:iCs/>
                <w:sz w:val="21"/>
                <w:szCs w:val="21"/>
              </w:rPr>
              <w:t xml:space="preserve">Ordering a PHQ-9 or GAD-7 at every visit automatically supports Moderate Data.</w:t>
            </w:r>
          </w:p>
          <w:p>
            <w:pPr>
              <w:spacing w:after="60"/>
            </w:pPr>
            <w:r>
              <w:rPr>
                <w:b/>
                <w:bCs/>
                <w:color w:val="1F3864"/>
                <w:sz w:val="21"/>
                <w:szCs w:val="21"/>
              </w:rPr>
              <w:t xml:space="preserve">REALITY: </w:t>
            </w:r>
            <w:r>
              <w:rPr>
                <w:sz w:val="21"/>
                <w:szCs w:val="21"/>
              </w:rPr>
              <w:t xml:space="preserve">A single rating scale is one Category 1 point, which supports Limited Data on its own, not Moderate. Moderate requires reaching 3 Category 1 points or a second category, as set out in Rule DA-3.3.</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‘Reviewed chart’ is sufficient documentation to claim Data credit.</w:t>
            </w:r>
          </w:p>
          <w:p>
            <w:pPr>
              <w:spacing w:after="60"/>
            </w:pPr>
            <w:r>
              <w:rPr>
                <w:b/>
                <w:bCs/>
                <w:color w:val="1F3864"/>
                <w:sz w:val="21"/>
                <w:szCs w:val="21"/>
              </w:rPr>
              <w:t xml:space="preserve">REALITY: </w:t>
            </w:r>
            <w:r>
              <w:rPr>
                <w:sz w:val="21"/>
                <w:szCs w:val="21"/>
              </w:rPr>
              <w:t xml:space="preserve">Generic references to reviewing ‘records’ or ‘the chart’ without identifying the specific document are not countable, per Rule DA-3.3's Trimera Best Practice. Every source must be individually identifiable.</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Talking to a patient's family member always counts as an independent historian.</w:t>
            </w:r>
          </w:p>
          <w:p>
            <w:pPr>
              <w:spacing w:after="60"/>
            </w:pPr>
            <w:r>
              <w:rPr>
                <w:b/>
                <w:bCs/>
                <w:color w:val="1F3864"/>
                <w:sz w:val="21"/>
                <w:szCs w:val="21"/>
              </w:rPr>
              <w:t xml:space="preserve">REALITY: </w:t>
            </w:r>
            <w:r>
              <w:rPr>
                <w:sz w:val="21"/>
                <w:szCs w:val="21"/>
              </w:rPr>
              <w:t xml:space="preserve">It counts only when the note explains that the collateral source was necessary because the patient could not reliably provide history alone, per Rule DA-3.4 — not simply because a family member happened to be present.</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E-prescribing a controlled substance and checking the state PDMP counts as a Category 1 data point every time.</w:t>
            </w:r>
          </w:p>
          <w:p>
            <w:pPr>
              <w:spacing w:after="60"/>
            </w:pPr>
            <w:r>
              <w:rPr>
                <w:b/>
                <w:bCs/>
                <w:color w:val="1F3864"/>
                <w:sz w:val="21"/>
                <w:szCs w:val="21"/>
              </w:rPr>
              <w:t xml:space="preserve">REALITY: </w:t>
            </w:r>
            <w:r>
              <w:rPr>
                <w:sz w:val="21"/>
                <w:szCs w:val="21"/>
              </w:rPr>
              <w:t xml:space="preserve">PDMP review is a regulatory and clinical safety requirement, and while it can support Data credit when documented, it is more directly relevant to the Risk element (Chapter 4) as part of prescription drug management; documenting it supports both, but it should not be double-counted as if it were two separate, unrelated pieces of evidence for the same clinical fact.</w:t>
            </w:r>
          </w:p>
        </w:tc>
      </w:tr>
    </w:tbl>
    <w:p>
      <w:pPr>
        <w:spacing w:after="120"/>
      </w:pPr>
    </w:p>
    <w:p>
      <w:pPr>
        <w:pStyle w:val="Heading2"/>
        <w:spacing w:after="160" w:before="360"/>
      </w:pPr>
      <w:r>
        <w:rPr>
          <w:b/>
          <w:bCs/>
          <w:color w:val="2E5A88"/>
          <w:sz w:val="26"/>
          <w:szCs w:val="26"/>
        </w:rPr>
        <w:t xml:space="preserve">3.8 AI Interpretation Logic — Data Reviewed and Analyzed</w:t>
      </w:r>
    </w:p>
    <w:tbl>
      <w:tblPr>
        <w:tblW w:type="dxa" w:w="9360"/>
        <w:tblBorders>
          <w:top w:val="single" w:color="1F3864" w:sz="4"/>
          <w:left w:val="single" w:color="1F3864" w:sz="4"/>
          <w:bottom w:val="single" w:color="1F3864" w:sz="4"/>
          <w:right w:val="single" w:color="1F3864"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1F3864"/>
                <w:sz w:val="21"/>
                <w:szCs w:val="21"/>
              </w:rPr>
              <w:t xml:space="preserve">AI DECISION LOGIC — DATA REVIEWED AND ANALYZED</w:t>
            </w:r>
          </w:p>
          <w:p>
            <w:pPr>
              <w:spacing w:after="60"/>
            </w:pPr>
            <w:r>
              <w:rPr>
                <w:sz w:val="21"/>
                <w:szCs w:val="21"/>
              </w:rPr>
              <w:t xml:space="preserve">STEP 1: Scan the note for specifically named tests, documents, or rating scales reviewed today. Discard vague references ('reviewed records') that do not name a specific source (Rule DA-3.3).</w:t>
            </w:r>
          </w:p>
          <w:p>
            <w:pPr>
              <w:spacing w:after="60"/>
            </w:pPr>
            <w:r>
              <w:rPr>
                <w:sz w:val="21"/>
                <w:szCs w:val="21"/>
              </w:rPr>
              <w:t xml:space="preserve">STEP 2: Scan for collateral/independent historian language; credit only where the note states why the collateral source was necessary (Rule DA-3.4).</w:t>
            </w:r>
          </w:p>
          <w:p>
            <w:pPr>
              <w:spacing w:after="60"/>
            </w:pPr>
            <w:r>
              <w:rPr>
                <w:sz w:val="21"/>
                <w:szCs w:val="21"/>
              </w:rPr>
              <w:t xml:space="preserve">STEP 3: Scan for independent interpretation of an external test (Category 2) — requires the provider's own interpretive statement, not just noting that a result exists.</w:t>
            </w:r>
          </w:p>
          <w:p>
            <w:pPr>
              <w:spacing w:after="60"/>
            </w:pPr>
            <w:r>
              <w:rPr>
                <w:sz w:val="21"/>
                <w:szCs w:val="21"/>
              </w:rPr>
              <w:t xml:space="preserve">STEP 4: Scan for documented two-way interprofessional discussion naming the party, date, and substantive content exchanged (Category 3, Rule DA-3.5).</w:t>
            </w:r>
          </w:p>
          <w:p>
            <w:pPr>
              <w:spacing w:after="60"/>
            </w:pPr>
            <w:r>
              <w:rPr>
                <w:sz w:val="21"/>
                <w:szCs w:val="21"/>
              </w:rPr>
              <w:t xml:space="preserve">STEP 5: Tally Category 1 points; note whether Category 2 and/or Category 3 are independently present.</w:t>
            </w:r>
          </w:p>
          <w:p>
            <w:pPr>
              <w:spacing w:after="60"/>
            </w:pPr>
            <w:r>
              <w:rPr>
                <w:sz w:val="21"/>
                <w:szCs w:val="21"/>
              </w:rPr>
              <w:t xml:space="preserve">STEP 6: Apply the Section 3.6 table: 3+ Category 1 points, or two categories combined → Moderate; Category 1+2+3 in combination → High; 1–2 Category 1 points only → Limited; nothing countable → Minimal.</w:t>
            </w:r>
          </w:p>
          <w:p>
            <w:pPr>
              <w:spacing w:after="60"/>
            </w:pPr>
            <w:r>
              <w:rPr>
                <w:sz w:val="21"/>
                <w:szCs w:val="21"/>
              </w:rPr>
              <w:t xml:space="preserve">STEP 7: Pass the resulting Data tier forward to the Chapter 4 synthesis step.</w:t>
            </w:r>
          </w:p>
        </w:tc>
      </w:tr>
    </w:tbl>
    <w:p>
      <w:pPr>
        <w:spacing w:after="120"/>
      </w:pPr>
    </w:p>
    <w:p>
      <w:pPr>
        <w:pStyle w:val="Heading2"/>
        <w:spacing w:after="160" w:before="360"/>
      </w:pPr>
      <w:r>
        <w:rPr>
          <w:b/>
          <w:bCs/>
          <w:color w:val="2E5A88"/>
          <w:sz w:val="26"/>
          <w:szCs w:val="26"/>
        </w:rPr>
        <w:t xml:space="preserve">3.9 Worked Examples</w:t>
      </w:r>
    </w:p>
    <w:tbl>
      <w:tblPr>
        <w:tblW w:type="dxa" w:w="9360"/>
        <w:tblBorders>
          <w:top w:val="single" w:color="2E5A88" w:sz="4"/>
          <w:left w:val="single" w:color="2E5A88" w:sz="4"/>
          <w:bottom w:val="single" w:color="2E5A88" w:sz="4"/>
          <w:right w:val="single" w:color="2E5A88"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2E5A88"/>
                <w:sz w:val="21"/>
                <w:szCs w:val="21"/>
              </w:rPr>
              <w:t xml:space="preserve">EXAMPLE A — MODERATE DATA (PASS AS DOCUMENTED)</w:t>
            </w:r>
          </w:p>
          <w:p>
            <w:pPr>
              <w:spacing w:after="60"/>
            </w:pPr>
            <w:r>
              <w:rPr>
                <w:b/>
                <w:bCs/>
                <w:i/>
                <w:iCs/>
                <w:sz w:val="21"/>
                <w:szCs w:val="21"/>
              </w:rPr>
              <w:t xml:space="preserve">Note excerpt: </w:t>
            </w:r>
            <w:r>
              <w:rPr>
                <w:i/>
                <w:iCs/>
                <w:sz w:val="21"/>
                <w:szCs w:val="21"/>
              </w:rPr>
              <w:t xml:space="preserve">‘Reviewed today’s PHQ-9 (14, up from 8) and GAD-7 (11, up from 6). Reviewed discharge summary from [Hospital] dated [date] noting recent brief inpatient stay for suicidal ideation. Spoke briefly with patient’s outpatient therapist by phone today; she reports patient has missed the last two therapy sessions.’</w:t>
            </w:r>
          </w:p>
          <w:p>
            <w:pPr>
              <w:spacing w:after="60"/>
            </w:pPr>
            <w:r>
              <w:rPr>
                <w:sz w:val="21"/>
                <w:szCs w:val="21"/>
              </w:rPr>
              <w:t xml:space="default"/>
            </w:r>
          </w:p>
        </w:tc>
      </w:tr>
    </w:tbl>
    <w:tbl>
      <w:tblPr>
        <w:tblW w:type="dxa" w:w="9360"/>
        <w:tblBorders>
          <w:top w:val="single" w:color="2E5A88" w:sz="4"/>
          <w:left w:val="single" w:color="2E5A88" w:sz="4"/>
          <w:bottom w:val="single" w:color="2E5A88" w:sz="4"/>
          <w:right w:val="single" w:color="2E5A88"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2E5A88"/>
                <w:sz w:val="21"/>
                <w:szCs w:val="21"/>
              </w:rPr>
              <w:t xml:space="preserve">EXAMPLE B — LIMITED DATA (CORRECTLY LOW, NOT A DEFICIENCY)</w:t>
            </w:r>
          </w:p>
          <w:p>
            <w:pPr>
              <w:spacing w:after="60"/>
            </w:pPr>
            <w:r>
              <w:rPr>
                <w:b/>
                <w:bCs/>
                <w:i/>
                <w:iCs/>
                <w:sz w:val="21"/>
                <w:szCs w:val="21"/>
              </w:rPr>
              <w:t xml:space="preserve">Note excerpt: </w:t>
            </w:r>
            <w:r>
              <w:rPr>
                <w:i/>
                <w:iCs/>
                <w:sz w:val="21"/>
                <w:szCs w:val="21"/>
              </w:rPr>
              <w:t xml:space="preserve">‘Reviewed today’s GAD-7 (4, unchanged).’</w:t>
            </w:r>
          </w:p>
          <w:p>
            <w:pPr>
              <w:spacing w:after="60"/>
            </w:pPr>
            <w:r>
              <w:rPr>
                <w:sz w:val="21"/>
                <w:szCs w:val="21"/>
              </w:rPr>
              <w:t xml:space="default"/>
            </w:r>
          </w:p>
        </w:tc>
      </w:tr>
    </w:tbl>
    <w:tbl>
      <w:tblPr>
        <w:tblW w:type="dxa" w:w="9360"/>
        <w:tblBorders>
          <w:top w:val="single" w:color="9C6B14" w:sz="4"/>
          <w:left w:val="single" w:color="9C6B14" w:sz="4"/>
          <w:bottom w:val="single" w:color="9C6B14" w:sz="4"/>
          <w:right w:val="single" w:color="9C6B14" w:sz="4"/>
          <w:insideH w:val="none" w:color="FFFFFF" w:sz="0"/>
          <w:insideV w:val="none" w:color="FFFFFF" w:sz="0"/>
        </w:tblBorders>
      </w:tblPr>
      <w:tblGrid>
        <w:gridCol w:w="9360"/>
      </w:tblGrid>
      <w:tr>
        <w:tc>
          <w:tcPr>
            <w:tcW w:type="dxa" w:w="9360"/>
            <w:shd w:fill="FBF3E3" w:val="clear"/>
            <w:tcMar>
              <w:top w:type="dxa" w:w="140"/>
              <w:left w:type="dxa" w:w="180"/>
              <w:bottom w:type="dxa" w:w="140"/>
              <w:right w:type="dxa" w:w="180"/>
            </w:tcMar>
          </w:tcPr>
          <w:p>
            <w:pPr>
              <w:spacing w:after="80"/>
            </w:pPr>
            <w:r>
              <w:rPr>
                <w:b/>
                <w:bCs/>
                <w:color w:val="9C6B14"/>
                <w:sz w:val="21"/>
                <w:szCs w:val="21"/>
              </w:rPr>
              <w:t xml:space="preserve">EXAMPLE C — UNCOUNTABLE AS WRITTEN (FLAG FOR PROVIDER)</w:t>
            </w:r>
          </w:p>
          <w:p>
            <w:pPr>
              <w:spacing w:after="60"/>
            </w:pPr>
            <w:r>
              <w:rPr>
                <w:b/>
                <w:bCs/>
                <w:i/>
                <w:iCs/>
                <w:sz w:val="21"/>
                <w:szCs w:val="21"/>
              </w:rPr>
              <w:t xml:space="preserve">Note excerpt: </w:t>
            </w:r>
            <w:r>
              <w:rPr>
                <w:i/>
                <w:iCs/>
                <w:sz w:val="21"/>
                <w:szCs w:val="21"/>
              </w:rPr>
              <w:t xml:space="preserve">‘Reviewed old records prior to visit.’</w:t>
            </w:r>
          </w:p>
          <w:p>
            <w:pPr>
              <w:spacing w:after="60"/>
            </w:pPr>
            <w:r>
              <w:rPr>
                <w:sz w:val="21"/>
                <w:szCs w:val="21"/>
              </w:rPr>
              <w:t xml:space="default"/>
            </w:r>
          </w:p>
        </w:tc>
      </w:tr>
    </w:tbl>
    <w:p>
      <w:r>
        <w:br w:type="page"/>
      </w:r>
    </w:p>
    <w:p>
      <w:pPr>
        <w:pStyle w:val="Heading1"/>
        <w:pBdr>
          <w:bottom w:val="single" w:color="1F3864" w:sz="12" w:space="4"/>
        </w:pBdr>
        <w:spacing w:after="240" w:before="480"/>
      </w:pPr>
      <w:r>
        <w:rPr>
          <w:b/>
          <w:bCs/>
          <w:color w:val="1F3864"/>
          <w:sz w:val="32"/>
          <w:szCs w:val="32"/>
        </w:rPr>
        <w:t xml:space="preserve">Chapter 4 — Medical Decision Making: Risk of Complications, Morbidity, or Mortality</w:t>
      </w:r>
    </w:p>
    <w:p>
      <w:pPr>
        <w:pStyle w:val="Heading2"/>
        <w:spacing w:after="160" w:before="360"/>
      </w:pPr>
      <w:r>
        <w:rPr>
          <w:b/>
          <w:bCs/>
          <w:color w:val="2E5A88"/>
          <w:sz w:val="26"/>
          <w:szCs w:val="26"/>
        </w:rPr>
        <w:t xml:space="preserve">4.1 Overview and Why Risk Dominates Psychiatric MDM</w:t>
      </w:r>
    </w:p>
    <w:p>
      <w:pPr>
        <w:spacing w:after="160" w:line="276"/>
        <w:jc w:val="both"/>
      </w:pPr>
      <w:r>
        <w:rPr>
          <w:sz w:val="22"/>
          <w:szCs w:val="22"/>
        </w:rPr>
        <w:t xml:space="preserve">Of the three MDM elements, Risk is the one most likely to independently drive the E/M level in outpatient psychiatry, because </w:t>
      </w:r>
      <w:r>
        <w:rPr>
          <w:b/>
          <w:bCs/>
          <w:sz w:val="22"/>
          <w:szCs w:val="22"/>
        </w:rPr>
        <w:t xml:space="preserve">prescription drug management</w:t>
      </w:r>
      <w:r>
        <w:rPr>
          <w:sz w:val="22"/>
          <w:szCs w:val="22"/>
        </w:rPr>
        <w:t xml:space="preserve"> — present in the overwhelming majority of psychiatric medication-management visits — is explicitly defined by CPT as, at minimum, Moderate risk. Providers and coders who focus only on Problems and Data can systematically undercode visits where the clinical problem looks routine but the risk of the treatment itself is not.</w:t>
      </w:r>
    </w:p>
    <w:p>
      <w:pPr>
        <w:pStyle w:val="Heading2"/>
        <w:spacing w:after="160" w:before="360"/>
      </w:pPr>
      <w:r>
        <w:rPr>
          <w:b/>
          <w:bCs/>
          <w:color w:val="2E5A88"/>
          <w:sz w:val="26"/>
          <w:szCs w:val="26"/>
        </w:rPr>
        <w:t xml:space="preserve">4.2 Prescription Drug Management as Moderate Risk</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RK-4.2  —  Prescription Drug Management</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E/M Guidelines, 2023, Risk Element / Table of Risk.</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Recognizes that decisions to start, continue, adjust, or stop medication carry inherent clinical risk (side effects, interactions, withdrawal, monitoring burden) independent of how straightforward the underlying diagnosis appears.</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Active management of prescription drug therapy — initiating, titrating, discontinuing, or making an affirmative decision to continue a medication after assessing its ongoing appropriateness — qualifies as Moderate risk. Passive continuation with no assessment of the medication's continued appropriateness does not.</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‘Continuing sertraline 50mg; reviewed for side effects, none reported; effective for current symptoms’ reflects active management and qualifies. A visit note that never actually addresses the medication at all — no mention of tolerability, efficacy, or continued indication — does not support prescription drug management risk merely because the patient happens to be on a chronic medication and the pharmacy sends a refill request.</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the note documents an affirmative prescribing decision this visit — continue after assessment, adjust dose, add, discontinue, or address a side effect — THEN credit Moderate risk under Prescription Drug Management. IF the medication is not mentioned in the assessment/plan at all THEN do not credit this risk category for that medication.</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COMMON DOCUMENTATION FAILURES</w:t>
            </w:r>
          </w:p>
          <w:p>
            <w:pPr>
              <w:spacing w:after="0" w:line="264"/>
              <w:jc w:val="both"/>
            </w:pPr>
            <w:r>
              <w:rPr>
                <w:sz w:val="21"/>
                <w:szCs w:val="21"/>
              </w:rPr>
              <w:t xml:space="preserve">Auto-generated after-visit summary lists 'continue current medications' as a system default without any corresponding assessment language in the actual note body.</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COMMON AUDIT FINDINGS</w:t>
            </w:r>
          </w:p>
          <w:p>
            <w:pPr>
              <w:spacing w:after="0" w:line="264"/>
              <w:jc w:val="both"/>
            </w:pPr>
            <w:r>
              <w:rPr>
                <w:sz w:val="21"/>
                <w:szCs w:val="21"/>
              </w:rPr>
              <w:t xml:space="preserve">Payer post-payment reviews frequently request the specific sentence supporting medication management risk; a note that cannot produce one is vulnerable regardless of how the visit was actually conducted, because auditors review only what is written.</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Every visit where medication is billed as part of the MDM should include one explicit sentence per active medication addressing efficacy, tolerability, and the resulting decision — even a stable continuation decision, stated affirmatively rather than assumed.</w:t>
            </w:r>
          </w:p>
        </w:tc>
      </w:tr>
    </w:tbl>
    <w:p>
      <w:pPr>
        <w:spacing w:after="120"/>
      </w:pPr>
    </w:p>
    <w:p>
      <w:pPr>
        <w:pStyle w:val="Heading2"/>
        <w:spacing w:after="160" w:before="360"/>
      </w:pPr>
      <w:r>
        <w:rPr>
          <w:b/>
          <w:bCs/>
          <w:color w:val="2E5A88"/>
          <w:sz w:val="26"/>
          <w:szCs w:val="26"/>
        </w:rPr>
        <w:t xml:space="preserve">4.3 Controlled Substances: Stimulants and Benzodiazepines</w:t>
      </w:r>
    </w:p>
    <w:p>
      <w:pPr>
        <w:spacing w:after="160" w:line="276"/>
        <w:jc w:val="both"/>
      </w:pPr>
      <w:r>
        <w:rPr>
          <w:sz w:val="22"/>
          <w:szCs w:val="22"/>
        </w:rPr>
        <w:t xml:space="preserve">CPT does not automatically elevate controlled substance prescribing above the standard Moderate-risk prescription drug management tier by virtue of the drug schedule alone. However, controlled substance management in psychiatry — stimulants for ADHD, benzodiazepines for anxiety or insomnia — carries documentation expectations that go beyond the bare Moderate-risk threshold, driven by DEA prescribing requirements, state PDMP check obligations, and payer-specific utilization review criteria discussed further in Chapter 7 and Chapter 12.</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RK-4.3  —  Controlled Substance Documentation and Risk</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E/M Guidelines (Risk element, prescription drug management applies equally); DEA prescribing regulations; state PDMP mandates; payer controlled-substance utilization policies (Tier 4, addressed further in Chapter 7).</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Ensures the added regulatory and clinical scrutiny attached to controlled substances is reflected in documentation, protecting both medical necessity support and regulatory compliance.</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Controlled substance prescribing qualifies for Moderate-risk prescription drug management on the same terms as any other medication (Rule RK-4.2), but Trimera documentation standards additionally require evidence of misuse-risk assessment and monitoring appropriate to the substance.</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For stimulants: monitoring for diversion, misuse, appetite/sleep/cardiovascular side effects, and a documented rationale when prescribing at higher end of the therapeutic range. For benzodiazepines: monitoring for sedation, dependence, and, particularly in patients also prescribed opioids or in older adults, an explicit risk-benefit statement given the well-established elevated risk profile in those populations.</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a controlled substance is being newly prescribed, refilled, or dose-adjusted THEN require documentation of at least one misuse/monitoring element (PDMP check, absence of red-flag behaviors, side effect review) in addition to the standard prescription drug management language, before treating the note as fully compliant with Trimera's controlled-substance standard — note that this is a Trimera best-practice enhancement (Tier 5), not a CPT MDM requirement, and its absence affects compliance posture, not the underlying Moderate MDM risk credit itself.</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Document PDMP check date/findings for new or increased controlled substance prescriptions, and include one sentence addressing misuse-risk factors (e.g., 'no red flags on PDMP review, no early refill requests, physical exam without signs of diversion') at a clinically appropriate cadence.</w:t>
            </w:r>
          </w:p>
        </w:tc>
      </w:tr>
    </w:tbl>
    <w:p>
      <w:pPr>
        <w:spacing w:after="120"/>
      </w:pPr>
    </w:p>
    <w:p>
      <w:pPr>
        <w:pStyle w:val="Heading2"/>
        <w:spacing w:after="160" w:before="360"/>
      </w:pPr>
      <w:r>
        <w:rPr>
          <w:b/>
          <w:bCs/>
          <w:color w:val="2E5A88"/>
          <w:sz w:val="26"/>
          <w:szCs w:val="26"/>
        </w:rPr>
        <w:t xml:space="preserve">4.4 Decisions Regarding Hospitalization or Escalation of Care</w:t>
      </w:r>
    </w:p>
    <w:p>
      <w:pPr>
        <w:spacing w:after="160" w:line="276"/>
        <w:jc w:val="both"/>
      </w:pPr>
      <w:r>
        <w:rPr>
          <w:sz w:val="22"/>
          <w:szCs w:val="22"/>
        </w:rPr>
        <w:t xml:space="preserve">A decision to hospitalize, or a decision regarding hospitalization that is actively considered and documented as considered-but-deferred in favor of a specific safety plan, qualifies as High risk. This applies whether the ultimate decision is to hospitalize or to manage acutely as an outpatient with heightened monitoring — the CPT risk category is triggered by the decision-making process addressing that level of acuity, not only by the outcome of actual hospitalization.</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RK-4.4  —  Hospitalization Decision-Making as High Risk</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E/M Guidelines, 2023, Table of Risk, High-risk category.</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Credits the substantial cognitive and clinical work involved in weighing level-of-care decisions, regardless of which option is ultimately chosen.</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High risk is supported when the note documents that hospitalization, or an equivalent escalation of care, was genuinely assessed as a management option for this encounter — including a decision to continue outpatient treatment instead, provided the note shows the alternative was actually weighed.</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‘Discussed voluntary inpatient admission given active SI with plan; patient declined, agreed to safety plan including removal of firearms from home (confirmed by spouse), daily check-ins with family, and follow-up in 48 hours; patient's outpatient supports assessed as adequate to maintain safety’ reflects a genuinely weighed hospitalization decision and supports High risk even though the outcome was continued outpatient care.</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the note documents explicit consideration of hospitalization or higher level of care (not merely 'patient denies wanting to hurt self') AND states the reasoning for the disposition reached THEN credit High risk. A boilerplate safety plan statement with no evidence that hospitalization was actually considered as an option does not meet this threshold on its own.</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COMMON DOCUMENTATION FAILURES</w:t>
            </w:r>
          </w:p>
          <w:p>
            <w:pPr>
              <w:spacing w:after="0" w:line="264"/>
              <w:jc w:val="both"/>
            </w:pPr>
            <w:r>
              <w:rPr>
                <w:sz w:val="21"/>
                <w:szCs w:val="21"/>
              </w:rPr>
              <w:t xml:space="preserve">Template safety plan language is inserted for every patient regardless of acuity, making it impossible to distinguish a genuine high-acuity hospitalization discussion from routine low-risk documentation boilerplate.</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Reserve explicit hospitalization-consideration language for encounters where it was clinically genuine, and make the reasoning for the disposition specific to the patient rather than templated.</w:t>
            </w:r>
          </w:p>
        </w:tc>
      </w:tr>
    </w:tbl>
    <w:p>
      <w:pPr>
        <w:spacing w:after="120"/>
      </w:pPr>
    </w:p>
    <w:p>
      <w:pPr>
        <w:pStyle w:val="Heading2"/>
        <w:spacing w:after="160" w:before="360"/>
      </w:pPr>
      <w:r>
        <w:rPr>
          <w:b/>
          <w:bCs/>
          <w:color w:val="2E5A88"/>
          <w:sz w:val="26"/>
          <w:szCs w:val="26"/>
        </w:rPr>
        <w:t xml:space="preserve">4.5 Risk Tier Reference Table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8060"/>
      </w:tblGrid>
      <w:tr>
        <w:trPr>
          <w:tblHeader/>
        </w:trPr>
        <w:tc>
          <w:tcPr>
            <w:tcW w:type="dxa" w:w="1300"/>
            <w:shd w:fill="1F3864" w:val="clear"/>
            <w:tcMar>
              <w:top w:type="dxa" w:w="80"/>
              <w:left w:type="dxa" w:w="120"/>
              <w:bottom w:type="dxa" w:w="80"/>
              <w:right w:type="dxa" w:w="120"/>
            </w:tcMar>
          </w:tcPr>
          <w:p>
            <w:r>
              <w:rPr>
                <w:b/>
                <w:bCs/>
                <w:color w:val="FFFFFF"/>
                <w:sz w:val="20"/>
                <w:szCs w:val="20"/>
              </w:rPr>
              <w:t xml:space="preserve">Risk Tier</w:t>
            </w:r>
          </w:p>
        </w:tc>
        <w:tc>
          <w:tcPr>
            <w:tcW w:type="dxa" w:w="8060"/>
            <w:shd w:fill="1F3864" w:val="clear"/>
            <w:tcMar>
              <w:top w:type="dxa" w:w="80"/>
              <w:left w:type="dxa" w:w="120"/>
              <w:bottom w:type="dxa" w:w="80"/>
              <w:right w:type="dxa" w:w="120"/>
            </w:tcMar>
          </w:tcPr>
          <w:p>
            <w:r>
              <w:rPr>
                <w:b/>
                <w:bCs/>
                <w:color w:val="FFFFFF"/>
                <w:sz w:val="20"/>
                <w:szCs w:val="20"/>
              </w:rPr>
              <w:t xml:space="preserve">Representative Psychiatric Examples</w:t>
            </w:r>
          </w:p>
        </w:tc>
      </w:tr>
      <w:tr>
        <w:tc>
          <w:tcPr>
            <w:tcW w:type="dxa" w:w="1300"/>
            <w:shd w:fill="FFFFFF" w:val="clear"/>
            <w:tcMar>
              <w:top w:type="dxa" w:w="80"/>
              <w:left w:type="dxa" w:w="120"/>
              <w:bottom w:type="dxa" w:w="80"/>
              <w:right w:type="dxa" w:w="120"/>
            </w:tcMar>
          </w:tcPr>
          <w:p>
            <w:r>
              <w:rPr>
                <w:sz w:val="20"/>
                <w:szCs w:val="20"/>
              </w:rPr>
              <w:t xml:space="preserve">Minimal</w:t>
            </w:r>
          </w:p>
        </w:tc>
        <w:tc>
          <w:tcPr>
            <w:tcW w:type="dxa" w:w="8060"/>
            <w:shd w:fill="FFFFFF" w:val="clear"/>
            <w:tcMar>
              <w:top w:type="dxa" w:w="80"/>
              <w:left w:type="dxa" w:w="120"/>
              <w:bottom w:type="dxa" w:w="80"/>
              <w:right w:type="dxa" w:w="120"/>
            </w:tcMar>
          </w:tcPr>
          <w:p>
            <w:r>
              <w:rPr>
                <w:sz w:val="20"/>
                <w:szCs w:val="20"/>
              </w:rPr>
              <w:t xml:space="preserve">No treatment, or treatment not involving prescription medication management (e.g., a brief supportive check-in visit with no medication changes and no new risk factors).</w:t>
            </w:r>
          </w:p>
        </w:tc>
      </w:tr>
      <w:tr>
        <w:tc>
          <w:tcPr>
            <w:tcW w:type="dxa" w:w="1300"/>
            <w:shd w:fill="F2F2F2" w:val="clear"/>
            <w:tcMar>
              <w:top w:type="dxa" w:w="80"/>
              <w:left w:type="dxa" w:w="120"/>
              <w:bottom w:type="dxa" w:w="80"/>
              <w:right w:type="dxa" w:w="120"/>
            </w:tcMar>
          </w:tcPr>
          <w:p>
            <w:r>
              <w:rPr>
                <w:sz w:val="20"/>
                <w:szCs w:val="20"/>
              </w:rPr>
              <w:t xml:space="preserve">Low</w:t>
            </w:r>
          </w:p>
        </w:tc>
        <w:tc>
          <w:tcPr>
            <w:tcW w:type="dxa" w:w="8060"/>
            <w:shd w:fill="F2F2F2" w:val="clear"/>
            <w:tcMar>
              <w:top w:type="dxa" w:w="80"/>
              <w:left w:type="dxa" w:w="120"/>
              <w:bottom w:type="dxa" w:w="80"/>
              <w:right w:type="dxa" w:w="120"/>
            </w:tcMar>
          </w:tcPr>
          <w:p>
            <w:r>
              <w:rPr>
                <w:sz w:val="20"/>
                <w:szCs w:val="20"/>
              </w:rPr>
              <w:t xml:space="preserve">Over-the-counter or minimal-risk intervention; a single self-limited concern managed without prescription changes.</w:t>
            </w:r>
          </w:p>
        </w:tc>
      </w:tr>
      <w:tr>
        <w:tc>
          <w:tcPr>
            <w:tcW w:type="dxa" w:w="1300"/>
            <w:shd w:fill="FFFFFF" w:val="clear"/>
            <w:tcMar>
              <w:top w:type="dxa" w:w="80"/>
              <w:left w:type="dxa" w:w="120"/>
              <w:bottom w:type="dxa" w:w="80"/>
              <w:right w:type="dxa" w:w="120"/>
            </w:tcMar>
          </w:tcPr>
          <w:p>
            <w:r>
              <w:rPr>
                <w:sz w:val="20"/>
                <w:szCs w:val="20"/>
              </w:rPr>
              <w:t xml:space="preserve">Moderate</w:t>
            </w:r>
          </w:p>
        </w:tc>
        <w:tc>
          <w:tcPr>
            <w:tcW w:type="dxa" w:w="8060"/>
            <w:shd w:fill="FFFFFF" w:val="clear"/>
            <w:tcMar>
              <w:top w:type="dxa" w:w="80"/>
              <w:left w:type="dxa" w:w="120"/>
              <w:bottom w:type="dxa" w:w="80"/>
              <w:right w:type="dxa" w:w="120"/>
            </w:tcMar>
          </w:tcPr>
          <w:p>
            <w:r>
              <w:rPr>
                <w:sz w:val="20"/>
                <w:szCs w:val="20"/>
              </w:rPr>
              <w:t xml:space="preserve">Prescription drug management as defined in Rule RK-4.2 — this is the default tier for the large majority of medication management visits in outpatient psychiatry.</w:t>
            </w:r>
          </w:p>
        </w:tc>
      </w:tr>
      <w:tr>
        <w:tc>
          <w:tcPr>
            <w:tcW w:type="dxa" w:w="1300"/>
            <w:shd w:fill="F2F2F2" w:val="clear"/>
            <w:tcMar>
              <w:top w:type="dxa" w:w="80"/>
              <w:left w:type="dxa" w:w="120"/>
              <w:bottom w:type="dxa" w:w="80"/>
              <w:right w:type="dxa" w:w="120"/>
            </w:tcMar>
          </w:tcPr>
          <w:p>
            <w:r>
              <w:rPr>
                <w:sz w:val="20"/>
                <w:szCs w:val="20"/>
              </w:rPr>
              <w:t xml:space="preserve">High</w:t>
            </w:r>
          </w:p>
        </w:tc>
        <w:tc>
          <w:tcPr>
            <w:tcW w:type="dxa" w:w="8060"/>
            <w:shd w:fill="F2F2F2" w:val="clear"/>
            <w:tcMar>
              <w:top w:type="dxa" w:w="80"/>
              <w:left w:type="dxa" w:w="120"/>
              <w:bottom w:type="dxa" w:w="80"/>
              <w:right w:type="dxa" w:w="120"/>
            </w:tcMar>
          </w:tcPr>
          <w:p>
            <w:r>
              <w:rPr>
                <w:sz w:val="20"/>
                <w:szCs w:val="20"/>
              </w:rPr>
              <w:t xml:space="preserve">Drug therapy requiring intensive monitoring for toxicity (e.g., lithium, clozapine); decision regarding hospitalization per Rule RK-4.4; diagnosis or treatment significantly limited by social determinants of health when that limitation itself is actively addressed in management; parenteral controlled substance administration in specific limited psychiatric contexts.</w:t>
            </w:r>
          </w:p>
        </w:tc>
      </w:tr>
    </w:tbl>
    <w:p>
      <w:pPr>
        <w:spacing w:after="120"/>
      </w:pPr>
    </w:p>
    <w:p>
      <w:pPr>
        <w:pStyle w:val="Heading2"/>
        <w:spacing w:after="160" w:before="360"/>
      </w:pPr>
      <w:r>
        <w:rPr>
          <w:b/>
          <w:bCs/>
          <w:color w:val="2E5A88"/>
          <w:sz w:val="26"/>
          <w:szCs w:val="26"/>
        </w:rPr>
        <w:t xml:space="preserve">4.6 Common Coding Myths — Risk</w:t>
      </w:r>
    </w:p>
    <w:tbl>
      <w:tblPr>
        <w:tblW w:type="dxa" w:w="9360"/>
        <w:tblBorders>
          <w:top w:val="single" w:color="9C2B2B" w:sz="4"/>
          <w:left w:val="single" w:color="9C2B2B" w:sz="4"/>
          <w:bottom w:val="single" w:color="9C2B2B" w:sz="4"/>
          <w:right w:val="single" w:color="9C2B2B" w:sz="4"/>
          <w:insideH w:val="none" w:color="FFFFFF" w:sz="0"/>
          <w:insideV w:val="none" w:color="FFFFFF" w:sz="0"/>
        </w:tblBorders>
      </w:tblPr>
      <w:tblGrid>
        <w:gridCol w:w="9360"/>
      </w:tblGrid>
      <w:tr>
        <w:tc>
          <w:tcPr>
            <w:tcW w:type="dxa" w:w="9360"/>
            <w:shd w:fill="FBEAEA" w:val="clear"/>
            <w:tcMar>
              <w:top w:type="dxa" w:w="140"/>
              <w:left w:type="dxa" w:w="180"/>
              <w:bottom w:type="dxa" w:w="140"/>
              <w:right w:type="dxa" w:w="180"/>
            </w:tcMar>
          </w:tcPr>
          <w:p>
            <w:pPr>
              <w:spacing w:after="80"/>
            </w:pPr>
            <w:r>
              <w:rPr>
                <w:b/>
                <w:bCs/>
                <w:color w:val="9C2B2B"/>
                <w:sz w:val="21"/>
                <w:szCs w:val="21"/>
              </w:rPr>
              <w:t xml:space="preserve">COMMON CODING MYTHS</w:t>
            </w:r>
          </w:p>
          <w:p>
            <w:pPr>
              <w:spacing w:after="60"/>
            </w:pPr>
            <w:r>
              <w:rPr>
                <w:b/>
                <w:bCs/>
                <w:color w:val="9C2B2B"/>
                <w:sz w:val="21"/>
                <w:szCs w:val="21"/>
              </w:rPr>
              <w:t xml:space="preserve">MYTH: </w:t>
            </w:r>
            <w:r>
              <w:rPr>
                <w:i/>
                <w:iCs/>
                <w:sz w:val="21"/>
                <w:szCs w:val="21"/>
              </w:rPr>
              <w:t xml:space="preserve">Prescribing a controlled substance is automatically High risk because of the drug schedule.</w:t>
            </w:r>
          </w:p>
          <w:p>
            <w:pPr>
              <w:spacing w:after="60"/>
            </w:pPr>
            <w:r>
              <w:rPr>
                <w:b/>
                <w:bCs/>
                <w:color w:val="1F3864"/>
                <w:sz w:val="21"/>
                <w:szCs w:val="21"/>
              </w:rPr>
              <w:t xml:space="preserve">REALITY: </w:t>
            </w:r>
            <w:r>
              <w:rPr>
                <w:sz w:val="21"/>
                <w:szCs w:val="21"/>
              </w:rPr>
              <w:t xml:space="preserve">Drug schedule alone does not elevate risk tier under CPT. Controlled substance prescribing sits at Moderate risk under standard prescription drug management (Rule RK-4.2) unless it independently meets a High-risk category such as intensive toxicity monitoring or a hospitalization decision.</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If the patient denies suicidal ideation, Risk cannot be more than Low for that visit.</w:t>
            </w:r>
          </w:p>
          <w:p>
            <w:pPr>
              <w:spacing w:after="60"/>
            </w:pPr>
            <w:r>
              <w:rPr>
                <w:b/>
                <w:bCs/>
                <w:color w:val="1F3864"/>
                <w:sz w:val="21"/>
                <w:szCs w:val="21"/>
              </w:rPr>
              <w:t xml:space="preserve">REALITY: </w:t>
            </w:r>
            <w:r>
              <w:rPr>
                <w:sz w:val="21"/>
                <w:szCs w:val="21"/>
              </w:rPr>
              <w:t xml:space="preserve">Risk is driven by the totality of management decisions at the visit, not solely by SI status. A denied-SI visit that still involves active prescription drug management remains Moderate risk on that basis alone.</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Continuing a medication without any changes is always Low or Minimal risk, since nothing changed.</w:t>
            </w:r>
          </w:p>
          <w:p>
            <w:pPr>
              <w:spacing w:after="60"/>
            </w:pPr>
            <w:r>
              <w:rPr>
                <w:b/>
                <w:bCs/>
                <w:color w:val="1F3864"/>
                <w:sz w:val="21"/>
                <w:szCs w:val="21"/>
              </w:rPr>
              <w:t xml:space="preserve">REALITY: </w:t>
            </w:r>
            <w:r>
              <w:rPr>
                <w:sz w:val="21"/>
                <w:szCs w:val="21"/>
              </w:rPr>
              <w:t xml:space="preserve">Per Rule RK-4.2, an affirmative decision to continue a medication after assessing its ongoing appropriateness is itself active management and supports Moderate risk — the risk lives in the drug itself and the ongoing exposure, not solely in the act of changing the dose.</w:t>
            </w:r>
          </w:p>
        </w:tc>
      </w:tr>
    </w:tbl>
    <w:p>
      <w:pPr>
        <w:spacing w:after="120"/>
      </w:pPr>
    </w:p>
    <w:p>
      <w:pPr>
        <w:pStyle w:val="Heading2"/>
        <w:spacing w:after="160" w:before="360"/>
      </w:pPr>
      <w:r>
        <w:rPr>
          <w:b/>
          <w:bCs/>
          <w:color w:val="2E5A88"/>
          <w:sz w:val="26"/>
          <w:szCs w:val="26"/>
        </w:rPr>
        <w:t xml:space="preserve">4.7 AI Interpretation Logic — Risk</w:t>
      </w:r>
    </w:p>
    <w:tbl>
      <w:tblPr>
        <w:tblW w:type="dxa" w:w="9360"/>
        <w:tblBorders>
          <w:top w:val="single" w:color="1F3864" w:sz="4"/>
          <w:left w:val="single" w:color="1F3864" w:sz="4"/>
          <w:bottom w:val="single" w:color="1F3864" w:sz="4"/>
          <w:right w:val="single" w:color="1F3864"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1F3864"/>
                <w:sz w:val="21"/>
                <w:szCs w:val="21"/>
              </w:rPr>
              <w:t xml:space="preserve">AI DECISION LOGIC — RISK OF COMPLICATIONS, MORBIDITY, OR MORTALITY</w:t>
            </w:r>
          </w:p>
          <w:p>
            <w:pPr>
              <w:spacing w:after="60"/>
            </w:pPr>
            <w:r>
              <w:rPr>
                <w:sz w:val="21"/>
                <w:szCs w:val="21"/>
              </w:rPr>
              <w:t xml:space="preserve">STEP 1: IF the note documents any affirmative prescription drug management decision (start/continue-after-assessment/adjust/stop) for any medication THEN set floor = Moderate.</w:t>
            </w:r>
          </w:p>
          <w:p>
            <w:pPr>
              <w:spacing w:after="60"/>
            </w:pPr>
            <w:r>
              <w:rPr>
                <w:sz w:val="21"/>
                <w:szCs w:val="21"/>
              </w:rPr>
              <w:t xml:space="preserve">STEP 2: IF the note documents intensive toxicity monitoring (e.g., named drug requiring lab-level monitoring) OR a genuine hospitalization/level-of-care decision (Rule RK-4.4) OR another High-risk category element THEN Risk = High.</w:t>
            </w:r>
          </w:p>
          <w:p>
            <w:pPr>
              <w:spacing w:after="60"/>
            </w:pPr>
            <w:r>
              <w:rPr>
                <w:sz w:val="21"/>
                <w:szCs w:val="21"/>
              </w:rPr>
              <w:t xml:space="preserve">STEP 3: ELSE Risk = the Step 1 floor if reached, or Low/Minimal if no prescription drug management or higher-risk element is documented.</w:t>
            </w:r>
          </w:p>
          <w:p>
            <w:pPr>
              <w:spacing w:after="60"/>
            </w:pPr>
            <w:r>
              <w:rPr>
                <w:sz w:val="21"/>
                <w:szCs w:val="21"/>
              </w:rPr>
              <w:t xml:space="preserve">STEP 4: Separately flag (not scoring-relevant, compliance-relevant) whether controlled substance monitoring documentation (Rule RK-4.3) is present when a controlled substance is being prescribed, refilled, or adjusted.</w:t>
            </w:r>
          </w:p>
          <w:p>
            <w:pPr>
              <w:spacing w:after="60"/>
            </w:pPr>
            <w:r>
              <w:rPr>
                <w:sz w:val="21"/>
                <w:szCs w:val="21"/>
              </w:rPr>
              <w:t xml:space="preserve">STEP 5: Pass the resulting Risk tier to the synthesis step below (Section 4.8).</w:t>
            </w:r>
          </w:p>
        </w:tc>
      </w:tr>
    </w:tbl>
    <w:p>
      <w:pPr>
        <w:spacing w:after="120"/>
      </w:pPr>
    </w:p>
    <w:p>
      <w:pPr>
        <w:pStyle w:val="Heading2"/>
        <w:spacing w:after="160" w:before="360"/>
      </w:pPr>
      <w:r>
        <w:rPr>
          <w:b/>
          <w:bCs/>
          <w:color w:val="2E5A88"/>
          <w:sz w:val="26"/>
          <w:szCs w:val="26"/>
        </w:rPr>
        <w:t xml:space="preserve">4.8 Synthesizing the Three MDM Elements Into a Final Level</w:t>
      </w:r>
    </w:p>
    <w:p>
      <w:pPr>
        <w:spacing w:after="160" w:line="276"/>
        <w:jc w:val="both"/>
      </w:pPr>
      <w:r>
        <w:rPr>
          <w:sz w:val="22"/>
          <w:szCs w:val="22"/>
        </w:rPr>
        <w:t xml:space="preserve">CPT sets the final MDM level using a </w:t>
      </w:r>
      <w:r>
        <w:rPr>
          <w:b/>
          <w:bCs/>
          <w:sz w:val="22"/>
          <w:szCs w:val="22"/>
        </w:rPr>
        <w:t xml:space="preserve">2-of-3 rule</w:t>
      </w:r>
      <w:r>
        <w:rPr>
          <w:sz w:val="22"/>
          <w:szCs w:val="22"/>
        </w:rPr>
        <w:t xml:space="preserve">: the MDM level is the level at which </w:t>
      </w:r>
      <w:r>
        <w:rPr>
          <w:b/>
          <w:bCs/>
          <w:sz w:val="22"/>
          <w:szCs w:val="22"/>
        </w:rPr>
        <w:t xml:space="preserve">at least two</w:t>
      </w:r>
      <w:r>
        <w:rPr>
          <w:sz w:val="22"/>
          <w:szCs w:val="22"/>
        </w:rPr>
        <w:t xml:space="preserve"> of the three elements (Problems, Data, Risk) are met or exceeded. This is the step where Chapters 2, 3, and 4 combine.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2500"/>
        <w:gridCol w:w="2900"/>
        <w:gridCol w:w="2060"/>
      </w:tblGrid>
      <w:tr>
        <w:trPr>
          <w:tblHeader/>
        </w:trPr>
        <w:tc>
          <w:tcPr>
            <w:tcW w:type="dxa" w:w="1900"/>
            <w:shd w:fill="1F3864" w:val="clear"/>
            <w:tcMar>
              <w:top w:type="dxa" w:w="80"/>
              <w:left w:type="dxa" w:w="120"/>
              <w:bottom w:type="dxa" w:w="80"/>
              <w:right w:type="dxa" w:w="120"/>
            </w:tcMar>
          </w:tcPr>
          <w:p>
            <w:r>
              <w:rPr>
                <w:b/>
                <w:bCs/>
                <w:color w:val="FFFFFF"/>
                <w:sz w:val="20"/>
                <w:szCs w:val="20"/>
              </w:rPr>
              <w:t xml:space="preserve">MDM Level</w:t>
            </w:r>
          </w:p>
        </w:tc>
        <w:tc>
          <w:tcPr>
            <w:tcW w:type="dxa" w:w="2500"/>
            <w:shd w:fill="1F3864" w:val="clear"/>
            <w:tcMar>
              <w:top w:type="dxa" w:w="80"/>
              <w:left w:type="dxa" w:w="120"/>
              <w:bottom w:type="dxa" w:w="80"/>
              <w:right w:type="dxa" w:w="120"/>
            </w:tcMar>
          </w:tcPr>
          <w:p>
            <w:r>
              <w:rPr>
                <w:b/>
                <w:bCs/>
                <w:color w:val="FFFFFF"/>
                <w:sz w:val="20"/>
                <w:szCs w:val="20"/>
              </w:rPr>
              <w:t xml:space="preserve">Problems Addressed</w:t>
            </w:r>
          </w:p>
        </w:tc>
        <w:tc>
          <w:tcPr>
            <w:tcW w:type="dxa" w:w="2900"/>
            <w:shd w:fill="1F3864" w:val="clear"/>
            <w:tcMar>
              <w:top w:type="dxa" w:w="80"/>
              <w:left w:type="dxa" w:w="120"/>
              <w:bottom w:type="dxa" w:w="80"/>
              <w:right w:type="dxa" w:w="120"/>
            </w:tcMar>
          </w:tcPr>
          <w:p>
            <w:r>
              <w:rPr>
                <w:b/>
                <w:bCs/>
                <w:color w:val="FFFFFF"/>
                <w:sz w:val="20"/>
                <w:szCs w:val="20"/>
              </w:rPr>
              <w:t xml:space="preserve">Data Reviewed and Analyzed</w:t>
            </w:r>
          </w:p>
        </w:tc>
        <w:tc>
          <w:tcPr>
            <w:tcW w:type="dxa" w:w="2060"/>
            <w:shd w:fill="1F3864" w:val="clear"/>
            <w:tcMar>
              <w:top w:type="dxa" w:w="80"/>
              <w:left w:type="dxa" w:w="120"/>
              <w:bottom w:type="dxa" w:w="80"/>
              <w:right w:type="dxa" w:w="120"/>
            </w:tcMar>
          </w:tcPr>
          <w:p>
            <w:r>
              <w:rPr>
                <w:b/>
                <w:bCs/>
                <w:color w:val="FFFFFF"/>
                <w:sz w:val="20"/>
                <w:szCs w:val="20"/>
              </w:rPr>
              <w:t xml:space="preserve">Risk</w:t>
            </w:r>
          </w:p>
        </w:tc>
      </w:tr>
      <w:tr>
        <w:tc>
          <w:tcPr>
            <w:tcW w:type="dxa" w:w="1900"/>
            <w:shd w:fill="FFFFFF" w:val="clear"/>
            <w:tcMar>
              <w:top w:type="dxa" w:w="80"/>
              <w:left w:type="dxa" w:w="120"/>
              <w:bottom w:type="dxa" w:w="80"/>
              <w:right w:type="dxa" w:w="120"/>
            </w:tcMar>
          </w:tcPr>
          <w:p>
            <w:r>
              <w:rPr>
                <w:sz w:val="20"/>
                <w:szCs w:val="20"/>
              </w:rPr>
              <w:t xml:space="preserve">Straightforward</w:t>
            </w:r>
          </w:p>
        </w:tc>
        <w:tc>
          <w:tcPr>
            <w:tcW w:type="dxa" w:w="2500"/>
            <w:shd w:fill="FFFFFF" w:val="clear"/>
            <w:tcMar>
              <w:top w:type="dxa" w:w="80"/>
              <w:left w:type="dxa" w:w="120"/>
              <w:bottom w:type="dxa" w:w="80"/>
              <w:right w:type="dxa" w:w="120"/>
            </w:tcMar>
          </w:tcPr>
          <w:p>
            <w:r>
              <w:rPr>
                <w:sz w:val="20"/>
                <w:szCs w:val="20"/>
              </w:rPr>
              <w:t xml:space="preserve">Minimal</w:t>
            </w:r>
          </w:p>
        </w:tc>
        <w:tc>
          <w:tcPr>
            <w:tcW w:type="dxa" w:w="2900"/>
            <w:shd w:fill="FFFFFF" w:val="clear"/>
            <w:tcMar>
              <w:top w:type="dxa" w:w="80"/>
              <w:left w:type="dxa" w:w="120"/>
              <w:bottom w:type="dxa" w:w="80"/>
              <w:right w:type="dxa" w:w="120"/>
            </w:tcMar>
          </w:tcPr>
          <w:p>
            <w:r>
              <w:rPr>
                <w:sz w:val="20"/>
                <w:szCs w:val="20"/>
              </w:rPr>
              <w:t xml:space="preserve">Minimal or None</w:t>
            </w:r>
          </w:p>
        </w:tc>
        <w:tc>
          <w:tcPr>
            <w:tcW w:type="dxa" w:w="2060"/>
            <w:shd w:fill="FFFFFF" w:val="clear"/>
            <w:tcMar>
              <w:top w:type="dxa" w:w="80"/>
              <w:left w:type="dxa" w:w="120"/>
              <w:bottom w:type="dxa" w:w="80"/>
              <w:right w:type="dxa" w:w="120"/>
            </w:tcMar>
          </w:tcPr>
          <w:p>
            <w:r>
              <w:rPr>
                <w:sz w:val="20"/>
                <w:szCs w:val="20"/>
              </w:rPr>
              <w:t xml:space="preserve">Minimal</w:t>
            </w:r>
          </w:p>
        </w:tc>
      </w:tr>
      <w:tr>
        <w:tc>
          <w:tcPr>
            <w:tcW w:type="dxa" w:w="1900"/>
            <w:shd w:fill="F2F2F2" w:val="clear"/>
            <w:tcMar>
              <w:top w:type="dxa" w:w="80"/>
              <w:left w:type="dxa" w:w="120"/>
              <w:bottom w:type="dxa" w:w="80"/>
              <w:right w:type="dxa" w:w="120"/>
            </w:tcMar>
          </w:tcPr>
          <w:p>
            <w:r>
              <w:rPr>
                <w:sz w:val="20"/>
                <w:szCs w:val="20"/>
              </w:rPr>
              <w:t xml:space="preserve">Low</w:t>
            </w:r>
          </w:p>
        </w:tc>
        <w:tc>
          <w:tcPr>
            <w:tcW w:type="dxa" w:w="2500"/>
            <w:shd w:fill="F2F2F2" w:val="clear"/>
            <w:tcMar>
              <w:top w:type="dxa" w:w="80"/>
              <w:left w:type="dxa" w:w="120"/>
              <w:bottom w:type="dxa" w:w="80"/>
              <w:right w:type="dxa" w:w="120"/>
            </w:tcMar>
          </w:tcPr>
          <w:p>
            <w:r>
              <w:rPr>
                <w:sz w:val="20"/>
                <w:szCs w:val="20"/>
              </w:rPr>
              <w:t xml:space="preserve">Low</w:t>
            </w:r>
          </w:p>
        </w:tc>
        <w:tc>
          <w:tcPr>
            <w:tcW w:type="dxa" w:w="2900"/>
            <w:shd w:fill="F2F2F2" w:val="clear"/>
            <w:tcMar>
              <w:top w:type="dxa" w:w="80"/>
              <w:left w:type="dxa" w:w="120"/>
              <w:bottom w:type="dxa" w:w="80"/>
              <w:right w:type="dxa" w:w="120"/>
            </w:tcMar>
          </w:tcPr>
          <w:p>
            <w:r>
              <w:rPr>
                <w:sz w:val="20"/>
                <w:szCs w:val="20"/>
              </w:rPr>
              <w:t xml:space="preserve">Limited</w:t>
            </w:r>
          </w:p>
        </w:tc>
        <w:tc>
          <w:tcPr>
            <w:tcW w:type="dxa" w:w="2060"/>
            <w:shd w:fill="F2F2F2" w:val="clear"/>
            <w:tcMar>
              <w:top w:type="dxa" w:w="80"/>
              <w:left w:type="dxa" w:w="120"/>
              <w:bottom w:type="dxa" w:w="80"/>
              <w:right w:type="dxa" w:w="120"/>
            </w:tcMar>
          </w:tcPr>
          <w:p>
            <w:r>
              <w:rPr>
                <w:sz w:val="20"/>
                <w:szCs w:val="20"/>
              </w:rPr>
              <w:t xml:space="preserve">Low</w:t>
            </w:r>
          </w:p>
        </w:tc>
      </w:tr>
      <w:tr>
        <w:tc>
          <w:tcPr>
            <w:tcW w:type="dxa" w:w="1900"/>
            <w:shd w:fill="FFFFFF" w:val="clear"/>
            <w:tcMar>
              <w:top w:type="dxa" w:w="80"/>
              <w:left w:type="dxa" w:w="120"/>
              <w:bottom w:type="dxa" w:w="80"/>
              <w:right w:type="dxa" w:w="120"/>
            </w:tcMar>
          </w:tcPr>
          <w:p>
            <w:r>
              <w:rPr>
                <w:sz w:val="20"/>
                <w:szCs w:val="20"/>
              </w:rPr>
              <w:t xml:space="preserve">Moderate</w:t>
            </w:r>
          </w:p>
        </w:tc>
        <w:tc>
          <w:tcPr>
            <w:tcW w:type="dxa" w:w="2500"/>
            <w:shd w:fill="FFFFFF" w:val="clear"/>
            <w:tcMar>
              <w:top w:type="dxa" w:w="80"/>
              <w:left w:type="dxa" w:w="120"/>
              <w:bottom w:type="dxa" w:w="80"/>
              <w:right w:type="dxa" w:w="120"/>
            </w:tcMar>
          </w:tcPr>
          <w:p>
            <w:r>
              <w:rPr>
                <w:sz w:val="20"/>
                <w:szCs w:val="20"/>
              </w:rPr>
              <w:t xml:space="preserve">Moderate</w:t>
            </w:r>
          </w:p>
        </w:tc>
        <w:tc>
          <w:tcPr>
            <w:tcW w:type="dxa" w:w="2900"/>
            <w:shd w:fill="FFFFFF" w:val="clear"/>
            <w:tcMar>
              <w:top w:type="dxa" w:w="80"/>
              <w:left w:type="dxa" w:w="120"/>
              <w:bottom w:type="dxa" w:w="80"/>
              <w:right w:type="dxa" w:w="120"/>
            </w:tcMar>
          </w:tcPr>
          <w:p>
            <w:r>
              <w:rPr>
                <w:sz w:val="20"/>
                <w:szCs w:val="20"/>
              </w:rPr>
              <w:t xml:space="preserve">Moderate</w:t>
            </w:r>
          </w:p>
        </w:tc>
        <w:tc>
          <w:tcPr>
            <w:tcW w:type="dxa" w:w="2060"/>
            <w:shd w:fill="FFFFFF" w:val="clear"/>
            <w:tcMar>
              <w:top w:type="dxa" w:w="80"/>
              <w:left w:type="dxa" w:w="120"/>
              <w:bottom w:type="dxa" w:w="80"/>
              <w:right w:type="dxa" w:w="120"/>
            </w:tcMar>
          </w:tcPr>
          <w:p>
            <w:r>
              <w:rPr>
                <w:sz w:val="20"/>
                <w:szCs w:val="20"/>
              </w:rPr>
              <w:t xml:space="preserve">Moderate</w:t>
            </w:r>
          </w:p>
        </w:tc>
      </w:tr>
      <w:tr>
        <w:tc>
          <w:tcPr>
            <w:tcW w:type="dxa" w:w="1900"/>
            <w:shd w:fill="F2F2F2" w:val="clear"/>
            <w:tcMar>
              <w:top w:type="dxa" w:w="80"/>
              <w:left w:type="dxa" w:w="120"/>
              <w:bottom w:type="dxa" w:w="80"/>
              <w:right w:type="dxa" w:w="120"/>
            </w:tcMar>
          </w:tcPr>
          <w:p>
            <w:r>
              <w:rPr>
                <w:sz w:val="20"/>
                <w:szCs w:val="20"/>
              </w:rPr>
              <w:t xml:space="preserve">High</w:t>
            </w:r>
          </w:p>
        </w:tc>
        <w:tc>
          <w:tcPr>
            <w:tcW w:type="dxa" w:w="2500"/>
            <w:shd w:fill="F2F2F2" w:val="clear"/>
            <w:tcMar>
              <w:top w:type="dxa" w:w="80"/>
              <w:left w:type="dxa" w:w="120"/>
              <w:bottom w:type="dxa" w:w="80"/>
              <w:right w:type="dxa" w:w="120"/>
            </w:tcMar>
          </w:tcPr>
          <w:p>
            <w:r>
              <w:rPr>
                <w:sz w:val="20"/>
                <w:szCs w:val="20"/>
              </w:rPr>
              <w:t xml:space="preserve">High</w:t>
            </w:r>
          </w:p>
        </w:tc>
        <w:tc>
          <w:tcPr>
            <w:tcW w:type="dxa" w:w="2900"/>
            <w:shd w:fill="F2F2F2" w:val="clear"/>
            <w:tcMar>
              <w:top w:type="dxa" w:w="80"/>
              <w:left w:type="dxa" w:w="120"/>
              <w:bottom w:type="dxa" w:w="80"/>
              <w:right w:type="dxa" w:w="120"/>
            </w:tcMar>
          </w:tcPr>
          <w:p>
            <w:r>
              <w:rPr>
                <w:sz w:val="20"/>
                <w:szCs w:val="20"/>
              </w:rPr>
              <w:t xml:space="preserve">Extensive</w:t>
            </w:r>
          </w:p>
        </w:tc>
        <w:tc>
          <w:tcPr>
            <w:tcW w:type="dxa" w:w="2060"/>
            <w:shd w:fill="F2F2F2" w:val="clear"/>
            <w:tcMar>
              <w:top w:type="dxa" w:w="80"/>
              <w:left w:type="dxa" w:w="120"/>
              <w:bottom w:type="dxa" w:w="80"/>
              <w:right w:type="dxa" w:w="120"/>
            </w:tcMar>
          </w:tcPr>
          <w:p>
            <w:r>
              <w:rPr>
                <w:sz w:val="20"/>
                <w:szCs w:val="20"/>
              </w:rPr>
              <w:t xml:space="preserve">High</w:t>
            </w:r>
          </w:p>
        </w:tc>
      </w:tr>
    </w:tbl>
    <w:p>
      <w:pPr>
        <w:spacing w:after="120"/>
      </w:pP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MDM-4.8  —  The Two-of-Three Synthesis Rule</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E/M Guidelines, 2023, Office/Outpatient E/M MDM table.</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Prevents a single unusually complex or unusually simple element from single-handedly dictating a code level that does not reflect the encounter as a whole.</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The overall MDM level equals the level at which at least two of the three elements (Problems, Data, Risk) are independently met or exceeded, evaluated column-by-column against the Section 4.8 table.</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A visit with Moderate Problems, Limited Data, and Moderate Risk reaches overall Moderate MDM (two of three columns at Moderate). A visit with High Problems but only Limited Data and Moderate Risk reaches only Moderate overall MDM (only one element, Problems, is at High; two elements — Data and Risk — top out at Moderate/Limited, which is the Moderate row).</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Take the three tier outputs from Chapters 2, 3, and 4. Rank Straightforward &lt; Low &lt; Moderate &lt; High. The overall MDM level is the highest level at which two or more of the three elements are at or above that level. Compute by checking from High downward: if 2+ elements are High, overall = High; else if 2+ elements are Moderate-or-above, overall = Moderate; else if 2+ are Low-or-above, overall = Low; else Straightforward.</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When only one element reaches a higher tier and the other two lag behind, treat this as an opportunity to check whether the lagging elements are genuinely lower complexity or simply underdocumented (particularly Data, per Chapter 3) before finalizing the level — the true clinical complexity and the as-documented complexity are not always the same thing, and the gap is usually a documentation gap, not a clinical one.</w:t>
            </w:r>
          </w:p>
        </w:tc>
      </w:tr>
    </w:tbl>
    <w:p>
      <w:pPr>
        <w:spacing w:after="120"/>
      </w:pPr>
    </w:p>
    <w:p>
      <w:pPr>
        <w:pStyle w:val="Heading2"/>
        <w:spacing w:after="160" w:before="360"/>
      </w:pPr>
      <w:r>
        <w:rPr>
          <w:b/>
          <w:bCs/>
          <w:color w:val="2E5A88"/>
          <w:sz w:val="26"/>
          <w:szCs w:val="26"/>
        </w:rPr>
        <w:t xml:space="preserve">4.9 Fully Worked Example — All Three Elements Combined</w:t>
      </w:r>
    </w:p>
    <w:tbl>
      <w:tblPr>
        <w:tblW w:type="dxa" w:w="9360"/>
        <w:tblBorders>
          <w:top w:val="single" w:color="1F3864" w:sz="4"/>
          <w:left w:val="single" w:color="1F3864" w:sz="4"/>
          <w:bottom w:val="single" w:color="1F3864" w:sz="4"/>
          <w:right w:val="single" w:color="1F3864"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1F3864"/>
                <w:sz w:val="21"/>
                <w:szCs w:val="21"/>
              </w:rPr>
              <w:t xml:space="preserve">FULL WORKED EXAMPLE</w:t>
            </w:r>
          </w:p>
          <w:p>
            <w:pPr>
              <w:spacing w:after="60"/>
            </w:pPr>
            <w:r>
              <w:rPr>
                <w:b/>
                <w:bCs/>
                <w:i/>
                <w:iCs/>
                <w:sz w:val="21"/>
                <w:szCs w:val="21"/>
              </w:rPr>
              <w:t xml:space="preserve">Note excerpt: </w:t>
            </w:r>
            <w:r>
              <w:rPr>
                <w:i/>
                <w:iCs/>
                <w:sz w:val="21"/>
                <w:szCs w:val="21"/>
              </w:rPr>
              <w:t xml:space="preserve">‘Established patient, MDD and GAD. PHQ-9 today 15 (up from 9 three weeks ago); GAD-7 8 (unchanged). Patient reports increased depressive symptoms including anhedonia and poor concentration since a recent relationship stressor; denies SI/HI, no plan or intent, PHQ-9 item 9 scored 0. Reviewed patient’s recent labs from PCP (TSH normal, ruling out thyroid contribution). Discussed increasing sertraline from 100mg to 150mg given breakthrough symptoms and adequate past tolerability; discussed side effects including GI upset and activation; patient agreeable. Continue buspirone 15mg BID for GAD, stable, no changes. Follow up in 3 weeks to reassess depressive symptoms.’</w:t>
            </w:r>
          </w:p>
          <w:p>
            <w:pPr>
              <w:spacing w:after="60"/>
            </w:pPr>
            <w:r>
              <w:rPr>
                <w:sz w:val="21"/>
                <w:szCs w:val="21"/>
              </w:rPr>
              <w:t xml:space="default"/>
            </w:r>
          </w:p>
        </w:tc>
      </w:tr>
    </w:tbl>
    <w:p>
      <w:r>
        <w:br w:type="page"/>
      </w:r>
    </w:p>
    <w:p>
      <w:pPr>
        <w:pStyle w:val="Heading1"/>
        <w:pBdr>
          <w:bottom w:val="single" w:color="1F3864" w:sz="12" w:space="4"/>
        </w:pBdr>
        <w:spacing w:after="240" w:before="480"/>
      </w:pPr>
      <w:r>
        <w:rPr>
          <w:b/>
          <w:bCs/>
          <w:color w:val="1F3864"/>
          <w:sz w:val="32"/>
          <w:szCs w:val="32"/>
        </w:rPr>
        <w:t xml:space="preserve">Chapter 5 — Time-Based Coding and Prolonged Services</w:t>
      </w:r>
    </w:p>
    <w:p>
      <w:pPr>
        <w:pStyle w:val="Heading2"/>
        <w:spacing w:after="160" w:before="360"/>
      </w:pPr>
      <w:r>
        <w:rPr>
          <w:b/>
          <w:bCs/>
          <w:color w:val="2E5A88"/>
          <w:sz w:val="26"/>
          <w:szCs w:val="26"/>
        </w:rPr>
        <w:t xml:space="preserve">5.1 Two Paths to the Same Code</w:t>
      </w:r>
    </w:p>
    <w:p>
      <w:pPr>
        <w:spacing w:after="160" w:line="276"/>
        <w:jc w:val="both"/>
      </w:pPr>
      <w:r>
        <w:rPr>
          <w:sz w:val="22"/>
          <w:szCs w:val="22"/>
        </w:rPr>
        <w:t xml:space="preserve">As introduced in Section 2.1, office/outpatient E/M codes 99202–99205 and 99212–99215 may be leveled by </w:t>
      </w:r>
      <w:r>
        <w:rPr>
          <w:b/>
          <w:bCs/>
          <w:sz w:val="22"/>
          <w:szCs w:val="22"/>
        </w:rPr>
        <w:t xml:space="preserve">either</w:t>
      </w:r>
      <w:r>
        <w:rPr>
          <w:sz w:val="22"/>
          <w:szCs w:val="22"/>
        </w:rPr>
        <w:t xml:space="preserve"> Medical Decision Making (Chapters 2–4) </w:t>
      </w:r>
      <w:r>
        <w:rPr>
          <w:b/>
          <w:bCs/>
          <w:sz w:val="22"/>
          <w:szCs w:val="22"/>
        </w:rPr>
        <w:t xml:space="preserve">or</w:t>
      </w:r>
      <w:r>
        <w:rPr>
          <w:sz w:val="22"/>
          <w:szCs w:val="22"/>
        </w:rPr>
        <w:t xml:space="preserve"> total time personally spent by the billing provider on the date of the encounter — the provider selects whichever path the documentation actually supports, and may select the higher-supporting path when both are documented. A visit is never required to be coded by time; a provider who prefers to code by MDM alone, with no time statement at all, is fully compliant provided the MDM documentation independently supports the level. Time becomes necessary only when the provider intends to rely on it — either because time supports a higher level than MDM would alone, or because the provider wishes to bill prolonged services (Section 5.6).</w:t>
      </w:r>
    </w:p>
    <w:p>
      <w:pPr>
        <w:pStyle w:val="Heading2"/>
        <w:spacing w:after="160" w:before="360"/>
      </w:pPr>
      <w:r>
        <w:rPr>
          <w:b/>
          <w:bCs/>
          <w:color w:val="2E5A88"/>
          <w:sz w:val="26"/>
          <w:szCs w:val="26"/>
        </w:rPr>
        <w:t xml:space="preserve">5.2 What Counts as Total Time</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TM-5.2  —  Countable Total Time</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E/M Guidelines, 2023, Time definition for Office/Outpatient E/M.</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Defines time broadly enough to capture the full scope of physician/QHP work associated with the visit, while excluding work performed by clinical staff or on other dates, which is separately compensated or not billable to the visit at all.</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Total time is all time personally spent by the billing physician or other qualified health care professional (QHP) on the date of the encounter, before, during, and after the face-to-face portion, including: preparing to see the patient (e.g., reviewing prior notes/labs), obtaining/reviewing history, performing the exam (if any), counseling and educating the patient/family, ordering tests/medications, referring and communicating with other providers, documenting in the record, and care coordination — provided all of this occurs on the calendar date of the encounter.</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Chart review the morning of the visit, the visit itself, and note completion that same afternoon all count. Note completion the following morning does not count toward that date's total time, even if it relates to the same visit — this is a frequent source of undercounted time in practices where documentation is finished after hours or the next day.</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the note states a total time figure, verify it is framed as time on the date of the encounter (not 'time in session' alone, which may exclude pre/post work) AND that the listed activities are consistent with countable categories in this rule. Flag, but do not automatically reject, time statements that appear high relative to the listed activities without explanation.</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COMMON DOCUMENTATION FAILURES</w:t>
            </w:r>
          </w:p>
          <w:p>
            <w:pPr>
              <w:spacing w:after="0" w:line="264"/>
              <w:jc w:val="both"/>
            </w:pPr>
            <w:r>
              <w:rPr>
                <w:sz w:val="21"/>
                <w:szCs w:val="21"/>
              </w:rPr>
              <w:t xml:space="preserve">Provider documents only face-to-face 'session time' (e.g., '20 minutes with patient') without separately accounting for chart review or note-writing time, understating total time when a higher time-based level was actually supportable.</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State total time as a single figure covering the full date-of-encounter scope (e.g., 'Total time personally spent on date of encounter: 32 minutes, including chart review, visit, and documentation'), rather than only stating face-to-face minutes.</w:t>
            </w:r>
          </w:p>
        </w:tc>
      </w:tr>
    </w:tbl>
    <w:p>
      <w:pPr>
        <w:spacing w:after="120"/>
      </w:pPr>
    </w:p>
    <w:p>
      <w:pPr>
        <w:pStyle w:val="Heading2"/>
        <w:spacing w:after="160" w:before="360"/>
      </w:pPr>
      <w:r>
        <w:rPr>
          <w:b/>
          <w:bCs/>
          <w:color w:val="2E5A88"/>
          <w:sz w:val="26"/>
          <w:szCs w:val="26"/>
        </w:rPr>
        <w:t xml:space="preserve">5.3 What Does Not Count</w:t>
      </w:r>
    </w:p>
    <w:p>
      <w:pPr>
        <w:spacing w:after="160" w:line="276"/>
        <w:jc w:val="both"/>
      </w:pPr>
      <w:r>
        <w:rPr>
          <w:sz w:val="22"/>
          <w:szCs w:val="22"/>
        </w:rPr>
        <w:t xml:space="preserve">Time spent by clinical staff performing work that does not require the billing provider's personal involvement (e.g., a medical assistant obtaining vitals or verifying medication lists) does not count toward the provider's total time. Time spent on separate, separately billable services performed the same day (e.g., time spent providing formal psychotherapy billed under a separate CPT code, addressed in Chapter 6) is excluded from E/M time and counted instead toward the psychotherapy code's own time threshold — the same minutes cannot be counted twice toward two different codes.</w:t>
      </w:r>
    </w:p>
    <w:p>
      <w:pPr>
        <w:pStyle w:val="Heading2"/>
        <w:spacing w:after="160" w:before="360"/>
      </w:pPr>
      <w:r>
        <w:rPr>
          <w:b/>
          <w:bCs/>
          <w:color w:val="2E5A88"/>
          <w:sz w:val="26"/>
          <w:szCs w:val="26"/>
        </w:rPr>
        <w:t xml:space="preserve">5.4 Office/Outpatient E/M Time Thresholds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1700"/>
        <w:gridCol w:w="2560"/>
        <w:gridCol w:w="3700"/>
      </w:tblGrid>
      <w:tr>
        <w:trPr>
          <w:tblHeader/>
        </w:trPr>
        <w:tc>
          <w:tcPr>
            <w:tcW w:type="dxa" w:w="1400"/>
            <w:shd w:fill="1F3864" w:val="clear"/>
            <w:tcMar>
              <w:top w:type="dxa" w:w="80"/>
              <w:left w:type="dxa" w:w="120"/>
              <w:bottom w:type="dxa" w:w="80"/>
              <w:right w:type="dxa" w:w="120"/>
            </w:tcMar>
          </w:tcPr>
          <w:p>
            <w:r>
              <w:rPr>
                <w:b/>
                <w:bCs/>
                <w:color w:val="FFFFFF"/>
                <w:sz w:val="20"/>
                <w:szCs w:val="20"/>
              </w:rPr>
              <w:t xml:space="preserve">CPT Code</w:t>
            </w:r>
          </w:p>
        </w:tc>
        <w:tc>
          <w:tcPr>
            <w:tcW w:type="dxa" w:w="1700"/>
            <w:shd w:fill="1F3864" w:val="clear"/>
            <w:tcMar>
              <w:top w:type="dxa" w:w="80"/>
              <w:left w:type="dxa" w:w="120"/>
              <w:bottom w:type="dxa" w:w="80"/>
              <w:right w:type="dxa" w:w="120"/>
            </w:tcMar>
          </w:tcPr>
          <w:p>
            <w:r>
              <w:rPr>
                <w:b/>
                <w:bCs/>
                <w:color w:val="FFFFFF"/>
                <w:sz w:val="20"/>
                <w:szCs w:val="20"/>
              </w:rPr>
              <w:t xml:space="preserve">Patient Type</w:t>
            </w:r>
          </w:p>
        </w:tc>
        <w:tc>
          <w:tcPr>
            <w:tcW w:type="dxa" w:w="2560"/>
            <w:shd w:fill="1F3864" w:val="clear"/>
            <w:tcMar>
              <w:top w:type="dxa" w:w="80"/>
              <w:left w:type="dxa" w:w="120"/>
              <w:bottom w:type="dxa" w:w="80"/>
              <w:right w:type="dxa" w:w="120"/>
            </w:tcMar>
          </w:tcPr>
          <w:p>
            <w:r>
              <w:rPr>
                <w:b/>
                <w:bCs/>
                <w:color w:val="FFFFFF"/>
                <w:sz w:val="20"/>
                <w:szCs w:val="20"/>
              </w:rPr>
              <w:t xml:space="preserve">MDM Level (if using MDM path)</w:t>
            </w:r>
          </w:p>
        </w:tc>
        <w:tc>
          <w:tcPr>
            <w:tcW w:type="dxa" w:w="3700"/>
            <w:shd w:fill="1F3864" w:val="clear"/>
            <w:tcMar>
              <w:top w:type="dxa" w:w="80"/>
              <w:left w:type="dxa" w:w="120"/>
              <w:bottom w:type="dxa" w:w="80"/>
              <w:right w:type="dxa" w:w="120"/>
            </w:tcMar>
          </w:tcPr>
          <w:p>
            <w:r>
              <w:rPr>
                <w:b/>
                <w:bCs/>
                <w:color w:val="FFFFFF"/>
                <w:sz w:val="20"/>
                <w:szCs w:val="20"/>
              </w:rPr>
              <w:t xml:space="preserve">Total Time Threshold (if using time path)</w:t>
            </w:r>
          </w:p>
        </w:tc>
      </w:tr>
      <w:tr>
        <w:tc>
          <w:tcPr>
            <w:tcW w:type="dxa" w:w="1400"/>
            <w:shd w:fill="FFFFFF" w:val="clear"/>
            <w:tcMar>
              <w:top w:type="dxa" w:w="80"/>
              <w:left w:type="dxa" w:w="120"/>
              <w:bottom w:type="dxa" w:w="80"/>
              <w:right w:type="dxa" w:w="120"/>
            </w:tcMar>
          </w:tcPr>
          <w:p>
            <w:r>
              <w:rPr>
                <w:sz w:val="20"/>
                <w:szCs w:val="20"/>
              </w:rPr>
              <w:t xml:space="preserve">99212</w:t>
            </w:r>
          </w:p>
        </w:tc>
        <w:tc>
          <w:tcPr>
            <w:tcW w:type="dxa" w:w="1700"/>
            <w:shd w:fill="FFFFFF" w:val="clear"/>
            <w:tcMar>
              <w:top w:type="dxa" w:w="80"/>
              <w:left w:type="dxa" w:w="120"/>
              <w:bottom w:type="dxa" w:w="80"/>
              <w:right w:type="dxa" w:w="120"/>
            </w:tcMar>
          </w:tcPr>
          <w:p>
            <w:r>
              <w:rPr>
                <w:sz w:val="20"/>
                <w:szCs w:val="20"/>
              </w:rPr>
              <w:t xml:space="preserve">Established</w:t>
            </w:r>
          </w:p>
        </w:tc>
        <w:tc>
          <w:tcPr>
            <w:tcW w:type="dxa" w:w="2560"/>
            <w:shd w:fill="FFFFFF" w:val="clear"/>
            <w:tcMar>
              <w:top w:type="dxa" w:w="80"/>
              <w:left w:type="dxa" w:w="120"/>
              <w:bottom w:type="dxa" w:w="80"/>
              <w:right w:type="dxa" w:w="120"/>
            </w:tcMar>
          </w:tcPr>
          <w:p>
            <w:r>
              <w:rPr>
                <w:sz w:val="20"/>
                <w:szCs w:val="20"/>
              </w:rPr>
              <w:t xml:space="preserve">Straightforward</w:t>
            </w:r>
          </w:p>
        </w:tc>
        <w:tc>
          <w:tcPr>
            <w:tcW w:type="dxa" w:w="3700"/>
            <w:shd w:fill="FFFFFF" w:val="clear"/>
            <w:tcMar>
              <w:top w:type="dxa" w:w="80"/>
              <w:left w:type="dxa" w:w="120"/>
              <w:bottom w:type="dxa" w:w="80"/>
              <w:right w:type="dxa" w:w="120"/>
            </w:tcMar>
          </w:tcPr>
          <w:p>
            <w:r>
              <w:rPr>
                <w:sz w:val="20"/>
                <w:szCs w:val="20"/>
              </w:rPr>
              <w:t xml:space="preserve">10–19 minutes</w:t>
            </w:r>
          </w:p>
        </w:tc>
      </w:tr>
      <w:tr>
        <w:tc>
          <w:tcPr>
            <w:tcW w:type="dxa" w:w="1400"/>
            <w:shd w:fill="F2F2F2" w:val="clear"/>
            <w:tcMar>
              <w:top w:type="dxa" w:w="80"/>
              <w:left w:type="dxa" w:w="120"/>
              <w:bottom w:type="dxa" w:w="80"/>
              <w:right w:type="dxa" w:w="120"/>
            </w:tcMar>
          </w:tcPr>
          <w:p>
            <w:r>
              <w:rPr>
                <w:sz w:val="20"/>
                <w:szCs w:val="20"/>
              </w:rPr>
              <w:t xml:space="preserve">99213</w:t>
            </w:r>
          </w:p>
        </w:tc>
        <w:tc>
          <w:tcPr>
            <w:tcW w:type="dxa" w:w="1700"/>
            <w:shd w:fill="F2F2F2" w:val="clear"/>
            <w:tcMar>
              <w:top w:type="dxa" w:w="80"/>
              <w:left w:type="dxa" w:w="120"/>
              <w:bottom w:type="dxa" w:w="80"/>
              <w:right w:type="dxa" w:w="120"/>
            </w:tcMar>
          </w:tcPr>
          <w:p>
            <w:r>
              <w:rPr>
                <w:sz w:val="20"/>
                <w:szCs w:val="20"/>
              </w:rPr>
              <w:t xml:space="preserve">Established</w:t>
            </w:r>
          </w:p>
        </w:tc>
        <w:tc>
          <w:tcPr>
            <w:tcW w:type="dxa" w:w="2560"/>
            <w:shd w:fill="F2F2F2" w:val="clear"/>
            <w:tcMar>
              <w:top w:type="dxa" w:w="80"/>
              <w:left w:type="dxa" w:w="120"/>
              <w:bottom w:type="dxa" w:w="80"/>
              <w:right w:type="dxa" w:w="120"/>
            </w:tcMar>
          </w:tcPr>
          <w:p>
            <w:r>
              <w:rPr>
                <w:sz w:val="20"/>
                <w:szCs w:val="20"/>
              </w:rPr>
              <w:t xml:space="preserve">Low</w:t>
            </w:r>
          </w:p>
        </w:tc>
        <w:tc>
          <w:tcPr>
            <w:tcW w:type="dxa" w:w="3700"/>
            <w:shd w:fill="F2F2F2" w:val="clear"/>
            <w:tcMar>
              <w:top w:type="dxa" w:w="80"/>
              <w:left w:type="dxa" w:w="120"/>
              <w:bottom w:type="dxa" w:w="80"/>
              <w:right w:type="dxa" w:w="120"/>
            </w:tcMar>
          </w:tcPr>
          <w:p>
            <w:r>
              <w:rPr>
                <w:sz w:val="20"/>
                <w:szCs w:val="20"/>
              </w:rPr>
              <w:t xml:space="preserve">20–29 minutes</w:t>
            </w:r>
          </w:p>
        </w:tc>
      </w:tr>
      <w:tr>
        <w:tc>
          <w:tcPr>
            <w:tcW w:type="dxa" w:w="1400"/>
            <w:shd w:fill="FFFFFF" w:val="clear"/>
            <w:tcMar>
              <w:top w:type="dxa" w:w="80"/>
              <w:left w:type="dxa" w:w="120"/>
              <w:bottom w:type="dxa" w:w="80"/>
              <w:right w:type="dxa" w:w="120"/>
            </w:tcMar>
          </w:tcPr>
          <w:p>
            <w:r>
              <w:rPr>
                <w:sz w:val="20"/>
                <w:szCs w:val="20"/>
              </w:rPr>
              <w:t xml:space="preserve">99214</w:t>
            </w:r>
          </w:p>
        </w:tc>
        <w:tc>
          <w:tcPr>
            <w:tcW w:type="dxa" w:w="1700"/>
            <w:shd w:fill="FFFFFF" w:val="clear"/>
            <w:tcMar>
              <w:top w:type="dxa" w:w="80"/>
              <w:left w:type="dxa" w:w="120"/>
              <w:bottom w:type="dxa" w:w="80"/>
              <w:right w:type="dxa" w:w="120"/>
            </w:tcMar>
          </w:tcPr>
          <w:p>
            <w:r>
              <w:rPr>
                <w:sz w:val="20"/>
                <w:szCs w:val="20"/>
              </w:rPr>
              <w:t xml:space="preserve">Established</w:t>
            </w:r>
          </w:p>
        </w:tc>
        <w:tc>
          <w:tcPr>
            <w:tcW w:type="dxa" w:w="2560"/>
            <w:shd w:fill="FFFFFF" w:val="clear"/>
            <w:tcMar>
              <w:top w:type="dxa" w:w="80"/>
              <w:left w:type="dxa" w:w="120"/>
              <w:bottom w:type="dxa" w:w="80"/>
              <w:right w:type="dxa" w:w="120"/>
            </w:tcMar>
          </w:tcPr>
          <w:p>
            <w:r>
              <w:rPr>
                <w:sz w:val="20"/>
                <w:szCs w:val="20"/>
              </w:rPr>
              <w:t xml:space="preserve">Moderate</w:t>
            </w:r>
          </w:p>
        </w:tc>
        <w:tc>
          <w:tcPr>
            <w:tcW w:type="dxa" w:w="3700"/>
            <w:shd w:fill="FFFFFF" w:val="clear"/>
            <w:tcMar>
              <w:top w:type="dxa" w:w="80"/>
              <w:left w:type="dxa" w:w="120"/>
              <w:bottom w:type="dxa" w:w="80"/>
              <w:right w:type="dxa" w:w="120"/>
            </w:tcMar>
          </w:tcPr>
          <w:p>
            <w:r>
              <w:rPr>
                <w:sz w:val="20"/>
                <w:szCs w:val="20"/>
              </w:rPr>
              <w:t xml:space="preserve">30–39 minutes</w:t>
            </w:r>
          </w:p>
        </w:tc>
      </w:tr>
      <w:tr>
        <w:tc>
          <w:tcPr>
            <w:tcW w:type="dxa" w:w="1400"/>
            <w:shd w:fill="F2F2F2" w:val="clear"/>
            <w:tcMar>
              <w:top w:type="dxa" w:w="80"/>
              <w:left w:type="dxa" w:w="120"/>
              <w:bottom w:type="dxa" w:w="80"/>
              <w:right w:type="dxa" w:w="120"/>
            </w:tcMar>
          </w:tcPr>
          <w:p>
            <w:r>
              <w:rPr>
                <w:sz w:val="20"/>
                <w:szCs w:val="20"/>
              </w:rPr>
              <w:t xml:space="preserve">99215</w:t>
            </w:r>
          </w:p>
        </w:tc>
        <w:tc>
          <w:tcPr>
            <w:tcW w:type="dxa" w:w="1700"/>
            <w:shd w:fill="F2F2F2" w:val="clear"/>
            <w:tcMar>
              <w:top w:type="dxa" w:w="80"/>
              <w:left w:type="dxa" w:w="120"/>
              <w:bottom w:type="dxa" w:w="80"/>
              <w:right w:type="dxa" w:w="120"/>
            </w:tcMar>
          </w:tcPr>
          <w:p>
            <w:r>
              <w:rPr>
                <w:sz w:val="20"/>
                <w:szCs w:val="20"/>
              </w:rPr>
              <w:t xml:space="preserve">Established</w:t>
            </w:r>
          </w:p>
        </w:tc>
        <w:tc>
          <w:tcPr>
            <w:tcW w:type="dxa" w:w="2560"/>
            <w:shd w:fill="F2F2F2" w:val="clear"/>
            <w:tcMar>
              <w:top w:type="dxa" w:w="80"/>
              <w:left w:type="dxa" w:w="120"/>
              <w:bottom w:type="dxa" w:w="80"/>
              <w:right w:type="dxa" w:w="120"/>
            </w:tcMar>
          </w:tcPr>
          <w:p>
            <w:r>
              <w:rPr>
                <w:sz w:val="20"/>
                <w:szCs w:val="20"/>
              </w:rPr>
              <w:t xml:space="preserve">High</w:t>
            </w:r>
          </w:p>
        </w:tc>
        <w:tc>
          <w:tcPr>
            <w:tcW w:type="dxa" w:w="3700"/>
            <w:shd w:fill="F2F2F2" w:val="clear"/>
            <w:tcMar>
              <w:top w:type="dxa" w:w="80"/>
              <w:left w:type="dxa" w:w="120"/>
              <w:bottom w:type="dxa" w:w="80"/>
              <w:right w:type="dxa" w:w="120"/>
            </w:tcMar>
          </w:tcPr>
          <w:p>
            <w:r>
              <w:rPr>
                <w:sz w:val="20"/>
                <w:szCs w:val="20"/>
              </w:rPr>
              <w:t xml:space="preserve">40–54 minutes</w:t>
            </w:r>
          </w:p>
        </w:tc>
      </w:tr>
      <w:tr>
        <w:tc>
          <w:tcPr>
            <w:tcW w:type="dxa" w:w="1400"/>
            <w:shd w:fill="FFFFFF" w:val="clear"/>
            <w:tcMar>
              <w:top w:type="dxa" w:w="80"/>
              <w:left w:type="dxa" w:w="120"/>
              <w:bottom w:type="dxa" w:w="80"/>
              <w:right w:type="dxa" w:w="120"/>
            </w:tcMar>
          </w:tcPr>
          <w:p>
            <w:r>
              <w:rPr>
                <w:sz w:val="20"/>
                <w:szCs w:val="20"/>
              </w:rPr>
              <w:t xml:space="preserve">99202</w:t>
            </w:r>
          </w:p>
        </w:tc>
        <w:tc>
          <w:tcPr>
            <w:tcW w:type="dxa" w:w="1700"/>
            <w:shd w:fill="FFFFFF" w:val="clear"/>
            <w:tcMar>
              <w:top w:type="dxa" w:w="80"/>
              <w:left w:type="dxa" w:w="120"/>
              <w:bottom w:type="dxa" w:w="80"/>
              <w:right w:type="dxa" w:w="120"/>
            </w:tcMar>
          </w:tcPr>
          <w:p>
            <w:r>
              <w:rPr>
                <w:sz w:val="20"/>
                <w:szCs w:val="20"/>
              </w:rPr>
              <w:t xml:space="preserve">New</w:t>
            </w:r>
          </w:p>
        </w:tc>
        <w:tc>
          <w:tcPr>
            <w:tcW w:type="dxa" w:w="2560"/>
            <w:shd w:fill="FFFFFF" w:val="clear"/>
            <w:tcMar>
              <w:top w:type="dxa" w:w="80"/>
              <w:left w:type="dxa" w:w="120"/>
              <w:bottom w:type="dxa" w:w="80"/>
              <w:right w:type="dxa" w:w="120"/>
            </w:tcMar>
          </w:tcPr>
          <w:p>
            <w:r>
              <w:rPr>
                <w:sz w:val="20"/>
                <w:szCs w:val="20"/>
              </w:rPr>
              <w:t xml:space="preserve">Straightforward</w:t>
            </w:r>
          </w:p>
        </w:tc>
        <w:tc>
          <w:tcPr>
            <w:tcW w:type="dxa" w:w="3700"/>
            <w:shd w:fill="FFFFFF" w:val="clear"/>
            <w:tcMar>
              <w:top w:type="dxa" w:w="80"/>
              <w:left w:type="dxa" w:w="120"/>
              <w:bottom w:type="dxa" w:w="80"/>
              <w:right w:type="dxa" w:w="120"/>
            </w:tcMar>
          </w:tcPr>
          <w:p>
            <w:r>
              <w:rPr>
                <w:sz w:val="20"/>
                <w:szCs w:val="20"/>
              </w:rPr>
              <w:t xml:space="preserve">15–29 minutes</w:t>
            </w:r>
          </w:p>
        </w:tc>
      </w:tr>
      <w:tr>
        <w:tc>
          <w:tcPr>
            <w:tcW w:type="dxa" w:w="1400"/>
            <w:shd w:fill="F2F2F2" w:val="clear"/>
            <w:tcMar>
              <w:top w:type="dxa" w:w="80"/>
              <w:left w:type="dxa" w:w="120"/>
              <w:bottom w:type="dxa" w:w="80"/>
              <w:right w:type="dxa" w:w="120"/>
            </w:tcMar>
          </w:tcPr>
          <w:p>
            <w:r>
              <w:rPr>
                <w:sz w:val="20"/>
                <w:szCs w:val="20"/>
              </w:rPr>
              <w:t xml:space="preserve">99203</w:t>
            </w:r>
          </w:p>
        </w:tc>
        <w:tc>
          <w:tcPr>
            <w:tcW w:type="dxa" w:w="1700"/>
            <w:shd w:fill="F2F2F2" w:val="clear"/>
            <w:tcMar>
              <w:top w:type="dxa" w:w="80"/>
              <w:left w:type="dxa" w:w="120"/>
              <w:bottom w:type="dxa" w:w="80"/>
              <w:right w:type="dxa" w:w="120"/>
            </w:tcMar>
          </w:tcPr>
          <w:p>
            <w:r>
              <w:rPr>
                <w:sz w:val="20"/>
                <w:szCs w:val="20"/>
              </w:rPr>
              <w:t xml:space="preserve">New</w:t>
            </w:r>
          </w:p>
        </w:tc>
        <w:tc>
          <w:tcPr>
            <w:tcW w:type="dxa" w:w="2560"/>
            <w:shd w:fill="F2F2F2" w:val="clear"/>
            <w:tcMar>
              <w:top w:type="dxa" w:w="80"/>
              <w:left w:type="dxa" w:w="120"/>
              <w:bottom w:type="dxa" w:w="80"/>
              <w:right w:type="dxa" w:w="120"/>
            </w:tcMar>
          </w:tcPr>
          <w:p>
            <w:r>
              <w:rPr>
                <w:sz w:val="20"/>
                <w:szCs w:val="20"/>
              </w:rPr>
              <w:t xml:space="preserve">Low</w:t>
            </w:r>
          </w:p>
        </w:tc>
        <w:tc>
          <w:tcPr>
            <w:tcW w:type="dxa" w:w="3700"/>
            <w:shd w:fill="F2F2F2" w:val="clear"/>
            <w:tcMar>
              <w:top w:type="dxa" w:w="80"/>
              <w:left w:type="dxa" w:w="120"/>
              <w:bottom w:type="dxa" w:w="80"/>
              <w:right w:type="dxa" w:w="120"/>
            </w:tcMar>
          </w:tcPr>
          <w:p>
            <w:r>
              <w:rPr>
                <w:sz w:val="20"/>
                <w:szCs w:val="20"/>
              </w:rPr>
              <w:t xml:space="preserve">30–44 minutes</w:t>
            </w:r>
          </w:p>
        </w:tc>
      </w:tr>
      <w:tr>
        <w:tc>
          <w:tcPr>
            <w:tcW w:type="dxa" w:w="1400"/>
            <w:shd w:fill="FFFFFF" w:val="clear"/>
            <w:tcMar>
              <w:top w:type="dxa" w:w="80"/>
              <w:left w:type="dxa" w:w="120"/>
              <w:bottom w:type="dxa" w:w="80"/>
              <w:right w:type="dxa" w:w="120"/>
            </w:tcMar>
          </w:tcPr>
          <w:p>
            <w:r>
              <w:rPr>
                <w:sz w:val="20"/>
                <w:szCs w:val="20"/>
              </w:rPr>
              <w:t xml:space="preserve">99204</w:t>
            </w:r>
          </w:p>
        </w:tc>
        <w:tc>
          <w:tcPr>
            <w:tcW w:type="dxa" w:w="1700"/>
            <w:shd w:fill="FFFFFF" w:val="clear"/>
            <w:tcMar>
              <w:top w:type="dxa" w:w="80"/>
              <w:left w:type="dxa" w:w="120"/>
              <w:bottom w:type="dxa" w:w="80"/>
              <w:right w:type="dxa" w:w="120"/>
            </w:tcMar>
          </w:tcPr>
          <w:p>
            <w:r>
              <w:rPr>
                <w:sz w:val="20"/>
                <w:szCs w:val="20"/>
              </w:rPr>
              <w:t xml:space="preserve">New</w:t>
            </w:r>
          </w:p>
        </w:tc>
        <w:tc>
          <w:tcPr>
            <w:tcW w:type="dxa" w:w="2560"/>
            <w:shd w:fill="FFFFFF" w:val="clear"/>
            <w:tcMar>
              <w:top w:type="dxa" w:w="80"/>
              <w:left w:type="dxa" w:w="120"/>
              <w:bottom w:type="dxa" w:w="80"/>
              <w:right w:type="dxa" w:w="120"/>
            </w:tcMar>
          </w:tcPr>
          <w:p>
            <w:r>
              <w:rPr>
                <w:sz w:val="20"/>
                <w:szCs w:val="20"/>
              </w:rPr>
              <w:t xml:space="preserve">Moderate</w:t>
            </w:r>
          </w:p>
        </w:tc>
        <w:tc>
          <w:tcPr>
            <w:tcW w:type="dxa" w:w="3700"/>
            <w:shd w:fill="FFFFFF" w:val="clear"/>
            <w:tcMar>
              <w:top w:type="dxa" w:w="80"/>
              <w:left w:type="dxa" w:w="120"/>
              <w:bottom w:type="dxa" w:w="80"/>
              <w:right w:type="dxa" w:w="120"/>
            </w:tcMar>
          </w:tcPr>
          <w:p>
            <w:r>
              <w:rPr>
                <w:sz w:val="20"/>
                <w:szCs w:val="20"/>
              </w:rPr>
              <w:t xml:space="preserve">45–59 minutes</w:t>
            </w:r>
          </w:p>
        </w:tc>
      </w:tr>
      <w:tr>
        <w:tc>
          <w:tcPr>
            <w:tcW w:type="dxa" w:w="1400"/>
            <w:shd w:fill="F2F2F2" w:val="clear"/>
            <w:tcMar>
              <w:top w:type="dxa" w:w="80"/>
              <w:left w:type="dxa" w:w="120"/>
              <w:bottom w:type="dxa" w:w="80"/>
              <w:right w:type="dxa" w:w="120"/>
            </w:tcMar>
          </w:tcPr>
          <w:p>
            <w:r>
              <w:rPr>
                <w:sz w:val="20"/>
                <w:szCs w:val="20"/>
              </w:rPr>
              <w:t xml:space="preserve">99205</w:t>
            </w:r>
          </w:p>
        </w:tc>
        <w:tc>
          <w:tcPr>
            <w:tcW w:type="dxa" w:w="1700"/>
            <w:shd w:fill="F2F2F2" w:val="clear"/>
            <w:tcMar>
              <w:top w:type="dxa" w:w="80"/>
              <w:left w:type="dxa" w:w="120"/>
              <w:bottom w:type="dxa" w:w="80"/>
              <w:right w:type="dxa" w:w="120"/>
            </w:tcMar>
          </w:tcPr>
          <w:p>
            <w:r>
              <w:rPr>
                <w:sz w:val="20"/>
                <w:szCs w:val="20"/>
              </w:rPr>
              <w:t xml:space="preserve">New</w:t>
            </w:r>
          </w:p>
        </w:tc>
        <w:tc>
          <w:tcPr>
            <w:tcW w:type="dxa" w:w="2560"/>
            <w:shd w:fill="F2F2F2" w:val="clear"/>
            <w:tcMar>
              <w:top w:type="dxa" w:w="80"/>
              <w:left w:type="dxa" w:w="120"/>
              <w:bottom w:type="dxa" w:w="80"/>
              <w:right w:type="dxa" w:w="120"/>
            </w:tcMar>
          </w:tcPr>
          <w:p>
            <w:r>
              <w:rPr>
                <w:sz w:val="20"/>
                <w:szCs w:val="20"/>
              </w:rPr>
              <w:t xml:space="preserve">High</w:t>
            </w:r>
          </w:p>
        </w:tc>
        <w:tc>
          <w:tcPr>
            <w:tcW w:type="dxa" w:w="3700"/>
            <w:shd w:fill="F2F2F2" w:val="clear"/>
            <w:tcMar>
              <w:top w:type="dxa" w:w="80"/>
              <w:left w:type="dxa" w:w="120"/>
              <w:bottom w:type="dxa" w:w="80"/>
              <w:right w:type="dxa" w:w="120"/>
            </w:tcMar>
          </w:tcPr>
          <w:p>
            <w:r>
              <w:rPr>
                <w:sz w:val="20"/>
                <w:szCs w:val="20"/>
              </w:rPr>
              <w:t xml:space="preserve">60–74 minutes</w:t>
            </w:r>
          </w:p>
        </w:tc>
      </w:tr>
    </w:tbl>
    <w:p>
      <w:pPr>
        <w:spacing w:after="120"/>
      </w:pPr>
    </w:p>
    <w:p>
      <w:pPr>
        <w:spacing w:after="160" w:line="276"/>
        <w:jc w:val="both"/>
      </w:pPr>
      <w:r>
        <w:rPr>
          <w:sz w:val="22"/>
          <w:szCs w:val="22"/>
        </w:rPr>
        <w:t xml:space="preserve">This table is the definitive MDM-and-time crosswalk referenced throughout Chapters 2–4: whichever column (MDM level from Chapter 4's synthesis, or documented total time) supports the higher row determines the code, provided the corresponding documentation — either the MDM elements or an explicit time statement — is actually present in the note.</w:t>
      </w:r>
    </w:p>
    <w:p>
      <w:pPr>
        <w:pStyle w:val="Heading2"/>
        <w:spacing w:after="160" w:before="360"/>
      </w:pPr>
      <w:r>
        <w:rPr>
          <w:b/>
          <w:bCs/>
          <w:color w:val="2E5A88"/>
          <w:sz w:val="26"/>
          <w:szCs w:val="26"/>
        </w:rPr>
        <w:t xml:space="preserve">5.5 Selecting Between the Two Paths</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TM-5.5  —  Selecting the Higher-Supported Path</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E/M Guidelines, 2023.</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Ensures the code reflects the full complexity or effort of the visit, whichever measure captures it better, without requiring providers to artificially inflate the other.</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When both MDM and time are documented, the code is set at whichever level either path supports, using the higher of the two. When only one path is documented, only that path may be used to justify the code.</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A refill visit with Low MDM (single stable condition, unchanged treatment) that nonetheless required 35 minutes because the patient needed extensive psychoeducation about a new life stressor may be billed as a 99214 on the time path, even though MDM alone would only support 99213 — provided the 35 minutes and its content are documented per Rule TM-5.2.</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STEP 1: Compute the MDM level per Chapter 4 synthesis. STEP 2: If a total time statement is present and meets Rule TM-5.2, map it to a code level using Section 5.4. STEP 3: Select the higher of the two resulting code levels. STEP 4: If only one path is documented, use only that path; do not assume the undocumented path would have supported a higher level.</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Providers do not need to document time on every visit. Document time specifically on visits where MDM alone would undersell the actual work performed — typically visits involving extensive counseling, care coordination, or crisis management that does not rise to the highest MDM problem/risk tier.</w:t>
            </w:r>
          </w:p>
        </w:tc>
      </w:tr>
    </w:tbl>
    <w:p>
      <w:pPr>
        <w:spacing w:after="120"/>
      </w:pPr>
    </w:p>
    <w:p>
      <w:pPr>
        <w:pStyle w:val="Heading2"/>
        <w:spacing w:after="160" w:before="360"/>
      </w:pPr>
      <w:r>
        <w:rPr>
          <w:b/>
          <w:bCs/>
          <w:color w:val="2E5A88"/>
          <w:sz w:val="26"/>
          <w:szCs w:val="26"/>
        </w:rPr>
        <w:t xml:space="preserve">5.6 Prolonged Services: 99417 and G2212</w:t>
      </w:r>
    </w:p>
    <w:p>
      <w:pPr>
        <w:spacing w:after="160" w:line="276"/>
        <w:jc w:val="both"/>
      </w:pPr>
      <w:r>
        <w:rPr>
          <w:sz w:val="22"/>
          <w:szCs w:val="22"/>
        </w:rPr>
        <w:t xml:space="preserve">When total time exceeds the maximum time listed for the highest-level code in the applicable new/established table (99205 or 99215), additional time may be separately billed using a prolonged services add-on code. Which add-on code applies depends on the payer: CPT's own prolonged services code is </w:t>
      </w:r>
      <w:r>
        <w:rPr>
          <w:b/>
          <w:bCs/>
          <w:sz w:val="22"/>
          <w:szCs w:val="22"/>
        </w:rPr>
        <w:t xml:space="preserve">99417</w:t>
      </w:r>
      <w:r>
        <w:rPr>
          <w:sz w:val="22"/>
          <w:szCs w:val="22"/>
        </w:rPr>
        <w:t xml:space="preserve">, used by commercial payers that follow CPT time thresholds; Medicare instead requires </w:t>
      </w:r>
      <w:r>
        <w:rPr>
          <w:b/>
          <w:bCs/>
          <w:sz w:val="22"/>
          <w:szCs w:val="22"/>
        </w:rPr>
        <w:t xml:space="preserve">G2212</w:t>
      </w:r>
      <w:r>
        <w:rPr>
          <w:sz w:val="22"/>
          <w:szCs w:val="22"/>
        </w:rPr>
        <w:t xml:space="preserve">, which uses a different time threshold calculated from the CPT reference time rather than the maximum time in the range. Billing the wrong add-on code for the payer is a common, avoidable denial.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2900"/>
        <w:gridCol w:w="3060"/>
        <w:gridCol w:w="2100"/>
      </w:tblGrid>
      <w:tr>
        <w:trPr>
          <w:tblHeader/>
        </w:trPr>
        <w:tc>
          <w:tcPr>
            <w:tcW w:type="dxa" w:w="1300"/>
            <w:shd w:fill="1F3864" w:val="clear"/>
            <w:tcMar>
              <w:top w:type="dxa" w:w="80"/>
              <w:left w:type="dxa" w:w="120"/>
              <w:bottom w:type="dxa" w:w="80"/>
              <w:right w:type="dxa" w:w="120"/>
            </w:tcMar>
          </w:tcPr>
          <w:p>
            <w:r>
              <w:rPr>
                <w:b/>
                <w:bCs/>
                <w:color w:val="FFFFFF"/>
                <w:sz w:val="20"/>
                <w:szCs w:val="20"/>
              </w:rPr>
              <w:t xml:space="preserve">Add-On Code</w:t>
            </w:r>
          </w:p>
        </w:tc>
        <w:tc>
          <w:tcPr>
            <w:tcW w:type="dxa" w:w="2900"/>
            <w:shd w:fill="1F3864" w:val="clear"/>
            <w:tcMar>
              <w:top w:type="dxa" w:w="80"/>
              <w:left w:type="dxa" w:w="120"/>
              <w:bottom w:type="dxa" w:w="80"/>
              <w:right w:type="dxa" w:w="120"/>
            </w:tcMar>
          </w:tcPr>
          <w:p>
            <w:r>
              <w:rPr>
                <w:b/>
                <w:bCs/>
                <w:color w:val="FFFFFF"/>
                <w:sz w:val="20"/>
                <w:szCs w:val="20"/>
              </w:rPr>
              <w:t xml:space="preserve">Used By</w:t>
            </w:r>
          </w:p>
        </w:tc>
        <w:tc>
          <w:tcPr>
            <w:tcW w:type="dxa" w:w="3060"/>
            <w:shd w:fill="1F3864" w:val="clear"/>
            <w:tcMar>
              <w:top w:type="dxa" w:w="80"/>
              <w:left w:type="dxa" w:w="120"/>
              <w:bottom w:type="dxa" w:w="80"/>
              <w:right w:type="dxa" w:w="120"/>
            </w:tcMar>
          </w:tcPr>
          <w:p>
            <w:r>
              <w:rPr>
                <w:b/>
                <w:bCs/>
                <w:color w:val="FFFFFF"/>
                <w:sz w:val="20"/>
                <w:szCs w:val="20"/>
              </w:rPr>
              <w:t xml:space="preserve">Base Requirement</w:t>
            </w:r>
          </w:p>
        </w:tc>
        <w:tc>
          <w:tcPr>
            <w:tcW w:type="dxa" w:w="2100"/>
            <w:shd w:fill="1F3864" w:val="clear"/>
            <w:tcMar>
              <w:top w:type="dxa" w:w="80"/>
              <w:left w:type="dxa" w:w="120"/>
              <w:bottom w:type="dxa" w:w="80"/>
              <w:right w:type="dxa" w:w="120"/>
            </w:tcMar>
          </w:tcPr>
          <w:p>
            <w:r>
              <w:rPr>
                <w:b/>
                <w:bCs/>
                <w:color w:val="FFFFFF"/>
                <w:sz w:val="20"/>
                <w:szCs w:val="20"/>
              </w:rPr>
              <w:t xml:space="preserve">Each Unit Represents</w:t>
            </w:r>
          </w:p>
        </w:tc>
      </w:tr>
      <w:tr>
        <w:tc>
          <w:tcPr>
            <w:tcW w:type="dxa" w:w="1300"/>
            <w:shd w:fill="FFFFFF" w:val="clear"/>
            <w:tcMar>
              <w:top w:type="dxa" w:w="80"/>
              <w:left w:type="dxa" w:w="120"/>
              <w:bottom w:type="dxa" w:w="80"/>
              <w:right w:type="dxa" w:w="120"/>
            </w:tcMar>
          </w:tcPr>
          <w:p>
            <w:r>
              <w:rPr>
                <w:sz w:val="20"/>
                <w:szCs w:val="20"/>
              </w:rPr>
              <w:t xml:space="preserve">99417</w:t>
            </w:r>
          </w:p>
        </w:tc>
        <w:tc>
          <w:tcPr>
            <w:tcW w:type="dxa" w:w="2900"/>
            <w:shd w:fill="FFFFFF" w:val="clear"/>
            <w:tcMar>
              <w:top w:type="dxa" w:w="80"/>
              <w:left w:type="dxa" w:w="120"/>
              <w:bottom w:type="dxa" w:w="80"/>
              <w:right w:type="dxa" w:w="120"/>
            </w:tcMar>
          </w:tcPr>
          <w:p>
            <w:r>
              <w:rPr>
                <w:sz w:val="20"/>
                <w:szCs w:val="20"/>
              </w:rPr>
              <w:t xml:space="preserve">Commercial payers following CPT prolonged services rules (verify per payer, Chapter 12)</w:t>
            </w:r>
          </w:p>
        </w:tc>
        <w:tc>
          <w:tcPr>
            <w:tcW w:type="dxa" w:w="3060"/>
            <w:shd w:fill="FFFFFF" w:val="clear"/>
            <w:tcMar>
              <w:top w:type="dxa" w:w="80"/>
              <w:left w:type="dxa" w:w="120"/>
              <w:bottom w:type="dxa" w:w="80"/>
              <w:right w:type="dxa" w:w="120"/>
            </w:tcMar>
          </w:tcPr>
          <w:p>
            <w:r>
              <w:rPr>
                <w:sz w:val="20"/>
                <w:szCs w:val="20"/>
              </w:rPr>
              <w:t xml:space="preserve">Total time exceeds the maximum time of 99205 (74 min) or 99215 (54 min)</w:t>
            </w:r>
          </w:p>
        </w:tc>
        <w:tc>
          <w:tcPr>
            <w:tcW w:type="dxa" w:w="2100"/>
            <w:shd w:fill="FFFFFF" w:val="clear"/>
            <w:tcMar>
              <w:top w:type="dxa" w:w="80"/>
              <w:left w:type="dxa" w:w="120"/>
              <w:bottom w:type="dxa" w:w="80"/>
              <w:right w:type="dxa" w:w="120"/>
            </w:tcMar>
          </w:tcPr>
          <w:p>
            <w:r>
              <w:rPr>
                <w:sz w:val="20"/>
                <w:szCs w:val="20"/>
              </w:rPr>
              <w:t xml:space="preserve">Each additional full 15 minutes beyond the maximum time threshold</w:t>
            </w:r>
          </w:p>
        </w:tc>
      </w:tr>
      <w:tr>
        <w:tc>
          <w:tcPr>
            <w:tcW w:type="dxa" w:w="1300"/>
            <w:shd w:fill="F2F2F2" w:val="clear"/>
            <w:tcMar>
              <w:top w:type="dxa" w:w="80"/>
              <w:left w:type="dxa" w:w="120"/>
              <w:bottom w:type="dxa" w:w="80"/>
              <w:right w:type="dxa" w:w="120"/>
            </w:tcMar>
          </w:tcPr>
          <w:p>
            <w:r>
              <w:rPr>
                <w:sz w:val="20"/>
                <w:szCs w:val="20"/>
              </w:rPr>
              <w:t xml:space="preserve">G2212</w:t>
            </w:r>
          </w:p>
        </w:tc>
        <w:tc>
          <w:tcPr>
            <w:tcW w:type="dxa" w:w="2900"/>
            <w:shd w:fill="F2F2F2" w:val="clear"/>
            <w:tcMar>
              <w:top w:type="dxa" w:w="80"/>
              <w:left w:type="dxa" w:w="120"/>
              <w:bottom w:type="dxa" w:w="80"/>
              <w:right w:type="dxa" w:w="120"/>
            </w:tcMar>
          </w:tcPr>
          <w:p>
            <w:r>
              <w:rPr>
                <w:sz w:val="20"/>
                <w:szCs w:val="20"/>
              </w:rPr>
              <w:t xml:space="preserve">Medicare and Medicare Advantage plans following CMS prolonged services rules</w:t>
            </w:r>
          </w:p>
        </w:tc>
        <w:tc>
          <w:tcPr>
            <w:tcW w:type="dxa" w:w="3060"/>
            <w:shd w:fill="F2F2F2" w:val="clear"/>
            <w:tcMar>
              <w:top w:type="dxa" w:w="80"/>
              <w:left w:type="dxa" w:w="120"/>
              <w:bottom w:type="dxa" w:w="80"/>
              <w:right w:type="dxa" w:w="120"/>
            </w:tcMar>
          </w:tcPr>
          <w:p>
            <w:r>
              <w:rPr>
                <w:sz w:val="20"/>
                <w:szCs w:val="20"/>
              </w:rPr>
              <w:t xml:space="preserve">Total time exceeds the CPT reference time of 99205 (60 min) or 99215 (40 min) by at least 15 minutes</w:t>
            </w:r>
          </w:p>
        </w:tc>
        <w:tc>
          <w:tcPr>
            <w:tcW w:type="dxa" w:w="2100"/>
            <w:shd w:fill="F2F2F2" w:val="clear"/>
            <w:tcMar>
              <w:top w:type="dxa" w:w="80"/>
              <w:left w:type="dxa" w:w="120"/>
              <w:bottom w:type="dxa" w:w="80"/>
              <w:right w:type="dxa" w:w="120"/>
            </w:tcMar>
          </w:tcPr>
          <w:p>
            <w:r>
              <w:rPr>
                <w:sz w:val="20"/>
                <w:szCs w:val="20"/>
              </w:rPr>
              <w:t xml:space="preserve">Each additional full 15 minutes beyond the threshold, calculated from the CPT reference (not maximum) time</w:t>
            </w:r>
          </w:p>
        </w:tc>
      </w:tr>
    </w:tbl>
    <w:p>
      <w:pPr>
        <w:spacing w:after="120"/>
      </w:pP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TM-5.6  —  Prolonged Services Documentation</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(99417) and CMS Medicare Claims Processing Manual (G2212).</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Ensures prolonged services billing reflects genuinely extended time, not routine visit length, and that the correct add-on code is matched to the correct payer.</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Prolonged services may only be billed when the base E/M code is 99205 or 99215 (the highest-level new/established code), total time meets the applicable threshold in Section 5.6, and the note documents the total time in enough detail to support both the base code and the additional prolonged increment.</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A 75-minute new-patient diagnostic evaluation for a complex first-episode presentation, billed 99205 (60–74 min covers up to 74; 75 min crosses the threshold) plus one unit of 99417/G2212 for the additional minute-and-then-some rounded per payer rounding rules, is a legitimate example — but only if the note states total time and a general description of what consumed it.</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base code is 99205 or 99215 AND documented total time exceeds the applicable threshold in Section 5.6's table for the identified payer type THEN prolonged services may be credited; compute units as whole 15-minute increments beyond threshold, per payer rounding convention. IF base code is lower than 99205/99215 THEN prolonged services add-on is not billable regardless of total time — flag as a hard stop, not a soft warning.</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COMMON DOCUMENTATION FAILURES</w:t>
            </w:r>
          </w:p>
          <w:p>
            <w:pPr>
              <w:spacing w:after="0" w:line="264"/>
              <w:jc w:val="both"/>
            </w:pPr>
            <w:r>
              <w:rPr>
                <w:sz w:val="21"/>
                <w:szCs w:val="21"/>
              </w:rPr>
              <w:t xml:space="preserve">Billing 99417 on a 99214-level visit that ran long; prolonged services add-on codes only attach to the top-tier code in each new/established family, never to 99214 or 99213 regardless of actual time spent.</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When a visit is expected to run long (e.g., complex new evaluations, Spravato induction visits requiring extended monitoring-adjacent E/M time, crisis visits), plan to document total time from the outset rather than reconstructing it after the fact.</w:t>
            </w:r>
          </w:p>
        </w:tc>
      </w:tr>
    </w:tbl>
    <w:p>
      <w:pPr>
        <w:spacing w:after="120"/>
      </w:pPr>
    </w:p>
    <w:p>
      <w:pPr>
        <w:pStyle w:val="Heading2"/>
        <w:spacing w:after="160" w:before="360"/>
      </w:pPr>
      <w:r>
        <w:rPr>
          <w:b/>
          <w:bCs/>
          <w:color w:val="2E5A88"/>
          <w:sz w:val="26"/>
          <w:szCs w:val="26"/>
        </w:rPr>
        <w:t xml:space="preserve">5.7 Common Coding Myths — Time-Based Coding</w:t>
      </w:r>
    </w:p>
    <w:tbl>
      <w:tblPr>
        <w:tblW w:type="dxa" w:w="9360"/>
        <w:tblBorders>
          <w:top w:val="single" w:color="9C2B2B" w:sz="4"/>
          <w:left w:val="single" w:color="9C2B2B" w:sz="4"/>
          <w:bottom w:val="single" w:color="9C2B2B" w:sz="4"/>
          <w:right w:val="single" w:color="9C2B2B" w:sz="4"/>
          <w:insideH w:val="none" w:color="FFFFFF" w:sz="0"/>
          <w:insideV w:val="none" w:color="FFFFFF" w:sz="0"/>
        </w:tblBorders>
      </w:tblPr>
      <w:tblGrid>
        <w:gridCol w:w="9360"/>
      </w:tblGrid>
      <w:tr>
        <w:tc>
          <w:tcPr>
            <w:tcW w:type="dxa" w:w="9360"/>
            <w:shd w:fill="FBEAEA" w:val="clear"/>
            <w:tcMar>
              <w:top w:type="dxa" w:w="140"/>
              <w:left w:type="dxa" w:w="180"/>
              <w:bottom w:type="dxa" w:w="140"/>
              <w:right w:type="dxa" w:w="180"/>
            </w:tcMar>
          </w:tcPr>
          <w:p>
            <w:pPr>
              <w:spacing w:after="80"/>
            </w:pPr>
            <w:r>
              <w:rPr>
                <w:b/>
                <w:bCs/>
                <w:color w:val="9C2B2B"/>
                <w:sz w:val="21"/>
                <w:szCs w:val="21"/>
              </w:rPr>
              <w:t xml:space="preserve">COMMON CODING MYTHS</w:t>
            </w:r>
          </w:p>
          <w:p>
            <w:pPr>
              <w:spacing w:after="60"/>
            </w:pPr>
            <w:r>
              <w:rPr>
                <w:b/>
                <w:bCs/>
                <w:color w:val="9C2B2B"/>
                <w:sz w:val="21"/>
                <w:szCs w:val="21"/>
              </w:rPr>
              <w:t xml:space="preserve">MYTH: </w:t>
            </w:r>
            <w:r>
              <w:rPr>
                <w:i/>
                <w:iCs/>
                <w:sz w:val="21"/>
                <w:szCs w:val="21"/>
              </w:rPr>
              <w:t xml:space="preserve">You can always bill the higher of MDM or time without documenting either specifically.</w:t>
            </w:r>
          </w:p>
          <w:p>
            <w:pPr>
              <w:spacing w:after="60"/>
            </w:pPr>
            <w:r>
              <w:rPr>
                <w:b/>
                <w:bCs/>
                <w:color w:val="1F3864"/>
                <w:sz w:val="21"/>
                <w:szCs w:val="21"/>
              </w:rPr>
              <w:t xml:space="preserve">REALITY: </w:t>
            </w:r>
            <w:r>
              <w:rPr>
                <w:sz w:val="21"/>
                <w:szCs w:val="21"/>
              </w:rPr>
              <w:t xml:space="preserve">Each path requires its own documentation. MDM requires the elements in Chapters 2–4; time requires an explicit total-time statement per Rule TM-5.2. A note with neither cannot be billed on either path, regardless of how the visit actually went.</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Prolonged services can be billed off any established-patient visit that runs long.</w:t>
            </w:r>
          </w:p>
          <w:p>
            <w:pPr>
              <w:spacing w:after="60"/>
            </w:pPr>
            <w:r>
              <w:rPr>
                <w:b/>
                <w:bCs/>
                <w:color w:val="1F3864"/>
                <w:sz w:val="21"/>
                <w:szCs w:val="21"/>
              </w:rPr>
              <w:t xml:space="preserve">REALITY: </w:t>
            </w:r>
            <w:r>
              <w:rPr>
                <w:sz w:val="21"/>
                <w:szCs w:val="21"/>
              </w:rPr>
              <w:t xml:space="preserve">Per Rule TM-5.6, prolonged services add-on codes attach only to the top-tier code in the family — 99215 for established patients, 99205 for new patients. A long 99213 or 99214 visit does not support a prolonged services add-on; it may, however, support a higher base code if time alone justifies it.</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99417 and G2212 are interchangeable and either can be used for any payer.</w:t>
            </w:r>
          </w:p>
          <w:p>
            <w:pPr>
              <w:spacing w:after="60"/>
            </w:pPr>
            <w:r>
              <w:rPr>
                <w:b/>
                <w:bCs/>
                <w:color w:val="1F3864"/>
                <w:sz w:val="21"/>
                <w:szCs w:val="21"/>
              </w:rPr>
              <w:t xml:space="preserve">REALITY: </w:t>
            </w:r>
            <w:r>
              <w:rPr>
                <w:sz w:val="21"/>
                <w:szCs w:val="21"/>
              </w:rPr>
              <w:t xml:space="preserve">They are not interchangeable. Using the CPT code (99417) for a Medicare claim, or the CMS code (G2212) for a commercial claim that follows CPT rules, is a claim-level error independent of whether the underlying time was genuinely met.</w:t>
            </w:r>
          </w:p>
        </w:tc>
      </w:tr>
    </w:tbl>
    <w:p>
      <w:pPr>
        <w:spacing w:after="120"/>
      </w:pPr>
    </w:p>
    <w:p>
      <w:pPr>
        <w:pStyle w:val="Heading2"/>
        <w:spacing w:after="160" w:before="360"/>
      </w:pPr>
      <w:r>
        <w:rPr>
          <w:b/>
          <w:bCs/>
          <w:color w:val="2E5A88"/>
          <w:sz w:val="26"/>
          <w:szCs w:val="26"/>
        </w:rPr>
        <w:t xml:space="preserve">5.8 AI Interpretation Logic — Time-Based Coding and Prolonged Services</w:t>
      </w:r>
    </w:p>
    <w:tbl>
      <w:tblPr>
        <w:tblW w:type="dxa" w:w="9360"/>
        <w:tblBorders>
          <w:top w:val="single" w:color="1F3864" w:sz="4"/>
          <w:left w:val="single" w:color="1F3864" w:sz="4"/>
          <w:bottom w:val="single" w:color="1F3864" w:sz="4"/>
          <w:right w:val="single" w:color="1F3864"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1F3864"/>
                <w:sz w:val="21"/>
                <w:szCs w:val="21"/>
              </w:rPr>
              <w:t xml:space="preserve">AI DECISION LOGIC — TIME PATH AND PROLONGED SERVICES</w:t>
            </w:r>
          </w:p>
          <w:p>
            <w:pPr>
              <w:spacing w:after="60"/>
            </w:pPr>
            <w:r>
              <w:rPr>
                <w:sz w:val="21"/>
                <w:szCs w:val="21"/>
              </w:rPr>
              <w:t xml:space="preserve">STEP 1: Check for an explicit total-time statement meeting Rule TM-5.2 (date-of-encounter scope, not session-only time).</w:t>
            </w:r>
          </w:p>
          <w:p>
            <w:pPr>
              <w:spacing w:after="60"/>
            </w:pPr>
            <w:r>
              <w:rPr>
                <w:sz w:val="21"/>
                <w:szCs w:val="21"/>
              </w:rPr>
              <w:t xml:space="preserve">STEP 2: IF present, map to a code level using the Section 5.4 table.</w:t>
            </w:r>
          </w:p>
          <w:p>
            <w:pPr>
              <w:spacing w:after="60"/>
            </w:pPr>
            <w:r>
              <w:rPr>
                <w:sz w:val="21"/>
                <w:szCs w:val="21"/>
              </w:rPr>
              <w:t xml:space="preserve">STEP 3: Compare to the MDM-path code level from Chapter 4. Select the higher of the two as the base code; note which path was controlling for audit-trail purposes.</w:t>
            </w:r>
          </w:p>
          <w:p>
            <w:pPr>
              <w:spacing w:after="60"/>
            </w:pPr>
            <w:r>
              <w:rPr>
                <w:sz w:val="21"/>
                <w:szCs w:val="21"/>
              </w:rPr>
              <w:t xml:space="preserve">STEP 4: IF base code = 99205 or 99215 AND documented time exceeds the applicable Section 5.6 threshold for the identified payer THEN evaluate prolonged services eligibility and compute whole-increment units.</w:t>
            </w:r>
          </w:p>
          <w:p>
            <w:pPr>
              <w:spacing w:after="60"/>
            </w:pPr>
            <w:r>
              <w:rPr>
                <w:sz w:val="21"/>
                <w:szCs w:val="21"/>
              </w:rPr>
              <w:t xml:space="preserve">STEP 5: IF base code is below 99205/99215, do not credit prolonged services regardless of stated time; flag any 99417/G2212 billed against a lower base code as a hard error.</w:t>
            </w:r>
          </w:p>
          <w:p>
            <w:pPr>
              <w:spacing w:after="60"/>
            </w:pPr>
            <w:r>
              <w:rPr>
                <w:sz w:val="21"/>
                <w:szCs w:val="21"/>
              </w:rPr>
              <w:t xml:space="preserve">STEP 6: Confirm the correct prolonged services code (99417 vs. G2212) matches the identified payer type per Section 5.6.</w:t>
            </w:r>
          </w:p>
        </w:tc>
      </w:tr>
    </w:tbl>
    <w:p>
      <w:pPr>
        <w:spacing w:after="120"/>
      </w:pPr>
    </w:p>
    <w:p>
      <w:pPr>
        <w:pStyle w:val="Heading2"/>
        <w:spacing w:after="160" w:before="360"/>
      </w:pPr>
      <w:r>
        <w:rPr>
          <w:b/>
          <w:bCs/>
          <w:color w:val="2E5A88"/>
          <w:sz w:val="26"/>
          <w:szCs w:val="26"/>
        </w:rPr>
        <w:t xml:space="preserve">5.9 Worked Examples</w:t>
      </w:r>
    </w:p>
    <w:tbl>
      <w:tblPr>
        <w:tblW w:type="dxa" w:w="9360"/>
        <w:tblBorders>
          <w:top w:val="single" w:color="2E5A88" w:sz="4"/>
          <w:left w:val="single" w:color="2E5A88" w:sz="4"/>
          <w:bottom w:val="single" w:color="2E5A88" w:sz="4"/>
          <w:right w:val="single" w:color="2E5A88"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2E5A88"/>
                <w:sz w:val="21"/>
                <w:szCs w:val="21"/>
              </w:rPr>
              <w:t xml:space="preserve">EXAMPLE A — TIME SUPPORTS HIGHER LEVEL THAN MDM</w:t>
            </w:r>
          </w:p>
          <w:p>
            <w:pPr>
              <w:spacing w:after="60"/>
            </w:pPr>
            <w:r>
              <w:rPr>
                <w:b/>
                <w:bCs/>
                <w:i/>
                <w:iCs/>
                <w:sz w:val="21"/>
                <w:szCs w:val="21"/>
              </w:rPr>
              <w:t xml:space="preserve">Note excerpt: </w:t>
            </w:r>
            <w:r>
              <w:rPr>
                <w:i/>
                <w:iCs/>
                <w:sz w:val="21"/>
                <w:szCs w:val="21"/>
              </w:rPr>
              <w:t xml:space="preserve">‘Total time personally spent on date of encounter: 34 minutes, including review of recent PCP records prior to visit, 22-minute visit addressing medication tolerability and extensive psychoeducation regarding SSRI initiation and expected timeline, and documentation.’ MDM elements elsewhere in the note support only Low complexity (single stable-ish new SSRI start, minimal data, moderate risk from new prescription — actually let's assume this nets to Low–Moderate borderline).</w:t>
            </w:r>
          </w:p>
          <w:p>
            <w:pPr>
              <w:spacing w:after="60"/>
            </w:pPr>
            <w:r>
              <w:rPr>
                <w:sz w:val="21"/>
                <w:szCs w:val="21"/>
              </w:rPr>
              <w:t xml:space="default"/>
            </w:r>
          </w:p>
        </w:tc>
      </w:tr>
    </w:tbl>
    <w:tbl>
      <w:tblPr>
        <w:tblW w:type="dxa" w:w="9360"/>
        <w:tblBorders>
          <w:top w:val="single" w:color="2E5A88" w:sz="4"/>
          <w:left w:val="single" w:color="2E5A88" w:sz="4"/>
          <w:bottom w:val="single" w:color="2E5A88" w:sz="4"/>
          <w:right w:val="single" w:color="2E5A88"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2E5A88"/>
                <w:sz w:val="21"/>
                <w:szCs w:val="21"/>
              </w:rPr>
              <w:t xml:space="preserve">EXAMPLE B — PROLONGED SERVICES CORRECTLY BILLED</w:t>
            </w:r>
          </w:p>
          <w:p>
            <w:pPr>
              <w:spacing w:after="60"/>
            </w:pPr>
            <w:r>
              <w:rPr>
                <w:b/>
                <w:bCs/>
                <w:i/>
                <w:iCs/>
                <w:sz w:val="21"/>
                <w:szCs w:val="21"/>
              </w:rPr>
              <w:t xml:space="preserve">Note excerpt: </w:t>
            </w:r>
            <w:r>
              <w:rPr>
                <w:i/>
                <w:iCs/>
                <w:sz w:val="21"/>
                <w:szCs w:val="21"/>
              </w:rPr>
              <w:t xml:space="preserve">New patient diagnostic evaluation, commercial payer. ‘Total time: 92 minutes, including extensive history gathering given complex trauma history and diagnostic uncertainty, mental status exam, review of prior hospital records, and detailed treatment planning discussion.’</w:t>
            </w:r>
          </w:p>
          <w:p>
            <w:pPr>
              <w:spacing w:after="60"/>
            </w:pPr>
            <w:r>
              <w:rPr>
                <w:sz w:val="21"/>
                <w:szCs w:val="21"/>
              </w:rPr>
              <w:t xml:space="default"/>
            </w:r>
          </w:p>
        </w:tc>
      </w:tr>
    </w:tbl>
    <w:tbl>
      <w:tblPr>
        <w:tblW w:type="dxa" w:w="9360"/>
        <w:tblBorders>
          <w:top w:val="single" w:color="9C6B14" w:sz="4"/>
          <w:left w:val="single" w:color="9C6B14" w:sz="4"/>
          <w:bottom w:val="single" w:color="9C6B14" w:sz="4"/>
          <w:right w:val="single" w:color="9C6B14" w:sz="4"/>
          <w:insideH w:val="none" w:color="FFFFFF" w:sz="0"/>
          <w:insideV w:val="none" w:color="FFFFFF" w:sz="0"/>
        </w:tblBorders>
      </w:tblPr>
      <w:tblGrid>
        <w:gridCol w:w="9360"/>
      </w:tblGrid>
      <w:tr>
        <w:tc>
          <w:tcPr>
            <w:tcW w:type="dxa" w:w="9360"/>
            <w:shd w:fill="FBF3E3" w:val="clear"/>
            <w:tcMar>
              <w:top w:type="dxa" w:w="140"/>
              <w:left w:type="dxa" w:w="180"/>
              <w:bottom w:type="dxa" w:w="140"/>
              <w:right w:type="dxa" w:w="180"/>
            </w:tcMar>
          </w:tcPr>
          <w:p>
            <w:pPr>
              <w:spacing w:after="80"/>
            </w:pPr>
            <w:r>
              <w:rPr>
                <w:b/>
                <w:bCs/>
                <w:color w:val="9C6B14"/>
                <w:sz w:val="21"/>
                <w:szCs w:val="21"/>
              </w:rPr>
              <w:t xml:space="preserve">EXAMPLE C — PROLONGED SERVICES INCORRECTLY BILLED (FLAG)</w:t>
            </w:r>
          </w:p>
          <w:p>
            <w:pPr>
              <w:spacing w:after="60"/>
            </w:pPr>
            <w:r>
              <w:rPr>
                <w:b/>
                <w:bCs/>
                <w:i/>
                <w:iCs/>
                <w:sz w:val="21"/>
                <w:szCs w:val="21"/>
              </w:rPr>
              <w:t xml:space="preserve">Note excerpt: </w:t>
            </w:r>
            <w:r>
              <w:rPr>
                <w:i/>
                <w:iCs/>
                <w:sz w:val="21"/>
                <w:szCs w:val="21"/>
              </w:rPr>
              <w:t xml:space="preserve">Established patient, Medicare Advantage plan. ‘Total time: 48 minutes’ billed as 99214 + G2212.</w:t>
            </w:r>
          </w:p>
          <w:p>
            <w:pPr>
              <w:spacing w:after="60"/>
            </w:pPr>
            <w:r>
              <w:rPr>
                <w:sz w:val="21"/>
                <w:szCs w:val="21"/>
              </w:rPr>
              <w:t xml:space="default"/>
            </w:r>
          </w:p>
        </w:tc>
      </w:tr>
    </w:tbl>
    <w:p>
      <w:r>
        <w:br w:type="page"/>
      </w:r>
    </w:p>
    <w:p>
      <w:pPr>
        <w:pStyle w:val="Heading1"/>
        <w:pBdr>
          <w:bottom w:val="single" w:color="1F3864" w:sz="12" w:space="4"/>
        </w:pBdr>
        <w:spacing w:after="240" w:before="480"/>
      </w:pPr>
      <w:r>
        <w:rPr>
          <w:b/>
          <w:bCs/>
          <w:color w:val="1F3864"/>
          <w:sz w:val="32"/>
          <w:szCs w:val="32"/>
        </w:rPr>
        <w:t xml:space="preserve">Chapter 6 — Psychotherapy Coding</w:t>
      </w:r>
    </w:p>
    <w:p>
      <w:pPr>
        <w:pStyle w:val="Heading2"/>
        <w:spacing w:after="160" w:before="360"/>
      </w:pPr>
      <w:r>
        <w:rPr>
          <w:b/>
          <w:bCs/>
          <w:color w:val="2E5A88"/>
          <w:sz w:val="26"/>
          <w:szCs w:val="26"/>
        </w:rPr>
        <w:t xml:space="preserve">6.1 The Psychotherapy Code Family</w:t>
      </w:r>
    </w:p>
    <w:p>
      <w:pPr>
        <w:spacing w:after="160" w:line="276"/>
        <w:jc w:val="both"/>
      </w:pPr>
      <w:r>
        <w:rPr>
          <w:sz w:val="22"/>
          <w:szCs w:val="22"/>
        </w:rPr>
        <w:t xml:space="preserve">Individual psychotherapy is reported using time-banded CPT codes that are entirely separate from the E/M code family, with their own time thresholds and their own documentation requirements. Psychotherapy codes may be billed standalone (a therapy-only visit) or as an add-on to E/M on the same date, addressed in Section 6.5.</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5060"/>
        <w:gridCol w:w="3000"/>
      </w:tblGrid>
      <w:tr>
        <w:trPr>
          <w:tblHeader/>
        </w:trPr>
        <w:tc>
          <w:tcPr>
            <w:tcW w:type="dxa" w:w="1300"/>
            <w:shd w:fill="1F3864" w:val="clear"/>
            <w:tcMar>
              <w:top w:type="dxa" w:w="80"/>
              <w:left w:type="dxa" w:w="120"/>
              <w:bottom w:type="dxa" w:w="80"/>
              <w:right w:type="dxa" w:w="120"/>
            </w:tcMar>
          </w:tcPr>
          <w:p>
            <w:r>
              <w:rPr>
                <w:b/>
                <w:bCs/>
                <w:color w:val="FFFFFF"/>
                <w:sz w:val="20"/>
                <w:szCs w:val="20"/>
              </w:rPr>
              <w:t xml:space="preserve">CPT Code</w:t>
            </w:r>
          </w:p>
        </w:tc>
        <w:tc>
          <w:tcPr>
            <w:tcW w:type="dxa" w:w="5060"/>
            <w:shd w:fill="1F3864" w:val="clear"/>
            <w:tcMar>
              <w:top w:type="dxa" w:w="80"/>
              <w:left w:type="dxa" w:w="120"/>
              <w:bottom w:type="dxa" w:w="80"/>
              <w:right w:type="dxa" w:w="120"/>
            </w:tcMar>
          </w:tcPr>
          <w:p>
            <w:r>
              <w:rPr>
                <w:b/>
                <w:bCs/>
                <w:color w:val="FFFFFF"/>
                <w:sz w:val="20"/>
                <w:szCs w:val="20"/>
              </w:rPr>
              <w:t xml:space="preserve">Description</w:t>
            </w:r>
          </w:p>
        </w:tc>
        <w:tc>
          <w:tcPr>
            <w:tcW w:type="dxa" w:w="3000"/>
            <w:shd w:fill="1F3864" w:val="clear"/>
            <w:tcMar>
              <w:top w:type="dxa" w:w="80"/>
              <w:left w:type="dxa" w:w="120"/>
              <w:bottom w:type="dxa" w:w="80"/>
              <w:right w:type="dxa" w:w="120"/>
            </w:tcMar>
          </w:tcPr>
          <w:p>
            <w:r>
              <w:rPr>
                <w:b/>
                <w:bCs/>
                <w:color w:val="FFFFFF"/>
                <w:sz w:val="20"/>
                <w:szCs w:val="20"/>
              </w:rPr>
              <w:t xml:space="preserve">Time Threshold</w:t>
            </w:r>
          </w:p>
        </w:tc>
      </w:tr>
      <w:tr>
        <w:tc>
          <w:tcPr>
            <w:tcW w:type="dxa" w:w="1300"/>
            <w:shd w:fill="FFFFFF" w:val="clear"/>
            <w:tcMar>
              <w:top w:type="dxa" w:w="80"/>
              <w:left w:type="dxa" w:w="120"/>
              <w:bottom w:type="dxa" w:w="80"/>
              <w:right w:type="dxa" w:w="120"/>
            </w:tcMar>
          </w:tcPr>
          <w:p>
            <w:r>
              <w:rPr>
                <w:sz w:val="20"/>
                <w:szCs w:val="20"/>
              </w:rPr>
              <w:t xml:space="preserve">90832</w:t>
            </w:r>
          </w:p>
        </w:tc>
        <w:tc>
          <w:tcPr>
            <w:tcW w:type="dxa" w:w="5060"/>
            <w:shd w:fill="FFFFFF" w:val="clear"/>
            <w:tcMar>
              <w:top w:type="dxa" w:w="80"/>
              <w:left w:type="dxa" w:w="120"/>
              <w:bottom w:type="dxa" w:w="80"/>
              <w:right w:type="dxa" w:w="120"/>
            </w:tcMar>
          </w:tcPr>
          <w:p>
            <w:r>
              <w:rPr>
                <w:sz w:val="20"/>
                <w:szCs w:val="20"/>
              </w:rPr>
              <w:t xml:space="preserve">Psychotherapy, standalone, 30 minutes with patient</w:t>
            </w:r>
          </w:p>
        </w:tc>
        <w:tc>
          <w:tcPr>
            <w:tcW w:type="dxa" w:w="3000"/>
            <w:shd w:fill="FFFFFF" w:val="clear"/>
            <w:tcMar>
              <w:top w:type="dxa" w:w="80"/>
              <w:left w:type="dxa" w:w="120"/>
              <w:bottom w:type="dxa" w:w="80"/>
              <w:right w:type="dxa" w:w="120"/>
            </w:tcMar>
          </w:tcPr>
          <w:p>
            <w:r>
              <w:rPr>
                <w:sz w:val="20"/>
                <w:szCs w:val="20"/>
              </w:rPr>
              <w:t xml:space="preserve">16–37 minutes</w:t>
            </w:r>
          </w:p>
        </w:tc>
      </w:tr>
      <w:tr>
        <w:tc>
          <w:tcPr>
            <w:tcW w:type="dxa" w:w="1300"/>
            <w:shd w:fill="F2F2F2" w:val="clear"/>
            <w:tcMar>
              <w:top w:type="dxa" w:w="80"/>
              <w:left w:type="dxa" w:w="120"/>
              <w:bottom w:type="dxa" w:w="80"/>
              <w:right w:type="dxa" w:w="120"/>
            </w:tcMar>
          </w:tcPr>
          <w:p>
            <w:r>
              <w:rPr>
                <w:sz w:val="20"/>
                <w:szCs w:val="20"/>
              </w:rPr>
              <w:t xml:space="preserve">90834</w:t>
            </w:r>
          </w:p>
        </w:tc>
        <w:tc>
          <w:tcPr>
            <w:tcW w:type="dxa" w:w="5060"/>
            <w:shd w:fill="F2F2F2" w:val="clear"/>
            <w:tcMar>
              <w:top w:type="dxa" w:w="80"/>
              <w:left w:type="dxa" w:w="120"/>
              <w:bottom w:type="dxa" w:w="80"/>
              <w:right w:type="dxa" w:w="120"/>
            </w:tcMar>
          </w:tcPr>
          <w:p>
            <w:r>
              <w:rPr>
                <w:sz w:val="20"/>
                <w:szCs w:val="20"/>
              </w:rPr>
              <w:t xml:space="preserve">Psychotherapy, standalone, 45 minutes with patient</w:t>
            </w:r>
          </w:p>
        </w:tc>
        <w:tc>
          <w:tcPr>
            <w:tcW w:type="dxa" w:w="3000"/>
            <w:shd w:fill="F2F2F2" w:val="clear"/>
            <w:tcMar>
              <w:top w:type="dxa" w:w="80"/>
              <w:left w:type="dxa" w:w="120"/>
              <w:bottom w:type="dxa" w:w="80"/>
              <w:right w:type="dxa" w:w="120"/>
            </w:tcMar>
          </w:tcPr>
          <w:p>
            <w:r>
              <w:rPr>
                <w:sz w:val="20"/>
                <w:szCs w:val="20"/>
              </w:rPr>
              <w:t xml:space="preserve">38–52 minutes</w:t>
            </w:r>
          </w:p>
        </w:tc>
      </w:tr>
      <w:tr>
        <w:tc>
          <w:tcPr>
            <w:tcW w:type="dxa" w:w="1300"/>
            <w:shd w:fill="FFFFFF" w:val="clear"/>
            <w:tcMar>
              <w:top w:type="dxa" w:w="80"/>
              <w:left w:type="dxa" w:w="120"/>
              <w:bottom w:type="dxa" w:w="80"/>
              <w:right w:type="dxa" w:w="120"/>
            </w:tcMar>
          </w:tcPr>
          <w:p>
            <w:r>
              <w:rPr>
                <w:sz w:val="20"/>
                <w:szCs w:val="20"/>
              </w:rPr>
              <w:t xml:space="preserve">90837</w:t>
            </w:r>
          </w:p>
        </w:tc>
        <w:tc>
          <w:tcPr>
            <w:tcW w:type="dxa" w:w="5060"/>
            <w:shd w:fill="FFFFFF" w:val="clear"/>
            <w:tcMar>
              <w:top w:type="dxa" w:w="80"/>
              <w:left w:type="dxa" w:w="120"/>
              <w:bottom w:type="dxa" w:w="80"/>
              <w:right w:type="dxa" w:w="120"/>
            </w:tcMar>
          </w:tcPr>
          <w:p>
            <w:r>
              <w:rPr>
                <w:sz w:val="20"/>
                <w:szCs w:val="20"/>
              </w:rPr>
              <w:t xml:space="preserve">Psychotherapy, standalone, 60 minutes with patient</w:t>
            </w:r>
          </w:p>
        </w:tc>
        <w:tc>
          <w:tcPr>
            <w:tcW w:type="dxa" w:w="3000"/>
            <w:shd w:fill="FFFFFF" w:val="clear"/>
            <w:tcMar>
              <w:top w:type="dxa" w:w="80"/>
              <w:left w:type="dxa" w:w="120"/>
              <w:bottom w:type="dxa" w:w="80"/>
              <w:right w:type="dxa" w:w="120"/>
            </w:tcMar>
          </w:tcPr>
          <w:p>
            <w:r>
              <w:rPr>
                <w:sz w:val="20"/>
                <w:szCs w:val="20"/>
              </w:rPr>
              <w:t xml:space="preserve">53 minutes or more</w:t>
            </w:r>
          </w:p>
        </w:tc>
      </w:tr>
      <w:tr>
        <w:tc>
          <w:tcPr>
            <w:tcW w:type="dxa" w:w="1300"/>
            <w:shd w:fill="F2F2F2" w:val="clear"/>
            <w:tcMar>
              <w:top w:type="dxa" w:w="80"/>
              <w:left w:type="dxa" w:w="120"/>
              <w:bottom w:type="dxa" w:w="80"/>
              <w:right w:type="dxa" w:w="120"/>
            </w:tcMar>
          </w:tcPr>
          <w:p>
            <w:r>
              <w:rPr>
                <w:sz w:val="20"/>
                <w:szCs w:val="20"/>
              </w:rPr>
              <w:t xml:space="preserve">90833</w:t>
            </w:r>
          </w:p>
        </w:tc>
        <w:tc>
          <w:tcPr>
            <w:tcW w:type="dxa" w:w="5060"/>
            <w:shd w:fill="F2F2F2" w:val="clear"/>
            <w:tcMar>
              <w:top w:type="dxa" w:w="80"/>
              <w:left w:type="dxa" w:w="120"/>
              <w:bottom w:type="dxa" w:w="80"/>
              <w:right w:type="dxa" w:w="120"/>
            </w:tcMar>
          </w:tcPr>
          <w:p>
            <w:r>
              <w:rPr>
                <w:sz w:val="20"/>
                <w:szCs w:val="20"/>
              </w:rPr>
              <w:t xml:space="preserve">Psychotherapy add-on, 30 minutes, furnished with an E/M service on the same date</w:t>
            </w:r>
          </w:p>
        </w:tc>
        <w:tc>
          <w:tcPr>
            <w:tcW w:type="dxa" w:w="3000"/>
            <w:shd w:fill="F2F2F2" w:val="clear"/>
            <w:tcMar>
              <w:top w:type="dxa" w:w="80"/>
              <w:left w:type="dxa" w:w="120"/>
              <w:bottom w:type="dxa" w:w="80"/>
              <w:right w:type="dxa" w:w="120"/>
            </w:tcMar>
          </w:tcPr>
          <w:p>
            <w:r>
              <w:rPr>
                <w:sz w:val="20"/>
                <w:szCs w:val="20"/>
              </w:rPr>
              <w:t xml:space="preserve">16–37 minutes of psychotherapy, distinct from E/M time</w:t>
            </w:r>
          </w:p>
        </w:tc>
      </w:tr>
      <w:tr>
        <w:tc>
          <w:tcPr>
            <w:tcW w:type="dxa" w:w="1300"/>
            <w:shd w:fill="FFFFFF" w:val="clear"/>
            <w:tcMar>
              <w:top w:type="dxa" w:w="80"/>
              <w:left w:type="dxa" w:w="120"/>
              <w:bottom w:type="dxa" w:w="80"/>
              <w:right w:type="dxa" w:w="120"/>
            </w:tcMar>
          </w:tcPr>
          <w:p>
            <w:r>
              <w:rPr>
                <w:sz w:val="20"/>
                <w:szCs w:val="20"/>
              </w:rPr>
              <w:t xml:space="preserve">90836</w:t>
            </w:r>
          </w:p>
        </w:tc>
        <w:tc>
          <w:tcPr>
            <w:tcW w:type="dxa" w:w="5060"/>
            <w:shd w:fill="FFFFFF" w:val="clear"/>
            <w:tcMar>
              <w:top w:type="dxa" w:w="80"/>
              <w:left w:type="dxa" w:w="120"/>
              <w:bottom w:type="dxa" w:w="80"/>
              <w:right w:type="dxa" w:w="120"/>
            </w:tcMar>
          </w:tcPr>
          <w:p>
            <w:r>
              <w:rPr>
                <w:sz w:val="20"/>
                <w:szCs w:val="20"/>
              </w:rPr>
              <w:t xml:space="preserve">Psychotherapy add-on, 45 minutes, furnished with an E/M service on the same date</w:t>
            </w:r>
          </w:p>
        </w:tc>
        <w:tc>
          <w:tcPr>
            <w:tcW w:type="dxa" w:w="3000"/>
            <w:shd w:fill="FFFFFF" w:val="clear"/>
            <w:tcMar>
              <w:top w:type="dxa" w:w="80"/>
              <w:left w:type="dxa" w:w="120"/>
              <w:bottom w:type="dxa" w:w="80"/>
              <w:right w:type="dxa" w:w="120"/>
            </w:tcMar>
          </w:tcPr>
          <w:p>
            <w:r>
              <w:rPr>
                <w:sz w:val="20"/>
                <w:szCs w:val="20"/>
              </w:rPr>
              <w:t xml:space="preserve">38–52 minutes of psychotherapy, distinct from E/M time</w:t>
            </w:r>
          </w:p>
        </w:tc>
      </w:tr>
      <w:tr>
        <w:tc>
          <w:tcPr>
            <w:tcW w:type="dxa" w:w="1300"/>
            <w:shd w:fill="F2F2F2" w:val="clear"/>
            <w:tcMar>
              <w:top w:type="dxa" w:w="80"/>
              <w:left w:type="dxa" w:w="120"/>
              <w:bottom w:type="dxa" w:w="80"/>
              <w:right w:type="dxa" w:w="120"/>
            </w:tcMar>
          </w:tcPr>
          <w:p>
            <w:r>
              <w:rPr>
                <w:sz w:val="20"/>
                <w:szCs w:val="20"/>
              </w:rPr>
              <w:t xml:space="preserve">90838</w:t>
            </w:r>
          </w:p>
        </w:tc>
        <w:tc>
          <w:tcPr>
            <w:tcW w:type="dxa" w:w="5060"/>
            <w:shd w:fill="F2F2F2" w:val="clear"/>
            <w:tcMar>
              <w:top w:type="dxa" w:w="80"/>
              <w:left w:type="dxa" w:w="120"/>
              <w:bottom w:type="dxa" w:w="80"/>
              <w:right w:type="dxa" w:w="120"/>
            </w:tcMar>
          </w:tcPr>
          <w:p>
            <w:r>
              <w:rPr>
                <w:sz w:val="20"/>
                <w:szCs w:val="20"/>
              </w:rPr>
              <w:t xml:space="preserve">Psychotherapy add-on, 60 minutes, furnished with an E/M service on the same date</w:t>
            </w:r>
          </w:p>
        </w:tc>
        <w:tc>
          <w:tcPr>
            <w:tcW w:type="dxa" w:w="3000"/>
            <w:shd w:fill="F2F2F2" w:val="clear"/>
            <w:tcMar>
              <w:top w:type="dxa" w:w="80"/>
              <w:left w:type="dxa" w:w="120"/>
              <w:bottom w:type="dxa" w:w="80"/>
              <w:right w:type="dxa" w:w="120"/>
            </w:tcMar>
          </w:tcPr>
          <w:p>
            <w:r>
              <w:rPr>
                <w:sz w:val="20"/>
                <w:szCs w:val="20"/>
              </w:rPr>
              <w:t xml:space="preserve">53 minutes or more of psychotherapy, distinct from E/M time</w:t>
            </w:r>
          </w:p>
        </w:tc>
      </w:tr>
    </w:tbl>
    <w:p>
      <w:pPr>
        <w:spacing w:after="120"/>
      </w:pPr>
    </w:p>
    <w:p>
      <w:pPr>
        <w:pStyle w:val="Heading2"/>
        <w:spacing w:after="160" w:before="360"/>
      </w:pPr>
      <w:r>
        <w:rPr>
          <w:b/>
          <w:bCs/>
          <w:color w:val="2E5A88"/>
          <w:sz w:val="26"/>
          <w:szCs w:val="26"/>
        </w:rPr>
        <w:t xml:space="preserve">6.2 What Psychotherapy Documentation Must Contain</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PT-6.2  —  Core Psychotherapy Documentation Elements</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psychotherapy code definitions; general medical record documentation standards applied by CMS and commercial payers to behavioral health claims.</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Distinguishes billable, structured psychotherapy from supportive conversation that, while clinically valuable, does not meet the definition of a distinct psychotherapeutic service.</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A billable psychotherapy note must identify the therapeutic modality or technique used (e.g., CBT, supportive psychotherapy, motivational interviewing, exposure-based techniques), the target symptoms or treatment goals addressed, specific interventions delivered during the session, the patient's response to those interventions, and the time spent, consistent with the code billed.</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‘Utilized cognitive restructuring techniques to address catastrophic thinking patterns related to panic symptoms; patient identified and challenged two automatic negative thoughts; assigned behavioral exposure homework for next session’ documents modality, target, intervention, and response. ‘Talked with patient about their week, patient seems to be doing better’ does not meet the threshold for a distinct psychotherapy service.</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the note names a specific therapeutic modality/technique AND describes at least one specific intervention delivered AND documents patient response AND states a time consistent with the billed code THEN psychotherapy documentation is sufficient. IF the note is limited to generic supportive language with no identifiable technique THEN flag as insufficient to support a distinct psychotherapy code.</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COMMON DOCUMENTATION FAILURES</w:t>
            </w:r>
          </w:p>
          <w:p>
            <w:pPr>
              <w:spacing w:after="0" w:line="264"/>
              <w:jc w:val="both"/>
            </w:pPr>
            <w:r>
              <w:rPr>
                <w:sz w:val="21"/>
                <w:szCs w:val="21"/>
              </w:rPr>
              <w:t xml:space="preserve">Template auto-fills 'supportive psychotherapy provided' as the entire psychotherapy note with no further detail, making the service indistinguishable from routine rapport-building conversation that occurs incidentally during any visit.</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Structure every psychotherapy note around the same four elements every time — modality, target, intervention, response — even in brief add-on psychotherapy notes, so the distinct-service requirement in Section 6.5 is unambiguous on its face.</w:t>
            </w:r>
          </w:p>
        </w:tc>
      </w:tr>
    </w:tbl>
    <w:p>
      <w:pPr>
        <w:spacing w:after="120"/>
      </w:pPr>
    </w:p>
    <w:p>
      <w:pPr>
        <w:pStyle w:val="Heading2"/>
        <w:spacing w:after="160" w:before="360"/>
      </w:pPr>
      <w:r>
        <w:rPr>
          <w:b/>
          <w:bCs/>
          <w:color w:val="2E5A88"/>
          <w:sz w:val="26"/>
          <w:szCs w:val="26"/>
        </w:rPr>
        <w:t xml:space="preserve">6.3 Time Counting for Standalone Psychotherapy</w:t>
      </w:r>
    </w:p>
    <w:p>
      <w:pPr>
        <w:spacing w:after="160" w:line="276"/>
        <w:jc w:val="both"/>
      </w:pPr>
      <w:r>
        <w:rPr>
          <w:sz w:val="22"/>
          <w:szCs w:val="22"/>
        </w:rPr>
        <w:t xml:space="preserve">Standalone psychotherapy time is time spent face-to-face with the patient (and/or family, for family psychotherapy codes not covered in this chapter) engaged in the psychotherapeutic service itself. Unlike E/M total time, standalone psychotherapy time generally does not include separate pre/post chart review time in the same way — it is centered on the therapeutic encounter itself, though brief immediately-adjacent clinical activity directly tied to that session (e.g., session note documentation) is customarily included by CPT convention. When in doubt, document the face-to-face time explicitly, since that figure is always defensible regardless of how adjacent documentation time is treated.</w:t>
      </w:r>
    </w:p>
    <w:p>
      <w:pPr>
        <w:pStyle w:val="Heading2"/>
        <w:spacing w:after="160" w:before="360"/>
      </w:pPr>
      <w:r>
        <w:rPr>
          <w:b/>
          <w:bCs/>
          <w:color w:val="2E5A88"/>
          <w:sz w:val="26"/>
          <w:szCs w:val="26"/>
        </w:rPr>
        <w:t xml:space="preserve">6.4 Psychotherapy Codes Are Not Interchangeable With E/M Codes</w:t>
      </w:r>
    </w:p>
    <w:tbl>
      <w:tblPr>
        <w:tblW w:type="dxa" w:w="9360"/>
        <w:tblBorders>
          <w:top w:val="single" w:color="9C2B2B" w:sz="4"/>
          <w:left w:val="single" w:color="9C2B2B" w:sz="4"/>
          <w:bottom w:val="single" w:color="9C2B2B" w:sz="4"/>
          <w:right w:val="single" w:color="9C2B2B" w:sz="4"/>
          <w:insideH w:val="none" w:color="FFFFFF" w:sz="0"/>
          <w:insideV w:val="none" w:color="FFFFFF" w:sz="0"/>
        </w:tblBorders>
      </w:tblPr>
      <w:tblGrid>
        <w:gridCol w:w="9360"/>
      </w:tblGrid>
      <w:tr>
        <w:tc>
          <w:tcPr>
            <w:tcW w:type="dxa" w:w="9360"/>
            <w:shd w:fill="FBEAEA" w:val="clear"/>
            <w:tcMar>
              <w:top w:type="dxa" w:w="140"/>
              <w:left w:type="dxa" w:w="180"/>
              <w:bottom w:type="dxa" w:w="140"/>
              <w:right w:type="dxa" w:w="180"/>
            </w:tcMar>
          </w:tcPr>
          <w:p>
            <w:pPr>
              <w:spacing w:after="80"/>
            </w:pPr>
            <w:r>
              <w:rPr>
                <w:b/>
                <w:bCs/>
                <w:color w:val="9C2B2B"/>
                <w:sz w:val="21"/>
                <w:szCs w:val="21"/>
              </w:rPr>
              <w:t xml:space="preserve">COMMON CODING MYTHS</w:t>
            </w:r>
          </w:p>
          <w:p>
            <w:pPr>
              <w:spacing w:after="60"/>
            </w:pPr>
            <w:r>
              <w:rPr>
                <w:b/>
                <w:bCs/>
                <w:color w:val="9C2B2B"/>
                <w:sz w:val="21"/>
                <w:szCs w:val="21"/>
              </w:rPr>
              <w:t xml:space="preserve">MYTH: </w:t>
            </w:r>
            <w:r>
              <w:rPr>
                <w:i/>
                <w:iCs/>
                <w:sz w:val="21"/>
                <w:szCs w:val="21"/>
              </w:rPr>
              <w:t xml:space="preserve">A supportive conversation during a medication management visit can be billed as an add-on psychotherapy code if the visit ran long.</w:t>
            </w:r>
          </w:p>
          <w:p>
            <w:pPr>
              <w:spacing w:after="60"/>
            </w:pPr>
            <w:r>
              <w:rPr>
                <w:b/>
                <w:bCs/>
                <w:color w:val="1F3864"/>
                <w:sz w:val="21"/>
                <w:szCs w:val="21"/>
              </w:rPr>
              <w:t xml:space="preserve">REALITY: </w:t>
            </w:r>
            <w:r>
              <w:rPr>
                <w:sz w:val="21"/>
                <w:szCs w:val="21"/>
              </w:rPr>
              <w:t xml:space="preserve">Length alone does not create a separate psychotherapy service. The add-on codes (90833/90836/90838) require a distinct, identifiable psychotherapeutic intervention meeting Rule PT-6.2 — not simply extra minutes of supportive conversation folded into the medication management discussion, per Rule PT-6.5 below.</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Every Spravato or TMS visit should include an add-on psychotherapy code because the session is long.</w:t>
            </w:r>
          </w:p>
          <w:p>
            <w:pPr>
              <w:spacing w:after="60"/>
            </w:pPr>
            <w:r>
              <w:rPr>
                <w:b/>
                <w:bCs/>
                <w:color w:val="1F3864"/>
                <w:sz w:val="21"/>
                <w:szCs w:val="21"/>
              </w:rPr>
              <w:t xml:space="preserve">REALITY: </w:t>
            </w:r>
            <w:r>
              <w:rPr>
                <w:sz w:val="21"/>
                <w:szCs w:val="21"/>
              </w:rPr>
              <w:t xml:space="preserve">Spravato and TMS visits are governed by their own specific code sets and monitoring requirements (Chapters 9 and 10). Add-on psychotherapy codes require a genuine, separately identifiable psychotherapy service meeting Rule PT-6.2 furnished during that same encounter — monitoring time itself is not psychotherapy time.</w:t>
            </w:r>
          </w:p>
        </w:tc>
      </w:tr>
    </w:tbl>
    <w:p>
      <w:pPr>
        <w:spacing w:after="120"/>
      </w:pPr>
    </w:p>
    <w:p>
      <w:pPr>
        <w:pStyle w:val="Heading2"/>
        <w:spacing w:after="160" w:before="360"/>
      </w:pPr>
      <w:r>
        <w:rPr>
          <w:b/>
          <w:bCs/>
          <w:color w:val="2E5A88"/>
          <w:sz w:val="26"/>
          <w:szCs w:val="26"/>
        </w:rPr>
        <w:t xml:space="preserve">6.5 Psychotherapy Furnished With E/M on the Same Date</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PT-6.5  —  Distinct Time Requirement for Add-On Psychotherapy</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psychotherapy add-on code guidelines (90833, 90836, 90838).</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Prevents the same minutes of a single encounter from being counted twice — once toward the E/M level and again toward a psychotherapy add-on — which would misrepresent the total clinical work performed.</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When psychotherapy is billed as an add-on to E/M on the same date, the E/M service and the psychotherapy service must each be separately identifiable, and the time counted toward the E/M level (if using the time path) must be distinct from, and must not include, the time counted toward the psychotherapy add-on. If the E/M service is coded by MDM rather than time, this overlap concern is reduced but the two components of the note must still be independently documented as distinct services.</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A visit including 15 minutes of medication management (MDM-based E/M, no time claimed) followed by 30 minutes of structured CBT for panic disorder, with each component separately documented per its own content requirements, correctly supports an E/M code (MDM path) plus 90833. A visit where the same 15 minutes of conversation is used to justify both the E/M level (via a time statement) and a psychotherapy add-on does not — that is double-counting the same minutes.</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both an E/M code and a psychotherapy add-on code are present THEN verify (a) each has its own content — E/M has MDM elements or E/M-specific time language distinct from the therapy description, and psychotherapy has the Rule PT-6.2 elements — and (b) if E/M time is stated, confirm it does not include or overlap with the stated psychotherapy time. IF the note describes a single undifferentiated block of time or conversation used to support both codes THEN flag as a double-counting risk.</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COMMON DOCUMENTATION FAILURES</w:t>
            </w:r>
          </w:p>
          <w:p>
            <w:pPr>
              <w:spacing w:after="0" w:line="264"/>
              <w:jc w:val="both"/>
            </w:pPr>
            <w:r>
              <w:rPr>
                <w:sz w:val="21"/>
                <w:szCs w:val="21"/>
              </w:rPr>
              <w:t xml:space="preserve">Note states ‘50 minute visit’ as a single undifferentiated time figure, then bills both a time-based E/M level and a 45-minute psychotherapy add-on off that same 50 minutes, which cannot mathematically support both without an explanation of how the time was divided.</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Structure combined E/M + psychotherapy notes with clearly separated headers — a medication management section (MDM elements or explicit E/M time) and a distinct psychotherapy section (modality, target, intervention, response, time) — so the two services are self-evidently separable on the page.</w:t>
            </w:r>
          </w:p>
        </w:tc>
      </w:tr>
    </w:tbl>
    <w:p>
      <w:pPr>
        <w:spacing w:after="120"/>
      </w:pPr>
    </w:p>
    <w:p>
      <w:pPr>
        <w:pStyle w:val="Heading2"/>
        <w:spacing w:after="160" w:before="360"/>
      </w:pPr>
      <w:r>
        <w:rPr>
          <w:b/>
          <w:bCs/>
          <w:color w:val="2E5A88"/>
          <w:sz w:val="26"/>
          <w:szCs w:val="26"/>
        </w:rPr>
        <w:t xml:space="preserve">6.6 Medical Necessity for Combined E/M + Psychotherapy Visits</w:t>
      </w:r>
    </w:p>
    <w:p>
      <w:pPr>
        <w:spacing w:after="160" w:line="276"/>
        <w:jc w:val="both"/>
      </w:pPr>
      <w:r>
        <w:rPr>
          <w:sz w:val="22"/>
          <w:szCs w:val="22"/>
        </w:rPr>
        <w:t xml:space="preserve">Payers scrutinize combined E/M + psychotherapy billing more heavily than either service billed alone, because the combination is more expensive per visit and is sometimes used as a default template regardless of whether formal psychotherapy was genuinely indicated that day. A visit's medical necessity for the psychotherapy component should be independently apparent — i.e., the note should make clear the patient had an active psychotherapy need addressed that day beyond routine medication follow-up, consistent with the standing medical necessity principle in Section 1.7.</w:t>
      </w:r>
    </w:p>
    <w:p>
      <w:pPr>
        <w:pStyle w:val="Heading2"/>
        <w:spacing w:after="160" w:before="360"/>
      </w:pPr>
      <w:r>
        <w:rPr>
          <w:b/>
          <w:bCs/>
          <w:color w:val="2E5A88"/>
          <w:sz w:val="26"/>
          <w:szCs w:val="26"/>
        </w:rPr>
        <w:t xml:space="preserve">6.7 AI Interpretation Logic — Psychotherapy Coding</w:t>
      </w:r>
    </w:p>
    <w:tbl>
      <w:tblPr>
        <w:tblW w:type="dxa" w:w="9360"/>
        <w:tblBorders>
          <w:top w:val="single" w:color="1F3864" w:sz="4"/>
          <w:left w:val="single" w:color="1F3864" w:sz="4"/>
          <w:bottom w:val="single" w:color="1F3864" w:sz="4"/>
          <w:right w:val="single" w:color="1F3864"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1F3864"/>
                <w:sz w:val="21"/>
                <w:szCs w:val="21"/>
              </w:rPr>
              <w:t xml:space="preserve">AI DECISION LOGIC — PSYCHOTHERAPY CODING</w:t>
            </w:r>
          </w:p>
          <w:p>
            <w:pPr>
              <w:spacing w:after="60"/>
            </w:pPr>
            <w:r>
              <w:rPr>
                <w:sz w:val="21"/>
                <w:szCs w:val="21"/>
              </w:rPr>
              <w:t xml:space="preserve">STEP 1: IF a psychotherapy code (standalone or add-on) is billed, verify Rule PT-6.2 elements (modality, target, intervention, response, time) are all present. IF any element is missing, flag as insufficient regardless of code selected.</w:t>
            </w:r>
          </w:p>
          <w:p>
            <w:pPr>
              <w:spacing w:after="60"/>
            </w:pPr>
            <w:r>
              <w:rPr>
                <w:sz w:val="21"/>
                <w:szCs w:val="21"/>
              </w:rPr>
              <w:t xml:space="preserve">STEP 2: Match stated psychotherapy time to the Section 6.1 table to verify the code matches the documented time band.</w:t>
            </w:r>
          </w:p>
          <w:p>
            <w:pPr>
              <w:spacing w:after="60"/>
            </w:pPr>
            <w:r>
              <w:rPr>
                <w:sz w:val="21"/>
                <w:szCs w:val="21"/>
              </w:rPr>
              <w:t xml:space="preserve">STEP 3: IF billed as an add-on with a same-date E/M code, verify the two services are separately documented per Rule PT-6.5 and that any stated time figures do not overlap.</w:t>
            </w:r>
          </w:p>
          <w:p>
            <w:pPr>
              <w:spacing w:after="60"/>
            </w:pPr>
            <w:r>
              <w:rPr>
                <w:sz w:val="21"/>
                <w:szCs w:val="21"/>
              </w:rPr>
              <w:t xml:space="preserve">STEP 4: IF the note contains only a single undifferentiated time/content block supporting both codes, flag as a double-counting risk requiring provider clarification before submission.</w:t>
            </w:r>
          </w:p>
          <w:p>
            <w:pPr>
              <w:spacing w:after="60"/>
            </w:pPr>
            <w:r>
              <w:rPr>
                <w:sz w:val="21"/>
                <w:szCs w:val="21"/>
              </w:rPr>
              <w:t xml:space="preserve">STEP 5: Independently check that the psychotherapy component reflects a genuine, visit-specific clinical need (Section 6.6) rather than routine template language.</w:t>
            </w:r>
          </w:p>
        </w:tc>
      </w:tr>
    </w:tbl>
    <w:p>
      <w:pPr>
        <w:spacing w:after="120"/>
      </w:pPr>
    </w:p>
    <w:p>
      <w:pPr>
        <w:pStyle w:val="Heading2"/>
        <w:spacing w:after="160" w:before="360"/>
      </w:pPr>
      <w:r>
        <w:rPr>
          <w:b/>
          <w:bCs/>
          <w:color w:val="2E5A88"/>
          <w:sz w:val="26"/>
          <w:szCs w:val="26"/>
        </w:rPr>
        <w:t xml:space="preserve">6.8 Worked Examples</w:t>
      </w:r>
    </w:p>
    <w:tbl>
      <w:tblPr>
        <w:tblW w:type="dxa" w:w="9360"/>
        <w:tblBorders>
          <w:top w:val="single" w:color="2E5A88" w:sz="4"/>
          <w:left w:val="single" w:color="2E5A88" w:sz="4"/>
          <w:bottom w:val="single" w:color="2E5A88" w:sz="4"/>
          <w:right w:val="single" w:color="2E5A88"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2E5A88"/>
                <w:sz w:val="21"/>
                <w:szCs w:val="21"/>
              </w:rPr>
              <w:t xml:space="preserve">EXAMPLE A — STANDALONE PSYCHOTHERAPY, CORRECTLY DOCUMENTED</w:t>
            </w:r>
          </w:p>
          <w:p>
            <w:pPr>
              <w:spacing w:after="60"/>
            </w:pPr>
            <w:r>
              <w:rPr>
                <w:b/>
                <w:bCs/>
                <w:i/>
                <w:iCs/>
                <w:sz w:val="21"/>
                <w:szCs w:val="21"/>
              </w:rPr>
              <w:t xml:space="preserve">Note excerpt: </w:t>
            </w:r>
            <w:r>
              <w:rPr>
                <w:i/>
                <w:iCs/>
                <w:sz w:val="21"/>
                <w:szCs w:val="21"/>
              </w:rPr>
              <w:t xml:space="preserve">‘45-minute individual psychotherapy session. Utilized exposure-based CBT techniques targeting agoraphobic avoidance. Patient completed in-session imaginal exposure exercise related to grocery store avoidance; reported moderate anxiety (SUDS 6/10) that decreased to 3/10 by end of exercise. Assigned in-vivo exposure homework for the coming week. Time: 45 minutes face-to-face.’</w:t>
            </w:r>
          </w:p>
          <w:p>
            <w:pPr>
              <w:spacing w:after="60"/>
            </w:pPr>
            <w:r>
              <w:rPr>
                <w:sz w:val="21"/>
                <w:szCs w:val="21"/>
              </w:rPr>
              <w:t xml:space="default"/>
            </w:r>
          </w:p>
        </w:tc>
      </w:tr>
    </w:tbl>
    <w:tbl>
      <w:tblPr>
        <w:tblW w:type="dxa" w:w="9360"/>
        <w:tblBorders>
          <w:top w:val="single" w:color="2E5A88" w:sz="4"/>
          <w:left w:val="single" w:color="2E5A88" w:sz="4"/>
          <w:bottom w:val="single" w:color="2E5A88" w:sz="4"/>
          <w:right w:val="single" w:color="2E5A88"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2E5A88"/>
                <w:sz w:val="21"/>
                <w:szCs w:val="21"/>
              </w:rPr>
              <w:t xml:space="preserve">EXAMPLE B — COMBINED E/M + PSYCHOTHERAPY, CORRECTLY SEPARATED</w:t>
            </w:r>
          </w:p>
          <w:p>
            <w:pPr>
              <w:spacing w:after="60"/>
            </w:pPr>
            <w:r>
              <w:rPr>
                <w:b/>
                <w:bCs/>
                <w:i/>
                <w:iCs/>
                <w:sz w:val="21"/>
                <w:szCs w:val="21"/>
              </w:rPr>
              <w:t xml:space="preserve">Note excerpt: </w:t>
            </w:r>
            <w:r>
              <w:rPr>
                <w:i/>
                <w:iCs/>
                <w:sz w:val="21"/>
                <w:szCs w:val="21"/>
              </w:rPr>
              <w:t xml:space="preserve">Medication Management: ‘MDD, PHQ-9 7 (stable), continue sertraline 100mg, no side effects, tolerating well.’ [MDM: Low–Moderate, no time claimed.] Psychotherapy (30 min): ‘Utilized motivational interviewing to address patient’s ambivalence about resuming structured exercise as an adjunct to depression management; explored patient’s stated values around health and family; patient identified one concrete step (10-minute daily walk) to try before next visit. Time: 30 minutes face-to-face, separate from medication management discussion above.’</w:t>
            </w:r>
          </w:p>
          <w:p>
            <w:pPr>
              <w:spacing w:after="60"/>
            </w:pPr>
            <w:r>
              <w:rPr>
                <w:sz w:val="21"/>
                <w:szCs w:val="21"/>
              </w:rPr>
              <w:t xml:space="default"/>
            </w:r>
          </w:p>
        </w:tc>
      </w:tr>
    </w:tbl>
    <w:tbl>
      <w:tblPr>
        <w:tblW w:type="dxa" w:w="9360"/>
        <w:tblBorders>
          <w:top w:val="single" w:color="9C6B14" w:sz="4"/>
          <w:left w:val="single" w:color="9C6B14" w:sz="4"/>
          <w:bottom w:val="single" w:color="9C6B14" w:sz="4"/>
          <w:right w:val="single" w:color="9C6B14" w:sz="4"/>
          <w:insideH w:val="none" w:color="FFFFFF" w:sz="0"/>
          <w:insideV w:val="none" w:color="FFFFFF" w:sz="0"/>
        </w:tblBorders>
      </w:tblPr>
      <w:tblGrid>
        <w:gridCol w:w="9360"/>
      </w:tblGrid>
      <w:tr>
        <w:tc>
          <w:tcPr>
            <w:tcW w:type="dxa" w:w="9360"/>
            <w:shd w:fill="FBF3E3" w:val="clear"/>
            <w:tcMar>
              <w:top w:type="dxa" w:w="140"/>
              <w:left w:type="dxa" w:w="180"/>
              <w:bottom w:type="dxa" w:w="140"/>
              <w:right w:type="dxa" w:w="180"/>
            </w:tcMar>
          </w:tcPr>
          <w:p>
            <w:pPr>
              <w:spacing w:after="80"/>
            </w:pPr>
            <w:r>
              <w:rPr>
                <w:b/>
                <w:bCs/>
                <w:color w:val="9C6B14"/>
                <w:sz w:val="21"/>
                <w:szCs w:val="21"/>
              </w:rPr>
              <w:t xml:space="preserve">EXAMPLE C — UNDIFFERENTIATED TIME (FLAG)</w:t>
            </w:r>
          </w:p>
          <w:p>
            <w:pPr>
              <w:spacing w:after="60"/>
            </w:pPr>
            <w:r>
              <w:rPr>
                <w:b/>
                <w:bCs/>
                <w:i/>
                <w:iCs/>
                <w:sz w:val="21"/>
                <w:szCs w:val="21"/>
              </w:rPr>
              <w:t xml:space="preserve">Note excerpt: </w:t>
            </w:r>
            <w:r>
              <w:rPr>
                <w:i/>
                <w:iCs/>
                <w:sz w:val="21"/>
                <w:szCs w:val="21"/>
              </w:rPr>
              <w:t xml:space="preserve">‘40 minute visit today. Discussed medication and talked through some of the patient’s stress at work.’ Billed as 99214 (time-based) + 90833.</w:t>
            </w:r>
          </w:p>
          <w:p>
            <w:pPr>
              <w:spacing w:after="60"/>
            </w:pPr>
            <w:r>
              <w:rPr>
                <w:sz w:val="21"/>
                <w:szCs w:val="21"/>
              </w:rPr>
              <w:t xml:space="default"/>
            </w:r>
          </w:p>
        </w:tc>
      </w:tr>
    </w:tbl>
    <w:p>
      <w:r>
        <w:br w:type="page"/>
      </w:r>
    </w:p>
    <w:p>
      <w:pPr>
        <w:pStyle w:val="Heading1"/>
        <w:pBdr>
          <w:bottom w:val="single" w:color="1F3864" w:sz="12" w:space="4"/>
        </w:pBdr>
        <w:spacing w:after="240" w:before="480"/>
      </w:pPr>
      <w:r>
        <w:rPr>
          <w:b/>
          <w:bCs/>
          <w:color w:val="1F3864"/>
          <w:sz w:val="32"/>
          <w:szCs w:val="32"/>
        </w:rPr>
        <w:t xml:space="preserve">Chapter 7 — Controlled Substance Prescribing Documentation</w:t>
      </w:r>
    </w:p>
    <w:p>
      <w:pPr>
        <w:pStyle w:val="Heading2"/>
        <w:spacing w:after="160" w:before="360"/>
      </w:pPr>
      <w:r>
        <w:rPr>
          <w:b/>
          <w:bCs/>
          <w:color w:val="2E5A88"/>
          <w:sz w:val="26"/>
          <w:szCs w:val="26"/>
        </w:rPr>
        <w:t xml:space="preserve">7.1 Why This Chapter Exists Separately From Chapter 4</w:t>
      </w:r>
    </w:p>
    <w:p>
      <w:pPr>
        <w:spacing w:after="160" w:line="276"/>
        <w:jc w:val="both"/>
      </w:pPr>
      <w:r>
        <w:rPr>
          <w:sz w:val="22"/>
          <w:szCs w:val="22"/>
        </w:rPr>
        <w:t xml:space="preserve">Chapter 4 established that controlled substance prescribing qualifies for Moderate MDM risk on the same terms as any other prescription drug management (Rule RK-4.2, Rule RK-4.3). This chapter does not change that MDM analysis. Instead, it addresses a </w:t>
      </w:r>
      <w:r>
        <w:rPr>
          <w:b/>
          <w:bCs/>
          <w:sz w:val="22"/>
          <w:szCs w:val="22"/>
        </w:rPr>
        <w:t xml:space="preserve">separate compliance layer</w:t>
      </w:r>
      <w:r>
        <w:rPr>
          <w:sz w:val="22"/>
          <w:szCs w:val="22"/>
        </w:rPr>
        <w:t xml:space="preserve"> that sits alongside MDM: DEA prescribing obligations, state Prescription Drug Monitoring Program (PDMP) requirements, and payer utilization-management documentation expectations, all of which apply regardless of which MDM tier the visit ultimately lands in. In outpatient psychiatry, stimulants (Schedule II) and benzodiazepines (Schedule IV) are the two drug classes responsible for the large majority of controlled-substance-related audit findings, and this chapter treats them separately given their distinct risk profiles.</w:t>
      </w:r>
    </w:p>
    <w:p>
      <w:pPr>
        <w:pStyle w:val="Heading2"/>
        <w:spacing w:after="160" w:before="360"/>
      </w:pPr>
      <w:r>
        <w:rPr>
          <w:b/>
          <w:bCs/>
          <w:color w:val="2E5A88"/>
          <w:sz w:val="26"/>
          <w:szCs w:val="26"/>
        </w:rPr>
        <w:t xml:space="preserve">7.2 Stimulants: Schedule II Documentation Standards</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CS-7.2  —  Stimulant Prescribing Documentation</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21 CFR Part 1306 (DEA prescribing requirements for Schedule II substances); Texas State Board of Pharmacy PDMP mandate; AMA CPT for MDM risk classification (cross-reference Rule RK-4.3).</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Ensures stimulant prescribing reflects an active, ongoing clinical assessment of both efficacy and misuse risk, consistent with the elevated regulatory scrutiny Schedule II substances receive from DEA, state pharmacy boards, and payers.</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Each new stimulant prescription or dose increase should document the diagnostic basis for treatment (or reference to the established diagnosis for an existing patient), the functional impairment being targeted, current symptom control, any side effects (appetite, sleep, cardiovascular symptoms, mood), and a misuse-risk check appropriate to the visit (PDMP review for new prescriptions or dose changes at minimum; absence of red-flag behaviors such as early refill requests or reports of lost prescriptions).</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‘ADHD, inattentive subtype, functional impairment reflected in ongoing workplace performance concerns per patient report. ASRS not re-administered this visit (last administered 4 months ago, score consistent with current presentation). Currently well-controlled on lisdexamfetamine 40mg, no appetite suppression, no cardiovascular symptoms, sleep unaffected. PDMP reviewed today: no other controlled substance prescriptions from other providers, no early refill pattern. Continue current dose.’ is a complete stimulant continuation note.</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a stimulant is newly prescribed or dose-adjusted THEN require PDMP-check language and a side-effect/tolerability statement before treating the note as fully compliant. IF a stimulant is continued unchanged, require at minimum a tolerability/efficacy statement; PDMP re-check cadence follows Trimera's internal interval policy (Section 7.4) rather than requiring it at every single visit.</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COMMON DOCUMENTATION FAILURES</w:t>
            </w:r>
          </w:p>
          <w:p>
            <w:pPr>
              <w:spacing w:after="0" w:line="264"/>
              <w:jc w:val="both"/>
            </w:pPr>
            <w:r>
              <w:rPr>
                <w:sz w:val="21"/>
                <w:szCs w:val="21"/>
              </w:rPr>
              <w:t xml:space="preserve">Stimulant refills processed via portal message or brief phone call with no corresponding visit note addressing tolerability, efficacy, or misuse risk — common in practices under volume pressure, and one of the most frequently cited findings in payer stimulant utilization audits.</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COMMON AUDIT FINDINGS</w:t>
            </w:r>
          </w:p>
          <w:p>
            <w:pPr>
              <w:spacing w:after="0" w:line="264"/>
              <w:jc w:val="both"/>
            </w:pPr>
            <w:r>
              <w:rPr>
                <w:sz w:val="21"/>
                <w:szCs w:val="21"/>
              </w:rPr>
              <w:t xml:space="preserve">UHC/Optum and other commercial payers have increasingly required chart documentation of functional impairment and misuse-risk assessment as a condition of continued stimulant authorization, particularly for adult ADHD, reflecting broader industry scrutiny of adult stimulant prescribing volumes.</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Maintain a running annual cadence of at least one PDMP check per patient per year for stable continuations, with a PDMP check at every new prescription or dose increase, and document the check explicitly by date each time it occurs.</w:t>
            </w:r>
          </w:p>
        </w:tc>
      </w:tr>
    </w:tbl>
    <w:p>
      <w:pPr>
        <w:spacing w:after="120"/>
      </w:pPr>
    </w:p>
    <w:p>
      <w:pPr>
        <w:pStyle w:val="Heading2"/>
        <w:spacing w:after="160" w:before="360"/>
      </w:pPr>
      <w:r>
        <w:rPr>
          <w:b/>
          <w:bCs/>
          <w:color w:val="2E5A88"/>
          <w:sz w:val="26"/>
          <w:szCs w:val="26"/>
        </w:rPr>
        <w:t xml:space="preserve">7.3 Benzodiazepines: Documentation for Ongoing Use</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CS-7.3  —  Benzodiazepine Prescribing Documentation</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21 CFR Part 1306; Texas PDMP mandate; American Geriatrics Society Beers Criteria (for patients 65+); AMA CPT for MDM risk classification.</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Addresses the well-established dependence, sedation, and (in combination with opioids or in older adults) mortality risk associated with benzodiazepines, which warrants an explicit ongoing risk-benefit rationale beyond the routine prescription drug management documentation.</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Ongoing benzodiazepine prescribing should document the clinical indication, an assessment of continued necessity versus taper candidacy at a clinically appropriate interval, absence of concurrent opioid prescribing (or an explicit risk-benefit discussion if concurrent prescribing exists), and, for patients 65 or older, an explicit acknowledgment of the elevated risk profile consistent with the Beers Criteria and the resulting rationale for continued use.</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‘GAD, longstanding, clonazepam 0.5mg BID ongoing for 3 years. Discussed taper candidacy today; patient reports significant functional impairment with prior taper attempts, prefers to continue at current stable dose. No concurrent opioid prescriptions per PDMP review today. Continue current dose, will revisit taper discussion at next annual review.’ documents an active, current risk-benefit assessment rather than passive continuation.</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a benzodiazepine is being continued long-term (generally interpreted as beyond 4–6 weeks of continuous use, consistent with general psychiatric prescribing norms) THEN require evidence of periodic taper-candidacy discussion (at minimum annually) and PDMP-based confirmation of no concurrent opioid prescribing, or an explicit risk discussion if one exists.</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COMMON DOCUMENTATION FAILURES</w:t>
            </w:r>
          </w:p>
          <w:p>
            <w:pPr>
              <w:spacing w:after="0" w:line="264"/>
              <w:jc w:val="both"/>
            </w:pPr>
            <w:r>
              <w:rPr>
                <w:sz w:val="21"/>
                <w:szCs w:val="21"/>
              </w:rPr>
              <w:t xml:space="preserve">Long-term benzodiazepine continuation notes that repeat identical boilerplate language visit after visit with no evidence the taper question was genuinely revisited at the required interval.</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Calendar an explicit annual taper-candidacy discussion for every patient on long-term benzodiazepine therapy, documented as its own line even when the outcome is continuation, and screen for concurrent opioid prescribing via PDMP at every new prescription or refill following a gap in care.</w:t>
            </w:r>
          </w:p>
        </w:tc>
      </w:tr>
    </w:tbl>
    <w:p>
      <w:pPr>
        <w:spacing w:after="120"/>
      </w:pPr>
    </w:p>
    <w:p>
      <w:pPr>
        <w:pStyle w:val="Heading2"/>
        <w:spacing w:after="160" w:before="360"/>
      </w:pPr>
      <w:r>
        <w:rPr>
          <w:b/>
          <w:bCs/>
          <w:color w:val="2E5A88"/>
          <w:sz w:val="26"/>
          <w:szCs w:val="26"/>
        </w:rPr>
        <w:t xml:space="preserve">7.4 PDMP Check Cadence — Trimera Standard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700"/>
        <w:gridCol w:w="4660"/>
      </w:tblGrid>
      <w:tr>
        <w:trPr>
          <w:tblHeader/>
        </w:trPr>
        <w:tc>
          <w:tcPr>
            <w:tcW w:type="dxa" w:w="4700"/>
            <w:shd w:fill="1F3864" w:val="clear"/>
            <w:tcMar>
              <w:top w:type="dxa" w:w="80"/>
              <w:left w:type="dxa" w:w="120"/>
              <w:bottom w:type="dxa" w:w="80"/>
              <w:right w:type="dxa" w:w="120"/>
            </w:tcMar>
          </w:tcPr>
          <w:p>
            <w:r>
              <w:rPr>
                <w:b/>
                <w:bCs/>
                <w:color w:val="FFFFFF"/>
                <w:sz w:val="20"/>
                <w:szCs w:val="20"/>
              </w:rPr>
              <w:t xml:space="preserve">Scenario</w:t>
            </w:r>
          </w:p>
        </w:tc>
        <w:tc>
          <w:tcPr>
            <w:tcW w:type="dxa" w:w="4660"/>
            <w:shd w:fill="1F3864" w:val="clear"/>
            <w:tcMar>
              <w:top w:type="dxa" w:w="80"/>
              <w:left w:type="dxa" w:w="120"/>
              <w:bottom w:type="dxa" w:w="80"/>
              <w:right w:type="dxa" w:w="120"/>
            </w:tcMar>
          </w:tcPr>
          <w:p>
            <w:r>
              <w:rPr>
                <w:b/>
                <w:bCs/>
                <w:color w:val="FFFFFF"/>
                <w:sz w:val="20"/>
                <w:szCs w:val="20"/>
              </w:rPr>
              <w:t xml:space="preserve">Minimum PDMP Check Cadence</w:t>
            </w:r>
          </w:p>
        </w:tc>
      </w:tr>
      <w:tr>
        <w:tc>
          <w:tcPr>
            <w:tcW w:type="dxa" w:w="4700"/>
            <w:shd w:fill="FFFFFF" w:val="clear"/>
            <w:tcMar>
              <w:top w:type="dxa" w:w="80"/>
              <w:left w:type="dxa" w:w="120"/>
              <w:bottom w:type="dxa" w:w="80"/>
              <w:right w:type="dxa" w:w="120"/>
            </w:tcMar>
          </w:tcPr>
          <w:p>
            <w:r>
              <w:rPr>
                <w:sz w:val="20"/>
                <w:szCs w:val="20"/>
              </w:rPr>
              <w:t xml:space="preserve">New controlled substance prescription (any schedule)</w:t>
            </w:r>
          </w:p>
        </w:tc>
        <w:tc>
          <w:tcPr>
            <w:tcW w:type="dxa" w:w="4660"/>
            <w:shd w:fill="FFFFFF" w:val="clear"/>
            <w:tcMar>
              <w:top w:type="dxa" w:w="80"/>
              <w:left w:type="dxa" w:w="120"/>
              <w:bottom w:type="dxa" w:w="80"/>
              <w:right w:type="dxa" w:w="120"/>
            </w:tcMar>
          </w:tcPr>
          <w:p>
            <w:r>
              <w:rPr>
                <w:sz w:val="20"/>
                <w:szCs w:val="20"/>
              </w:rPr>
              <w:t xml:space="preserve">At time of prescribing, same visit</w:t>
            </w:r>
          </w:p>
        </w:tc>
      </w:tr>
      <w:tr>
        <w:tc>
          <w:tcPr>
            <w:tcW w:type="dxa" w:w="4700"/>
            <w:shd w:fill="F2F2F2" w:val="clear"/>
            <w:tcMar>
              <w:top w:type="dxa" w:w="80"/>
              <w:left w:type="dxa" w:w="120"/>
              <w:bottom w:type="dxa" w:w="80"/>
              <w:right w:type="dxa" w:w="120"/>
            </w:tcMar>
          </w:tcPr>
          <w:p>
            <w:r>
              <w:rPr>
                <w:sz w:val="20"/>
                <w:szCs w:val="20"/>
              </w:rPr>
              <w:t xml:space="preserve">Dose increase</w:t>
            </w:r>
          </w:p>
        </w:tc>
        <w:tc>
          <w:tcPr>
            <w:tcW w:type="dxa" w:w="4660"/>
            <w:shd w:fill="F2F2F2" w:val="clear"/>
            <w:tcMar>
              <w:top w:type="dxa" w:w="80"/>
              <w:left w:type="dxa" w:w="120"/>
              <w:bottom w:type="dxa" w:w="80"/>
              <w:right w:type="dxa" w:w="120"/>
            </w:tcMar>
          </w:tcPr>
          <w:p>
            <w:r>
              <w:rPr>
                <w:sz w:val="20"/>
                <w:szCs w:val="20"/>
              </w:rPr>
              <w:t xml:space="preserve">At time of dose increase</w:t>
            </w:r>
          </w:p>
        </w:tc>
      </w:tr>
      <w:tr>
        <w:tc>
          <w:tcPr>
            <w:tcW w:type="dxa" w:w="4700"/>
            <w:shd w:fill="FFFFFF" w:val="clear"/>
            <w:tcMar>
              <w:top w:type="dxa" w:w="80"/>
              <w:left w:type="dxa" w:w="120"/>
              <w:bottom w:type="dxa" w:w="80"/>
              <w:right w:type="dxa" w:w="120"/>
            </w:tcMar>
          </w:tcPr>
          <w:p>
            <w:r>
              <w:rPr>
                <w:sz w:val="20"/>
                <w:szCs w:val="20"/>
              </w:rPr>
              <w:t xml:space="preserve">Stable continuation, Schedule II (stimulants)</w:t>
            </w:r>
          </w:p>
        </w:tc>
        <w:tc>
          <w:tcPr>
            <w:tcW w:type="dxa" w:w="4660"/>
            <w:shd w:fill="FFFFFF" w:val="clear"/>
            <w:tcMar>
              <w:top w:type="dxa" w:w="80"/>
              <w:left w:type="dxa" w:w="120"/>
              <w:bottom w:type="dxa" w:w="80"/>
              <w:right w:type="dxa" w:w="120"/>
            </w:tcMar>
          </w:tcPr>
          <w:p>
            <w:r>
              <w:rPr>
                <w:sz w:val="20"/>
                <w:szCs w:val="20"/>
              </w:rPr>
              <w:t xml:space="preserve">At least annually, and at any visit where misuse-risk concerns arise</w:t>
            </w:r>
          </w:p>
        </w:tc>
      </w:tr>
      <w:tr>
        <w:tc>
          <w:tcPr>
            <w:tcW w:type="dxa" w:w="4700"/>
            <w:shd w:fill="F2F2F2" w:val="clear"/>
            <w:tcMar>
              <w:top w:type="dxa" w:w="80"/>
              <w:left w:type="dxa" w:w="120"/>
              <w:bottom w:type="dxa" w:w="80"/>
              <w:right w:type="dxa" w:w="120"/>
            </w:tcMar>
          </w:tcPr>
          <w:p>
            <w:r>
              <w:rPr>
                <w:sz w:val="20"/>
                <w:szCs w:val="20"/>
              </w:rPr>
              <w:t xml:space="preserve">Stable continuation, Schedule IV (benzodiazepines)</w:t>
            </w:r>
          </w:p>
        </w:tc>
        <w:tc>
          <w:tcPr>
            <w:tcW w:type="dxa" w:w="4660"/>
            <w:shd w:fill="F2F2F2" w:val="clear"/>
            <w:tcMar>
              <w:top w:type="dxa" w:w="80"/>
              <w:left w:type="dxa" w:w="120"/>
              <w:bottom w:type="dxa" w:w="80"/>
              <w:right w:type="dxa" w:w="120"/>
            </w:tcMar>
          </w:tcPr>
          <w:p>
            <w:r>
              <w:rPr>
                <w:sz w:val="20"/>
                <w:szCs w:val="20"/>
              </w:rPr>
              <w:t xml:space="preserve">At least annually, and before any refill following a gap in care of 60+ days</w:t>
            </w:r>
          </w:p>
        </w:tc>
      </w:tr>
      <w:tr>
        <w:tc>
          <w:tcPr>
            <w:tcW w:type="dxa" w:w="4700"/>
            <w:shd w:fill="FFFFFF" w:val="clear"/>
            <w:tcMar>
              <w:top w:type="dxa" w:w="80"/>
              <w:left w:type="dxa" w:w="120"/>
              <w:bottom w:type="dxa" w:w="80"/>
              <w:right w:type="dxa" w:w="120"/>
            </w:tcMar>
          </w:tcPr>
          <w:p>
            <w:r>
              <w:rPr>
                <w:sz w:val="20"/>
                <w:szCs w:val="20"/>
              </w:rPr>
              <w:t xml:space="preserve">Any visit with a red-flag indicator (early refill request, reported lost/stolen prescription, patient-reported use inconsistent with prescribed regimen)</w:t>
            </w:r>
          </w:p>
        </w:tc>
        <w:tc>
          <w:tcPr>
            <w:tcW w:type="dxa" w:w="4660"/>
            <w:shd w:fill="FFFFFF" w:val="clear"/>
            <w:tcMar>
              <w:top w:type="dxa" w:w="80"/>
              <w:left w:type="dxa" w:w="120"/>
              <w:bottom w:type="dxa" w:w="80"/>
              <w:right w:type="dxa" w:w="120"/>
            </w:tcMar>
          </w:tcPr>
          <w:p>
            <w:r>
              <w:rPr>
                <w:sz w:val="20"/>
                <w:szCs w:val="20"/>
              </w:rPr>
              <w:t xml:space="preserve">Same visit, regardless of when the last check occurred</w:t>
            </w:r>
          </w:p>
        </w:tc>
      </w:tr>
    </w:tbl>
    <w:p>
      <w:pPr>
        <w:spacing w:after="120"/>
      </w:pPr>
    </w:p>
    <w:p>
      <w:pPr>
        <w:pStyle w:val="Heading2"/>
        <w:spacing w:after="160" w:before="360"/>
      </w:pPr>
      <w:r>
        <w:rPr>
          <w:b/>
          <w:bCs/>
          <w:color w:val="2E5A88"/>
          <w:sz w:val="26"/>
          <w:szCs w:val="26"/>
        </w:rPr>
        <w:t xml:space="preserve">7.5 Common Coding Myths — Controlled Substances</w:t>
      </w:r>
    </w:p>
    <w:tbl>
      <w:tblPr>
        <w:tblW w:type="dxa" w:w="9360"/>
        <w:tblBorders>
          <w:top w:val="single" w:color="9C2B2B" w:sz="4"/>
          <w:left w:val="single" w:color="9C2B2B" w:sz="4"/>
          <w:bottom w:val="single" w:color="9C2B2B" w:sz="4"/>
          <w:right w:val="single" w:color="9C2B2B" w:sz="4"/>
          <w:insideH w:val="none" w:color="FFFFFF" w:sz="0"/>
          <w:insideV w:val="none" w:color="FFFFFF" w:sz="0"/>
        </w:tblBorders>
      </w:tblPr>
      <w:tblGrid>
        <w:gridCol w:w="9360"/>
      </w:tblGrid>
      <w:tr>
        <w:tc>
          <w:tcPr>
            <w:tcW w:type="dxa" w:w="9360"/>
            <w:shd w:fill="FBEAEA" w:val="clear"/>
            <w:tcMar>
              <w:top w:type="dxa" w:w="140"/>
              <w:left w:type="dxa" w:w="180"/>
              <w:bottom w:type="dxa" w:w="140"/>
              <w:right w:type="dxa" w:w="180"/>
            </w:tcMar>
          </w:tcPr>
          <w:p>
            <w:pPr>
              <w:spacing w:after="80"/>
            </w:pPr>
            <w:r>
              <w:rPr>
                <w:b/>
                <w:bCs/>
                <w:color w:val="9C2B2B"/>
                <w:sz w:val="21"/>
                <w:szCs w:val="21"/>
              </w:rPr>
              <w:t xml:space="preserve">COMMON CODING MYTHS</w:t>
            </w:r>
          </w:p>
          <w:p>
            <w:pPr>
              <w:spacing w:after="60"/>
            </w:pPr>
            <w:r>
              <w:rPr>
                <w:b/>
                <w:bCs/>
                <w:color w:val="9C2B2B"/>
                <w:sz w:val="21"/>
                <w:szCs w:val="21"/>
              </w:rPr>
              <w:t xml:space="preserve">MYTH: </w:t>
            </w:r>
            <w:r>
              <w:rPr>
                <w:i/>
                <w:iCs/>
                <w:sz w:val="21"/>
                <w:szCs w:val="21"/>
              </w:rPr>
              <w:t xml:space="preserve">A controlled substance prescription automatically elevates MDM to High risk.</w:t>
            </w:r>
          </w:p>
          <w:p>
            <w:pPr>
              <w:spacing w:after="60"/>
            </w:pPr>
            <w:r>
              <w:rPr>
                <w:b/>
                <w:bCs/>
                <w:color w:val="1F3864"/>
                <w:sz w:val="21"/>
                <w:szCs w:val="21"/>
              </w:rPr>
              <w:t xml:space="preserve">REALITY: </w:t>
            </w:r>
            <w:r>
              <w:rPr>
                <w:sz w:val="21"/>
                <w:szCs w:val="21"/>
              </w:rPr>
              <w:t xml:space="preserve">As established in Rule RK-4.3, drug schedule alone does not change the MDM risk tier under CPT — standard prescription drug management remains Moderate risk. Compliance documentation requirements in this chapter are a separate, additional layer, not a change to the MDM analysis itself.</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Checking the PDMP once when a patient starts treatment is sufficient for the life of the prescription.</w:t>
            </w:r>
          </w:p>
          <w:p>
            <w:pPr>
              <w:spacing w:after="60"/>
            </w:pPr>
            <w:r>
              <w:rPr>
                <w:b/>
                <w:bCs/>
                <w:color w:val="1F3864"/>
                <w:sz w:val="21"/>
                <w:szCs w:val="21"/>
              </w:rPr>
              <w:t xml:space="preserve">REALITY: </w:t>
            </w:r>
            <w:r>
              <w:rPr>
                <w:sz w:val="21"/>
                <w:szCs w:val="21"/>
              </w:rPr>
              <w:t xml:space="preserve">Per Section 7.4, ongoing controlled substance therapy requires periodic re-checks, not a single check at treatment initiation, particularly for Schedule II stimulants and long-term benzodiazepine use.</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Refilling a stable stimulant prescription without an office visit, based on a portal message alone, is acceptable as long as the diagnosis is correct.</w:t>
            </w:r>
          </w:p>
          <w:p>
            <w:pPr>
              <w:spacing w:after="60"/>
            </w:pPr>
            <w:r>
              <w:rPr>
                <w:b/>
                <w:bCs/>
                <w:color w:val="1F3864"/>
                <w:sz w:val="21"/>
                <w:szCs w:val="21"/>
              </w:rPr>
              <w:t xml:space="preserve">REALITY: </w:t>
            </w:r>
            <w:r>
              <w:rPr>
                <w:sz w:val="21"/>
                <w:szCs w:val="21"/>
              </w:rPr>
              <w:t xml:space="preserve">Per Rule CS-7.2, ongoing stimulant management requires periodic reassessment of efficacy, tolerability, and misuse risk documented in an actual clinical encounter — an undocumented portal-based refill does not meet this standard and is a recurring audit finding.</w:t>
            </w:r>
          </w:p>
        </w:tc>
      </w:tr>
    </w:tbl>
    <w:p>
      <w:pPr>
        <w:spacing w:after="120"/>
      </w:pPr>
    </w:p>
    <w:p>
      <w:pPr>
        <w:pStyle w:val="Heading2"/>
        <w:spacing w:after="160" w:before="360"/>
      </w:pPr>
      <w:r>
        <w:rPr>
          <w:b/>
          <w:bCs/>
          <w:color w:val="2E5A88"/>
          <w:sz w:val="26"/>
          <w:szCs w:val="26"/>
        </w:rPr>
        <w:t xml:space="preserve">7.6 AI Interpretation Logic — Controlled Substance Documentation</w:t>
      </w:r>
    </w:p>
    <w:tbl>
      <w:tblPr>
        <w:tblW w:type="dxa" w:w="9360"/>
        <w:tblBorders>
          <w:top w:val="single" w:color="1F3864" w:sz="4"/>
          <w:left w:val="single" w:color="1F3864" w:sz="4"/>
          <w:bottom w:val="single" w:color="1F3864" w:sz="4"/>
          <w:right w:val="single" w:color="1F3864"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1F3864"/>
                <w:sz w:val="21"/>
                <w:szCs w:val="21"/>
              </w:rPr>
              <w:t xml:space="preserve">AI DECISION LOGIC — CONTROLLED SUBSTANCE DOCUMENTATION</w:t>
            </w:r>
          </w:p>
          <w:p>
            <w:pPr>
              <w:spacing w:after="60"/>
            </w:pPr>
            <w:r>
              <w:rPr>
                <w:sz w:val="21"/>
                <w:szCs w:val="21"/>
              </w:rPr>
              <w:t xml:space="preserve">STEP 1: Identify whether a controlled substance (any schedule) is being prescribed, adjusted, or continued at this encounter.</w:t>
            </w:r>
          </w:p>
          <w:p>
            <w:pPr>
              <w:spacing w:after="60"/>
            </w:pPr>
            <w:r>
              <w:rPr>
                <w:sz w:val="21"/>
                <w:szCs w:val="21"/>
              </w:rPr>
              <w:t xml:space="preserve">STEP 2: IF new prescription or dose change THEN require PDMP-check language and a side-effect/tolerability statement (Rule CS-7.2); flag as incomplete if either is absent.</w:t>
            </w:r>
          </w:p>
          <w:p>
            <w:pPr>
              <w:spacing w:after="60"/>
            </w:pPr>
            <w:r>
              <w:rPr>
                <w:sz w:val="21"/>
                <w:szCs w:val="21"/>
              </w:rPr>
              <w:t xml:space="preserve">STEP 3: IF stable continuation THEN check documented date of last PDMP review against the Section 7.4 cadence table for that drug schedule; flag if overdue.</w:t>
            </w:r>
          </w:p>
          <w:p>
            <w:pPr>
              <w:spacing w:after="60"/>
            </w:pPr>
            <w:r>
              <w:rPr>
                <w:sz w:val="21"/>
                <w:szCs w:val="21"/>
              </w:rPr>
              <w:t xml:space="preserve">STEP 4: IF benzodiazepine and long-term (per Rule CS-7.3) THEN check for an annual taper-candidacy discussion; flag if the most recent one is more than 12 months old or absent.</w:t>
            </w:r>
          </w:p>
          <w:p>
            <w:pPr>
              <w:spacing w:after="60"/>
            </w:pPr>
            <w:r>
              <w:rPr>
                <w:sz w:val="21"/>
                <w:szCs w:val="21"/>
              </w:rPr>
              <w:t xml:space="preserve">STEP 5: IF any red-flag indicator is mentioned in the note (early refill, reported loss, inconsistent use) THEN require same-visit PDMP documentation regardless of the routine cadence.</w:t>
            </w:r>
          </w:p>
          <w:p>
            <w:pPr>
              <w:spacing w:after="60"/>
            </w:pPr>
            <w:r>
              <w:rPr>
                <w:sz w:val="21"/>
                <w:szCs w:val="21"/>
              </w:rPr>
              <w:t xml:space="preserve">STEP 6: This chapter's findings are compliance flags layered on top of, not a replacement for, the MDM Risk determination made under Chapter 4.</w:t>
            </w:r>
          </w:p>
        </w:tc>
      </w:tr>
    </w:tbl>
    <w:p>
      <w:pPr>
        <w:spacing w:after="120"/>
      </w:pPr>
    </w:p>
    <w:p>
      <w:pPr>
        <w:pStyle w:val="Heading2"/>
        <w:spacing w:after="160" w:before="360"/>
      </w:pPr>
      <w:r>
        <w:rPr>
          <w:b/>
          <w:bCs/>
          <w:color w:val="2E5A88"/>
          <w:sz w:val="26"/>
          <w:szCs w:val="26"/>
        </w:rPr>
        <w:t xml:space="preserve">7.7 Worked Examples</w:t>
      </w:r>
    </w:p>
    <w:tbl>
      <w:tblPr>
        <w:tblW w:type="dxa" w:w="9360"/>
        <w:tblBorders>
          <w:top w:val="single" w:color="2E5A88" w:sz="4"/>
          <w:left w:val="single" w:color="2E5A88" w:sz="4"/>
          <w:bottom w:val="single" w:color="2E5A88" w:sz="4"/>
          <w:right w:val="single" w:color="2E5A88"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2E5A88"/>
                <w:sz w:val="21"/>
                <w:szCs w:val="21"/>
              </w:rPr>
              <w:t xml:space="preserve">EXAMPLE A — COMPLIANT NEW STIMULANT PRESCRIPTION</w:t>
            </w:r>
          </w:p>
          <w:p>
            <w:pPr>
              <w:spacing w:after="60"/>
            </w:pPr>
            <w:r>
              <w:rPr>
                <w:b/>
                <w:bCs/>
                <w:i/>
                <w:iCs/>
                <w:sz w:val="21"/>
                <w:szCs w:val="21"/>
              </w:rPr>
              <w:t xml:space="preserve">Note excerpt: </w:t>
            </w:r>
            <w:r>
              <w:rPr>
                <w:i/>
                <w:iCs/>
                <w:sz w:val="21"/>
                <w:szCs w:val="21"/>
              </w:rPr>
              <w:t xml:space="preserve">‘New patient, ADHD combined presentation, meets DSM-5 criteria per clinical interview and collateral history from spouse; functional impairment reflected in occupational performance concerns. PDMP reviewed today: no controlled substance history. Discussed risks/benefits of stimulant therapy including misuse potential, cardiovascular considerations (baseline BP 118/76, HR 72, no cardiac history), and appetite/sleep effects. Prescribing lisdexamfetamine 30mg, will reassess in 4 weeks.’</w:t>
            </w:r>
          </w:p>
          <w:p>
            <w:pPr>
              <w:spacing w:after="60"/>
            </w:pPr>
            <w:r>
              <w:rPr>
                <w:sz w:val="21"/>
                <w:szCs w:val="21"/>
              </w:rPr>
              <w:t xml:space="default"/>
            </w:r>
          </w:p>
        </w:tc>
      </w:tr>
    </w:tbl>
    <w:tbl>
      <w:tblPr>
        <w:tblW w:type="dxa" w:w="9360"/>
        <w:tblBorders>
          <w:top w:val="single" w:color="9C6B14" w:sz="4"/>
          <w:left w:val="single" w:color="9C6B14" w:sz="4"/>
          <w:bottom w:val="single" w:color="9C6B14" w:sz="4"/>
          <w:right w:val="single" w:color="9C6B14" w:sz="4"/>
          <w:insideH w:val="none" w:color="FFFFFF" w:sz="0"/>
          <w:insideV w:val="none" w:color="FFFFFF" w:sz="0"/>
        </w:tblBorders>
      </w:tblPr>
      <w:tblGrid>
        <w:gridCol w:w="9360"/>
      </w:tblGrid>
      <w:tr>
        <w:tc>
          <w:tcPr>
            <w:tcW w:type="dxa" w:w="9360"/>
            <w:shd w:fill="FBF3E3" w:val="clear"/>
            <w:tcMar>
              <w:top w:type="dxa" w:w="140"/>
              <w:left w:type="dxa" w:w="180"/>
              <w:bottom w:type="dxa" w:w="140"/>
              <w:right w:type="dxa" w:w="180"/>
            </w:tcMar>
          </w:tcPr>
          <w:p>
            <w:pPr>
              <w:spacing w:after="80"/>
            </w:pPr>
            <w:r>
              <w:rPr>
                <w:b/>
                <w:bCs/>
                <w:color w:val="9C6B14"/>
                <w:sz w:val="21"/>
                <w:szCs w:val="21"/>
              </w:rPr>
              <w:t xml:space="preserve">EXAMPLE B — NONCOMPLIANT REFILL (FLAG)</w:t>
            </w:r>
          </w:p>
          <w:p>
            <w:pPr>
              <w:spacing w:after="60"/>
            </w:pPr>
            <w:r>
              <w:rPr>
                <w:b/>
                <w:bCs/>
                <w:i/>
                <w:iCs/>
                <w:sz w:val="21"/>
                <w:szCs w:val="21"/>
              </w:rPr>
              <w:t xml:space="preserve">Note excerpt: </w:t>
            </w:r>
            <w:r>
              <w:rPr>
                <w:i/>
                <w:iCs/>
                <w:sz w:val="21"/>
                <w:szCs w:val="21"/>
              </w:rPr>
              <w:t xml:space="preserve">Portal message thread: ‘Patient requests refill of Adderall 20mg, sent to pharmacy.’ No visit note.</w:t>
            </w:r>
          </w:p>
          <w:p>
            <w:pPr>
              <w:spacing w:after="60"/>
            </w:pPr>
            <w:r>
              <w:rPr>
                <w:sz w:val="21"/>
                <w:szCs w:val="21"/>
              </w:rPr>
              <w:t xml:space="default"/>
            </w:r>
          </w:p>
        </w:tc>
      </w:tr>
    </w:tbl>
    <w:p>
      <w:r>
        <w:br w:type="page"/>
      </w:r>
    </w:p>
    <w:p>
      <w:pPr>
        <w:pStyle w:val="Heading1"/>
        <w:pBdr>
          <w:bottom w:val="single" w:color="1F3864" w:sz="12" w:space="4"/>
        </w:pBdr>
        <w:spacing w:after="240" w:before="480"/>
      </w:pPr>
      <w:r>
        <w:rPr>
          <w:b/>
          <w:bCs/>
          <w:color w:val="1F3864"/>
          <w:sz w:val="32"/>
          <w:szCs w:val="32"/>
        </w:rPr>
        <w:t xml:space="preserve">Chapter 8 — The G2211 Visit Complexity Add-On Code</w:t>
      </w:r>
    </w:p>
    <w:p>
      <w:pPr>
        <w:pStyle w:val="Heading2"/>
        <w:spacing w:after="160" w:before="360"/>
      </w:pPr>
      <w:r>
        <w:rPr>
          <w:b/>
          <w:bCs/>
          <w:color w:val="2E5A88"/>
          <w:sz w:val="26"/>
          <w:szCs w:val="26"/>
        </w:rPr>
        <w:t xml:space="preserve">8.1 What G2211 Is</w:t>
      </w:r>
    </w:p>
    <w:p>
      <w:pPr>
        <w:spacing w:after="160" w:line="276"/>
        <w:jc w:val="both"/>
      </w:pPr>
      <w:r>
        <w:rPr>
          <w:sz w:val="22"/>
          <w:szCs w:val="22"/>
        </w:rPr>
        <w:t xml:space="preserve">G2211 is a HCPCS Level II add-on code created by CMS — </w:t>
      </w:r>
      <w:r>
        <w:rPr>
          <w:b/>
          <w:bCs/>
          <w:sz w:val="22"/>
          <w:szCs w:val="22"/>
        </w:rPr>
        <w:t xml:space="preserve">it is not a CPT code</w:t>
      </w:r>
      <w:r>
        <w:rPr>
          <w:sz w:val="22"/>
          <w:szCs w:val="22"/>
        </w:rPr>
        <w:t xml:space="preserve">, though it is billed alongside CPT E/M codes. It was created to recognize the additional resource cost inherent in furnishing office/outpatient E/M visits as part of an ongoing, longitudinal care relationship, as opposed to a discrete, episodic visit for an isolated problem. Psychiatric medication management is one of the paradigm clinical scenarios CMS cited when creating this code, given the inherently longitudinal nature of ongoing psychiatric care.</w:t>
      </w:r>
    </w:p>
    <w:p>
      <w:pPr>
        <w:pStyle w:val="Heading2"/>
        <w:spacing w:after="160" w:before="360"/>
      </w:pPr>
      <w:r>
        <w:rPr>
          <w:b/>
          <w:bCs/>
          <w:color w:val="2E5A88"/>
          <w:sz w:val="26"/>
          <w:szCs w:val="26"/>
        </w:rPr>
        <w:t xml:space="preserve">8.2 Eligibility Criteria</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G2211-8.2  —  G2211 Eligibility</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CMS Medicare Physician Fee Schedule; HCPCS Level II code set.</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Compensates for the additional complexity of maintaining a continuous, comprehensive care relationship, which office/outpatient E/M codes alone do not fully capture.</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G2211 may be billed as an add-on to office/outpatient E/M codes (99202–99205, 99212–99215) when the visit reflects an ongoing, longitudinal relationship with the patient in which the billing provider is serving as a continuing focal point for the patient's care related to a single, serious, or complex condition — not for a visit addressing a discrete, isolated concern unrelated to an ongoing condition the provider manages over time.</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An established psychiatric patient seen for ongoing management of MDD or bipolar disorder, where the provider is the continuing point of contact for that condition over time, is a strong candidate for G2211. A one-off consultation visit with no expectation of ongoing management is not.</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the visit is an established-patient E/M for an ongoing condition the same provider has been managing over multiple visits THEN G2211 eligibility is plausible, subject to payer acceptance (Section 8.4). IF the visit is a new patient with no expectation of ongoing relationship, or addresses only a discrete, unrelated acute issue, THEN G2211 is not appropriate.</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COMMON DOCUMENTATION FAILURES</w:t>
            </w:r>
          </w:p>
          <w:p>
            <w:pPr>
              <w:spacing w:after="0" w:line="264"/>
              <w:jc w:val="both"/>
            </w:pPr>
            <w:r>
              <w:rPr>
                <w:sz w:val="21"/>
                <w:szCs w:val="21"/>
              </w:rPr>
              <w:t xml:space="preserve">G2211 billed on every single visit regardless of relationship context, without any documentation distinguishing longitudinal-relationship visits from isolated ones — CMS and payer guidance both caution against blanket application.</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For an ongoing psychiatric medication management relationship, a brief statement affirming the longitudinal nature of care (e.g., ‘continuing to manage this patient’s bipolar disorder as primary treating psychiatrist’) supports, though CPT/CMS do not strictly mandate, clear eligibility for this add-on.</w:t>
            </w:r>
          </w:p>
        </w:tc>
      </w:tr>
    </w:tbl>
    <w:p>
      <w:pPr>
        <w:spacing w:after="120"/>
      </w:pPr>
    </w:p>
    <w:p>
      <w:pPr>
        <w:pStyle w:val="Heading2"/>
        <w:spacing w:after="160" w:before="360"/>
      </w:pPr>
      <w:r>
        <w:rPr>
          <w:b/>
          <w:bCs/>
          <w:color w:val="2E5A88"/>
          <w:sz w:val="26"/>
          <w:szCs w:val="26"/>
        </w:rPr>
        <w:t xml:space="preserve">8.3 Payer Acceptance Varies Significantly</w:t>
      </w:r>
    </w:p>
    <w:p>
      <w:pPr>
        <w:spacing w:after="160" w:line="276"/>
        <w:jc w:val="both"/>
      </w:pPr>
      <w:r>
        <w:rPr>
          <w:sz w:val="22"/>
          <w:szCs w:val="22"/>
        </w:rPr>
        <w:t xml:space="preserve">This is the single most important operational fact about G2211: </w:t>
      </w:r>
      <w:r>
        <w:rPr>
          <w:b/>
          <w:bCs/>
          <w:sz w:val="22"/>
          <w:szCs w:val="22"/>
        </w:rPr>
        <w:t xml:space="preserve">payer acceptance is inconsistent</w:t>
      </w:r>
      <w:r>
        <w:rPr>
          <w:sz w:val="22"/>
          <w:szCs w:val="22"/>
        </w:rPr>
        <w:t xml:space="preserve">, and billing it reflexively against every payer risks denials or, in some contract structures, recoupment. Medicare and most Medicare Advantage plans recognize G2211. Commercial payer adoption has been mixed and </w:t>
      </w:r>
      <w:r>
        <w:rPr>
          <w:b/>
          <w:bCs/>
          <w:sz w:val="22"/>
          <w:szCs w:val="22"/>
        </w:rPr>
        <w:t xml:space="preserve">changes over time</w:t>
      </w:r>
      <w:r>
        <w:rPr>
          <w:sz w:val="22"/>
          <w:szCs w:val="22"/>
        </w:rPr>
        <w:t xml:space="preserve"> as payers update medical policy; this manual cannot state a permanently accurate universal answer for every commercial payer, and Trimera's billing team should verify current acceptance status per payer at the frequency set in Chapter 12 rather than relying on a static list.</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G2211-8.3  —  Payer-Specific Verification Requirement</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Tier 4 (payer-specific policy, per Section 1.6); CMS as Tier 2 baseline for Medicare only.</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Prevents blanket billing of a code with inconsistent commercial acceptance from becoming a denial pattern or a compliance liability.</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G2211 should only be billed against a given payer after Trimera's billing team has confirmed that payer's current acceptance policy; it should never be billed by default across all payers on the assumption that CMS adoption implies universal commercial adoption.</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payer = Medicare or a confirmed-accepting Medicare Advantage/commercial plan (per Trimera's current payer matrix, maintained in Chapter 12) THEN G2211 may be evaluated for eligibility per Rule G2211-8.2. IF payer acceptance is unconfirmed or known-non-accepting THEN flag G2211 as not billable for that claim regardless of clinical eligibility.</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Maintain a live, dated payer-acceptance matrix for G2211 as part of Trimera's billing reference materials (see Chapter 12), reviewed at minimum quarterly given the pace of payer policy change on this specific code since its introduction.</w:t>
            </w:r>
          </w:p>
        </w:tc>
      </w:tr>
    </w:tbl>
    <w:p>
      <w:pPr>
        <w:spacing w:after="120"/>
      </w:pPr>
    </w:p>
    <w:p>
      <w:pPr>
        <w:pStyle w:val="Heading2"/>
        <w:spacing w:after="160" w:before="360"/>
      </w:pPr>
      <w:r>
        <w:rPr>
          <w:b/>
          <w:bCs/>
          <w:color w:val="2E5A88"/>
          <w:sz w:val="26"/>
          <w:szCs w:val="26"/>
        </w:rPr>
        <w:t xml:space="preserve">8.4 Common Coding Myths — G2211</w:t>
      </w:r>
    </w:p>
    <w:tbl>
      <w:tblPr>
        <w:tblW w:type="dxa" w:w="9360"/>
        <w:tblBorders>
          <w:top w:val="single" w:color="9C2B2B" w:sz="4"/>
          <w:left w:val="single" w:color="9C2B2B" w:sz="4"/>
          <w:bottom w:val="single" w:color="9C2B2B" w:sz="4"/>
          <w:right w:val="single" w:color="9C2B2B" w:sz="4"/>
          <w:insideH w:val="none" w:color="FFFFFF" w:sz="0"/>
          <w:insideV w:val="none" w:color="FFFFFF" w:sz="0"/>
        </w:tblBorders>
      </w:tblPr>
      <w:tblGrid>
        <w:gridCol w:w="9360"/>
      </w:tblGrid>
      <w:tr>
        <w:tc>
          <w:tcPr>
            <w:tcW w:type="dxa" w:w="9360"/>
            <w:shd w:fill="FBEAEA" w:val="clear"/>
            <w:tcMar>
              <w:top w:type="dxa" w:w="140"/>
              <w:left w:type="dxa" w:w="180"/>
              <w:bottom w:type="dxa" w:w="140"/>
              <w:right w:type="dxa" w:w="180"/>
            </w:tcMar>
          </w:tcPr>
          <w:p>
            <w:pPr>
              <w:spacing w:after="80"/>
            </w:pPr>
            <w:r>
              <w:rPr>
                <w:b/>
                <w:bCs/>
                <w:color w:val="9C2B2B"/>
                <w:sz w:val="21"/>
                <w:szCs w:val="21"/>
              </w:rPr>
              <w:t xml:space="preserve">COMMON CODING MYTHS</w:t>
            </w:r>
          </w:p>
          <w:p>
            <w:pPr>
              <w:spacing w:after="60"/>
            </w:pPr>
            <w:r>
              <w:rPr>
                <w:b/>
                <w:bCs/>
                <w:color w:val="9C2B2B"/>
                <w:sz w:val="21"/>
                <w:szCs w:val="21"/>
              </w:rPr>
              <w:t xml:space="preserve">MYTH: </w:t>
            </w:r>
            <w:r>
              <w:rPr>
                <w:i/>
                <w:iCs/>
                <w:sz w:val="21"/>
                <w:szCs w:val="21"/>
              </w:rPr>
              <w:t xml:space="preserve">G2211 can be billed on every established-patient visit.</w:t>
            </w:r>
          </w:p>
          <w:p>
            <w:pPr>
              <w:spacing w:after="60"/>
            </w:pPr>
            <w:r>
              <w:rPr>
                <w:b/>
                <w:bCs/>
                <w:color w:val="1F3864"/>
                <w:sz w:val="21"/>
                <w:szCs w:val="21"/>
              </w:rPr>
              <w:t xml:space="preserve">REALITY: </w:t>
            </w:r>
            <w:r>
              <w:rPr>
                <w:sz w:val="21"/>
                <w:szCs w:val="21"/>
              </w:rPr>
              <w:t xml:space="preserve">Per Rule G2211-8.2, it requires the visit to reflect an ongoing, longitudinal relationship tied to a serious or complex condition, not simply established-patient status alone.</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Since CMS created G2211, all payers must accept it.</w:t>
            </w:r>
          </w:p>
          <w:p>
            <w:pPr>
              <w:spacing w:after="60"/>
            </w:pPr>
            <w:r>
              <w:rPr>
                <w:b/>
                <w:bCs/>
                <w:color w:val="1F3864"/>
                <w:sz w:val="21"/>
                <w:szCs w:val="21"/>
              </w:rPr>
              <w:t xml:space="preserve">REALITY: </w:t>
            </w:r>
            <w:r>
              <w:rPr>
                <w:sz w:val="21"/>
                <w:szCs w:val="21"/>
              </w:rPr>
              <w:t xml:space="preserve">Commercial payer adoption is inconsistent and payer-specific, per Rule G2211-8.3. Billing it against a non-accepting payer risks denial.</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G2211 is a CPT code and follows CPT's coding conventions.</w:t>
            </w:r>
          </w:p>
          <w:p>
            <w:pPr>
              <w:spacing w:after="60"/>
            </w:pPr>
            <w:r>
              <w:rPr>
                <w:b/>
                <w:bCs/>
                <w:color w:val="1F3864"/>
                <w:sz w:val="21"/>
                <w:szCs w:val="21"/>
              </w:rPr>
              <w:t xml:space="preserve">REALITY: </w:t>
            </w:r>
            <w:r>
              <w:rPr>
                <w:sz w:val="21"/>
                <w:szCs w:val="21"/>
              </w:rPr>
              <w:t xml:space="preserve">It is a CMS-created HCPCS Level II code, which is why its adoption is not automatic across payers the way an AMA CPT code's definition would be.</w:t>
            </w:r>
          </w:p>
        </w:tc>
      </w:tr>
    </w:tbl>
    <w:p>
      <w:pPr>
        <w:spacing w:after="120"/>
      </w:pPr>
    </w:p>
    <w:p>
      <w:pPr>
        <w:pStyle w:val="Heading2"/>
        <w:spacing w:after="160" w:before="360"/>
      </w:pPr>
      <w:r>
        <w:rPr>
          <w:b/>
          <w:bCs/>
          <w:color w:val="2E5A88"/>
          <w:sz w:val="26"/>
          <w:szCs w:val="26"/>
        </w:rPr>
        <w:t xml:space="preserve">8.5 AI Interpretation Logic — G2211</w:t>
      </w:r>
    </w:p>
    <w:tbl>
      <w:tblPr>
        <w:tblW w:type="dxa" w:w="9360"/>
        <w:tblBorders>
          <w:top w:val="single" w:color="1F3864" w:sz="4"/>
          <w:left w:val="single" w:color="1F3864" w:sz="4"/>
          <w:bottom w:val="single" w:color="1F3864" w:sz="4"/>
          <w:right w:val="single" w:color="1F3864"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1F3864"/>
                <w:sz w:val="21"/>
                <w:szCs w:val="21"/>
              </w:rPr>
              <w:t xml:space="preserve">AI DECISION LOGIC — G2211</w:t>
            </w:r>
          </w:p>
          <w:p>
            <w:pPr>
              <w:spacing w:after="60"/>
            </w:pPr>
            <w:r>
              <w:rPr>
                <w:sz w:val="21"/>
                <w:szCs w:val="21"/>
              </w:rPr>
              <w:t xml:space="preserve">STEP 1: Confirm base code is an eligible office/outpatient E/M code (99202–205, 99212–215).</w:t>
            </w:r>
          </w:p>
          <w:p>
            <w:pPr>
              <w:spacing w:after="60"/>
            </w:pPr>
            <w:r>
              <w:rPr>
                <w:sz w:val="21"/>
                <w:szCs w:val="21"/>
              </w:rPr>
              <w:t xml:space="preserve">STEP 2: Confirm the visit reflects an ongoing relationship for a serious/complex condition per Rule G2211-8.2, not an isolated/discrete concern.</w:t>
            </w:r>
          </w:p>
          <w:p>
            <w:pPr>
              <w:spacing w:after="60"/>
            </w:pPr>
            <w:r>
              <w:rPr>
                <w:sz w:val="21"/>
                <w:szCs w:val="21"/>
              </w:rPr>
              <w:t xml:space="preserve">STEP 3: Confirm payer is a current, verified G2211-accepting payer per Trimera's payer matrix (Chapter 12); if unconfirmed, do not credit G2211 regardless of clinical eligibility.</w:t>
            </w:r>
          </w:p>
          <w:p>
            <w:pPr>
              <w:spacing w:after="60"/>
            </w:pPr>
            <w:r>
              <w:rPr>
                <w:sz w:val="21"/>
                <w:szCs w:val="21"/>
              </w:rPr>
              <w:t xml:space="preserve">STEP 4: If Steps 1–3 all pass, G2211 is appropriately billable.</w:t>
            </w:r>
          </w:p>
        </w:tc>
      </w:tr>
    </w:tbl>
    <w:p>
      <w:pPr>
        <w:spacing w:after="120"/>
      </w:pPr>
    </w:p>
    <w:p>
      <w:r>
        <w:br w:type="page"/>
      </w:r>
    </w:p>
    <w:p>
      <w:pPr>
        <w:pStyle w:val="Heading1"/>
        <w:pBdr>
          <w:bottom w:val="single" w:color="1F3864" w:sz="12" w:space="4"/>
        </w:pBdr>
        <w:spacing w:after="240" w:before="480"/>
      </w:pPr>
      <w:r>
        <w:rPr>
          <w:b/>
          <w:bCs/>
          <w:color w:val="1F3864"/>
          <w:sz w:val="32"/>
          <w:szCs w:val="32"/>
        </w:rPr>
        <w:t xml:space="preserve">Chapter 9 — Spravato (Esketamine) Documentation and Billing Standards</w:t>
      </w:r>
    </w:p>
    <w:p>
      <w:pPr>
        <w:pStyle w:val="Heading2"/>
        <w:spacing w:after="160" w:before="360"/>
      </w:pPr>
      <w:r>
        <w:rPr>
          <w:b/>
          <w:bCs/>
          <w:color w:val="2E5A88"/>
          <w:sz w:val="26"/>
          <w:szCs w:val="26"/>
        </w:rPr>
        <w:t xml:space="preserve">9.1 Trimera's Spravato Billing Model</w:t>
      </w:r>
    </w:p>
    <w:tbl>
      <w:tblPr>
        <w:tblW w:type="dxa" w:w="9360"/>
        <w:tblBorders>
          <w:top w:val="single" w:color="1F3864" w:sz="4"/>
          <w:left w:val="single" w:color="1F3864" w:sz="4"/>
          <w:bottom w:val="single" w:color="1F3864" w:sz="4"/>
          <w:right w:val="single" w:color="1F3864"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1F3864"/>
                <w:sz w:val="21"/>
                <w:szCs w:val="21"/>
              </w:rPr>
              <w:t xml:space="preserve">GOVERNING OPERATIONAL FACT — READ BEFORE ANYTHING ELSE IN THIS CHAPTER</w:t>
            </w:r>
          </w:p>
          <w:p>
            <w:pPr>
              <w:spacing w:after="60"/>
            </w:pPr>
            <w:r>
              <w:rPr>
                <w:sz w:val="21"/>
                <w:szCs w:val="21"/>
              </w:rPr>
              <w:t xml:space="preserve">Trimera's Spravato program dispenses esketamine through an outside pharmacy. The medication does not pass through Trimera's own inventory or billing. The patient self-administers the medication in-office under direct provider monitoring. As a direct consequence, Trimera's Spravato claims contain a professional E/M/prolonged-service charge only — there is never a drug charge (e.g., no J-code) and never a drug-administration charge on the same claim. Every rule in this chapter follows from this single operational fact, and it is the single most important thing an AI documentation auditor or biller needs to understand before evaluating a Trimera Spravato claim.</w:t>
            </w:r>
          </w:p>
        </w:tc>
      </w:tr>
    </w:tbl>
    <w:p>
      <w:pPr>
        <w:spacing w:after="120"/>
      </w:pPr>
    </w:p>
    <w:p>
      <w:pPr>
        <w:pStyle w:val="Heading2"/>
        <w:spacing w:after="160" w:before="360"/>
      </w:pPr>
      <w:r>
        <w:rPr>
          <w:b/>
          <w:bCs/>
          <w:color w:val="2E5A88"/>
          <w:sz w:val="26"/>
          <w:szCs w:val="26"/>
        </w:rPr>
        <w:t xml:space="preserve">9.2 Why This Model Changes the Bundling Analysis</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SPR-9.2  —  G2082/G2083 Bundling Denials Are a Factual Payer Error Under This Model</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CPT/HCPCS code definitions for G2082 and G2083 (which describe management of drug therapy including the drug and its administration, for FDA-approved intranasal esketamine, billed by the office that administers and often supplies the drug); NCCI bundling logic as applied by payers; Trimera's actual claims content per Section 9.1.</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Prevents an incorrect payer bundling denial — premised on an assumption that does not match Trimera's actual billing pattern — from being treated as a legitimate documentation deficiency to be corrected, when it is instead a payer processing error to be appealed.</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G2082 and G2083 are drug management codes that presume the billing entity is also billing for the drug itself. When a payer denies or bundles Trimera's professional E/M/prolonged-service claims on the theory that they duplicate or should have been billed as G2082/G2083, the denial rests on a factual premise — that Trimera billed or supplied the drug — that is untrue for Trimera's outside-pharmacy dispensing model. This is not a coding correction opportunity; it is a payer factual error to be appealed with documentation of the outside-pharmacy dispensing arrangement.</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Trimera bills the professional E/M code (typically 99214 or 99215 depending on MDM/time, see Section 9.5) plus prolonged services where applicable, for the monitoring encounter. No G2082, no G2083, no J-code for esketamine ever appears on a Trimera Spravato claim under the current outside-pharmacy model.</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a payer remittance or denial references G2082/G2083 bundling, or references ‘duplicate drug administration billing,’ against a Trimera Spravato E/M claim THEN flag this as a payer factual-premise error requiring appeal with outside-pharmacy documentation attached — do NOT flag the underlying clinical note as deficient, and do NOT suggest the provider re-code using G2082/G2083, which would misrepresent Trimera's actual billing model and could constitute billing for a drug charge Trimera did not incur.</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Maintain a standing, dated cover documentation packet (pharmacy dispensing agreement, statement of Trimera's billing model) ready to attach to any Spravato appeal referencing G2082/G2083 bundling, so the appeal turnaround is fast and consistent rather than rebuilt from scratch each time.</w:t>
            </w:r>
          </w:p>
        </w:tc>
      </w:tr>
    </w:tbl>
    <w:p>
      <w:pPr>
        <w:spacing w:after="120"/>
      </w:pPr>
    </w:p>
    <w:p>
      <w:pPr>
        <w:pStyle w:val="Heading2"/>
        <w:spacing w:after="160" w:before="360"/>
      </w:pPr>
      <w:r>
        <w:rPr>
          <w:b/>
          <w:bCs/>
          <w:color w:val="2E5A88"/>
          <w:sz w:val="26"/>
          <w:szCs w:val="26"/>
        </w:rPr>
        <w:t xml:space="preserve">9.3 REMS Certification</w:t>
      </w:r>
    </w:p>
    <w:p>
      <w:pPr>
        <w:spacing w:after="160" w:line="276"/>
        <w:jc w:val="both"/>
      </w:pPr>
      <w:r>
        <w:rPr>
          <w:sz w:val="22"/>
          <w:szCs w:val="22"/>
        </w:rPr>
        <w:t xml:space="preserve">Esketamine (Spravato) is subject to a mandatory FDA Risk Evaluation and Mitigation Strategy (REMS) program. Both the prescriber and the dispensing/administering healthcare setting must be REMS-certified, and the certification status is a condition of both safe administration and, increasingly, payer prior authorization and reauthorization, including in UHC/Optum's updated Spravato PA requirements effective July 1, 2026.</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SPR-9.3  —  REMS Certification as a Standing Compliance and PA Requirement</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FDA Spravato REMS Program requirements; payer prior authorization policies incorporating REMS certification as a condition of coverage (e.g., UHC/Optum, effective 7/1/2026).</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Ensures the mandatory federal safety program is both clinically followed and administratively documented in a form payers can verify for authorization purposes.</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Trimera's REMS certification status (site and prescriber level) must be current and its certification date/renewal status documented and readily available for every prior authorization and reauthorization submission; the treating prescriber's individual REMS enrollment must also be current and attributable to the specific claim.</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a Spravato PA or reauthorization submission is being prepared THEN confirm current REMS certification status is attached or referenced before submission; flag as incomplete if certification documentation is stale (i.e., predates the most recent required renewal) or missing.</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Track REMS certification renewal dates on a standing compliance calendar separate from individual patient charts, so certification currency is never discovered to have lapsed only at the point of a PA denial.</w:t>
            </w:r>
          </w:p>
        </w:tc>
      </w:tr>
    </w:tbl>
    <w:p>
      <w:pPr>
        <w:spacing w:after="120"/>
      </w:pPr>
    </w:p>
    <w:p>
      <w:pPr>
        <w:pStyle w:val="Heading2"/>
        <w:spacing w:after="160" w:before="360"/>
      </w:pPr>
      <w:r>
        <w:rPr>
          <w:b/>
          <w:bCs/>
          <w:color w:val="2E5A88"/>
          <w:sz w:val="26"/>
          <w:szCs w:val="26"/>
        </w:rPr>
        <w:t xml:space="preserve">9.4 Post-Administration Monitoring Documentation</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SPR-9.4  —  Monitoring Note Requirements</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FDA Spravato labeling (REMS-mandated monitoring period); Trimera clinical protocol.</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Documents that the mandatory in-office monitoring period was actually observed and clinically supervised, which is both a patient safety requirement and a claims-support requirement for the professional E/M service billed for that encounter.</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Each Spravato administration encounter's monitoring note should document: pre-administration blood pressure and mental status baseline, monitoring interval assessments (blood pressure and dissociation/sedation status at clinically appropriate intervals during the required post-administration observation period), any adverse events and their management, and a discharge-readiness assessment at the end of the monitoring period confirming the patient meets criteria to leave (blood pressure returned to acceptable range, dissociative symptoms resolved or at baseline, safe for transport per REMS transport requirement).</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‘Pre-dose BP 122/78, alert and oriented x4. Esketamine self-administered under direct observation at [time]. BP and dissociation monitoring at 40 minutes: BP 128/82, mild dissociative symptoms reported, no distress. At 2 hours: BP 118/76, dissociative symptoms resolved, alert, oriented, ambulating without difficulty. Meets discharge criteria; will not drive self home per REMS requirement, confirmed arranged transport with [family member].’</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the encounter is a Spravato administration/monitoring visit THEN require pre-dose baseline, at least one mid-monitoring interval check, and an end-of-monitoring discharge-readiness statement including confirmation of safe transport. Flag as incomplete if any of these three checkpoints is absent, since incomplete monitoring documentation both understates the clinical/billing complexity of the encounter and creates a patient-safety documentation gap.</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Standardize the monitoring note into the same three-checkpoint structure (baseline, mid-interval, discharge) for every Spravato encounter so completeness is visually obvious to any reviewer.</w:t>
            </w:r>
          </w:p>
        </w:tc>
      </w:tr>
    </w:tbl>
    <w:p>
      <w:pPr>
        <w:spacing w:after="120"/>
      </w:pPr>
    </w:p>
    <w:p>
      <w:pPr>
        <w:pStyle w:val="Heading2"/>
        <w:spacing w:after="160" w:before="360"/>
      </w:pPr>
      <w:r>
        <w:rPr>
          <w:b/>
          <w:bCs/>
          <w:color w:val="2E5A88"/>
          <w:sz w:val="26"/>
          <w:szCs w:val="26"/>
        </w:rPr>
        <w:t xml:space="preserve">9.5 E/M Coding for the Spravato Monitoring Visit</w:t>
      </w:r>
    </w:p>
    <w:p>
      <w:pPr>
        <w:spacing w:after="160" w:line="276"/>
        <w:jc w:val="both"/>
      </w:pPr>
      <w:r>
        <w:rPr>
          <w:sz w:val="22"/>
          <w:szCs w:val="22"/>
        </w:rPr>
        <w:t xml:space="preserve">The Spravato monitoring encounter is coded as a standard office/outpatient E/M visit under the same MDM/time framework established in Chapters 2–5, using the professional work actually performed — not a separate Spravato-specific E/M code family, because none exists. Prescription drug management (Rule RK-4.2) applies directly, since esketamine is an active medication management decision at every visit. Given the extended monitoring period inherent to Spravato administration, </w:t>
      </w:r>
      <w:r>
        <w:rPr>
          <w:b/>
          <w:bCs/>
          <w:sz w:val="22"/>
          <w:szCs w:val="22"/>
        </w:rPr>
        <w:t xml:space="preserve">total time</w:t>
      </w:r>
      <w:r>
        <w:rPr>
          <w:sz w:val="22"/>
          <w:szCs w:val="22"/>
        </w:rPr>
        <w:t xml:space="preserve"> frequently supports a higher level than MDM alone, and prolonged services (Rule TM-5.6) are commonly applicable when the total monitoring-inclusive time exceeds the top-tier E/M code's threshold.</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SPR-9.5  —  Distinguishing Monitoring Time From E/M Time</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E/M time definition (Rule TM-5.2), applied to the Spravato context.</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Clarifies that passive observation time during the mandatory REMS monitoring window is includable in total E/M time only to the extent it reflects active provider work (assessment, monitoring, documentation), consistent with how CPT defines countable time generally.</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Time spent by the billing provider personally performing monitoring assessments, managing any adverse events, and documenting the encounter counts toward E/M total time. Passive presence in the building without active clinical engagement during quiet monitoring intervals is a closer question and should be supported by describing the active checkpoints actually performed, per Rule SPR-9.4, rather than simply asserting the full observation window as time.</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a Spravato visit states total time THEN cross-check that the time claimed is consistent with the checkpoints documented under Rule SPR-9.4 (baseline, mid-interval, discharge) rather than a bare assertion of the full REMS-mandated observation window with no supporting checkpoint detail.</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Document time attributable to each checkpoint (e.g., 'approximately 10 minutes assessing and documenting baseline, 8 minutes at mid-interval check, 12 minutes at discharge assessment, plus medication management discussion') so total time is transparently reconstructable from the note rather than asserted as a round number.</w:t>
            </w:r>
          </w:p>
        </w:tc>
      </w:tr>
    </w:tbl>
    <w:p>
      <w:pPr>
        <w:spacing w:after="120"/>
      </w:pPr>
    </w:p>
    <w:p>
      <w:pPr>
        <w:pStyle w:val="Heading2"/>
        <w:spacing w:after="160" w:before="360"/>
      </w:pPr>
      <w:r>
        <w:rPr>
          <w:b/>
          <w:bCs/>
          <w:color w:val="2E5A88"/>
          <w:sz w:val="26"/>
          <w:szCs w:val="26"/>
        </w:rPr>
        <w:t xml:space="preserve">9.6 UHC/Optum Prior Authorization: PHQ-9 Trending and REMS</w:t>
      </w:r>
    </w:p>
    <w:p>
      <w:pPr>
        <w:spacing w:after="160" w:line="276"/>
        <w:jc w:val="both"/>
      </w:pPr>
      <w:r>
        <w:rPr>
          <w:sz w:val="22"/>
          <w:szCs w:val="22"/>
        </w:rPr>
        <w:t xml:space="preserve">UHC/Optum's updated Spravato prior authorization requirements, effective July 1, 2026, place particular weight on </w:t>
      </w:r>
      <w:r>
        <w:rPr>
          <w:b/>
          <w:bCs/>
          <w:sz w:val="22"/>
          <w:szCs w:val="22"/>
        </w:rPr>
        <w:t xml:space="preserve">PHQ-9 trending</w:t>
      </w:r>
      <w:r>
        <w:rPr>
          <w:sz w:val="22"/>
          <w:szCs w:val="22"/>
        </w:rPr>
        <w:t xml:space="preserve"> as objective evidence of treatment-resistant depression and ongoing treatment response, alongside current REMS certification status (Section 9.3), as key elements of both initial authorization and reauthorization. This makes the Data element documentation habits established in Chapter 3 (naming and dating every rating scale reviewed) directly load-bearing for Spravato PA support, not merely for MDM credit.</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SPR-9.6  —  PHQ-9 Trending as PA Support</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UHC/Optum Spravato prior authorization policy, effective 7/1/2026 (Tier 4, payer-specific — verify current policy language before each submission per Section 1.6.1).</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Provides the objective, payer-required evidence trail demonstrating both the treatment-resistant depression diagnosis basis and ongoing response to Spravato treatment.</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Every Spravato visit note should include a dated PHQ-9 score, building a continuous trend line across the treatment course, from baseline (pre-treatment) through induction and maintenance phases, suitable for direct extraction into a PA or reauthorization submission.</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preparing a Spravato PA or reauthorization packet THEN pull the full dated PHQ-9 series from the chart and verify no more than one treatment visit in the relevant authorization window is missing a score; flag gaps for provider completion before submission.</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Administer and document the PHQ-9 at every Spravato visit without exception, including maintenance-phase visits where scores are expected to be stable, since the completeness of the trend line — not just its direction — is what payers scrutinize.</w:t>
            </w:r>
          </w:p>
        </w:tc>
      </w:tr>
    </w:tbl>
    <w:p>
      <w:pPr>
        <w:spacing w:after="120"/>
      </w:pPr>
    </w:p>
    <w:p>
      <w:pPr>
        <w:pStyle w:val="Heading2"/>
        <w:spacing w:after="160" w:before="360"/>
      </w:pPr>
      <w:r>
        <w:rPr>
          <w:b/>
          <w:bCs/>
          <w:color w:val="2E5A88"/>
          <w:sz w:val="26"/>
          <w:szCs w:val="26"/>
        </w:rPr>
        <w:t xml:space="preserve">9.7 Common Coding Myths — Spravato</w:t>
      </w:r>
    </w:p>
    <w:tbl>
      <w:tblPr>
        <w:tblW w:type="dxa" w:w="9360"/>
        <w:tblBorders>
          <w:top w:val="single" w:color="9C2B2B" w:sz="4"/>
          <w:left w:val="single" w:color="9C2B2B" w:sz="4"/>
          <w:bottom w:val="single" w:color="9C2B2B" w:sz="4"/>
          <w:right w:val="single" w:color="9C2B2B" w:sz="4"/>
          <w:insideH w:val="none" w:color="FFFFFF" w:sz="0"/>
          <w:insideV w:val="none" w:color="FFFFFF" w:sz="0"/>
        </w:tblBorders>
      </w:tblPr>
      <w:tblGrid>
        <w:gridCol w:w="9360"/>
      </w:tblGrid>
      <w:tr>
        <w:tc>
          <w:tcPr>
            <w:tcW w:type="dxa" w:w="9360"/>
            <w:shd w:fill="FBEAEA" w:val="clear"/>
            <w:tcMar>
              <w:top w:type="dxa" w:w="140"/>
              <w:left w:type="dxa" w:w="180"/>
              <w:bottom w:type="dxa" w:w="140"/>
              <w:right w:type="dxa" w:w="180"/>
            </w:tcMar>
          </w:tcPr>
          <w:p>
            <w:pPr>
              <w:spacing w:after="80"/>
            </w:pPr>
            <w:r>
              <w:rPr>
                <w:b/>
                <w:bCs/>
                <w:color w:val="9C2B2B"/>
                <w:sz w:val="21"/>
                <w:szCs w:val="21"/>
              </w:rPr>
              <w:t xml:space="preserve">COMMON CODING MYTHS</w:t>
            </w:r>
          </w:p>
          <w:p>
            <w:pPr>
              <w:spacing w:after="60"/>
            </w:pPr>
            <w:r>
              <w:rPr>
                <w:b/>
                <w:bCs/>
                <w:color w:val="9C2B2B"/>
                <w:sz w:val="21"/>
                <w:szCs w:val="21"/>
              </w:rPr>
              <w:t xml:space="preserve">MYTH: </w:t>
            </w:r>
            <w:r>
              <w:rPr>
                <w:i/>
                <w:iCs/>
                <w:sz w:val="21"/>
                <w:szCs w:val="21"/>
              </w:rPr>
              <w:t xml:space="preserve">Trimera should bill G2082/G2083 for Spravato visits since those are the ‘Spravato codes.’</w:t>
            </w:r>
          </w:p>
          <w:p>
            <w:pPr>
              <w:spacing w:after="60"/>
            </w:pPr>
            <w:r>
              <w:rPr>
                <w:b/>
                <w:bCs/>
                <w:color w:val="1F3864"/>
                <w:sz w:val="21"/>
                <w:szCs w:val="21"/>
              </w:rPr>
              <w:t xml:space="preserve">REALITY: </w:t>
            </w:r>
            <w:r>
              <w:rPr>
                <w:sz w:val="21"/>
                <w:szCs w:val="21"/>
              </w:rPr>
              <w:t xml:space="preserve">G2082/G2083 presume the billing entity supplied the drug. Under Trimera's outside-pharmacy dispensing model (Section 9.1), the professional E/M/prolonged-service codes are the correct and only appropriate billing, and using G2082/G2083 would misrepresent the actual service and drug-supply arrangement.</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A payer bundling denial citing G2082/G2083 means the note or coding was wrong and needs to be corrected.</w:t>
            </w:r>
          </w:p>
          <w:p>
            <w:pPr>
              <w:spacing w:after="60"/>
            </w:pPr>
            <w:r>
              <w:rPr>
                <w:b/>
                <w:bCs/>
                <w:color w:val="1F3864"/>
                <w:sz w:val="21"/>
                <w:szCs w:val="21"/>
              </w:rPr>
              <w:t xml:space="preserve">REALITY: </w:t>
            </w:r>
            <w:r>
              <w:rPr>
                <w:sz w:val="21"/>
                <w:szCs w:val="21"/>
              </w:rPr>
              <w:t xml:space="preserve">Per Rule SPR-9.2, this is a payer factual-premise error under Trimera's model, to be appealed with outside-pharmacy documentation — not a signal to change the underlying coding.</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The full 2-hour REMS monitoring window can always be billed as E/M time.</w:t>
            </w:r>
          </w:p>
          <w:p>
            <w:pPr>
              <w:spacing w:after="60"/>
            </w:pPr>
            <w:r>
              <w:rPr>
                <w:b/>
                <w:bCs/>
                <w:color w:val="1F3864"/>
                <w:sz w:val="21"/>
                <w:szCs w:val="21"/>
              </w:rPr>
              <w:t xml:space="preserve">REALITY: </w:t>
            </w:r>
            <w:r>
              <w:rPr>
                <w:sz w:val="21"/>
                <w:szCs w:val="21"/>
              </w:rPr>
              <w:t xml:space="preserve">Per Rule SPR-9.5, only time reflecting actual provider engagement (assessment, monitoring, documentation) is countable; passive observation time without active checkpoints is not automatically includable.</w:t>
            </w:r>
          </w:p>
        </w:tc>
      </w:tr>
    </w:tbl>
    <w:p>
      <w:pPr>
        <w:spacing w:after="120"/>
      </w:pPr>
    </w:p>
    <w:p>
      <w:pPr>
        <w:pStyle w:val="Heading2"/>
        <w:spacing w:after="160" w:before="360"/>
      </w:pPr>
      <w:r>
        <w:rPr>
          <w:b/>
          <w:bCs/>
          <w:color w:val="2E5A88"/>
          <w:sz w:val="26"/>
          <w:szCs w:val="26"/>
        </w:rPr>
        <w:t xml:space="preserve">9.8 AI Interpretation Logic — Spravato Claims</w:t>
      </w:r>
    </w:p>
    <w:tbl>
      <w:tblPr>
        <w:tblW w:type="dxa" w:w="9360"/>
        <w:tblBorders>
          <w:top w:val="single" w:color="1F3864" w:sz="4"/>
          <w:left w:val="single" w:color="1F3864" w:sz="4"/>
          <w:bottom w:val="single" w:color="1F3864" w:sz="4"/>
          <w:right w:val="single" w:color="1F3864"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1F3864"/>
                <w:sz w:val="21"/>
                <w:szCs w:val="21"/>
              </w:rPr>
              <w:t xml:space="preserve">AI DECISION LOGIC — SPRAVATO</w:t>
            </w:r>
          </w:p>
          <w:p>
            <w:pPr>
              <w:spacing w:after="60"/>
            </w:pPr>
            <w:r>
              <w:rPr>
                <w:sz w:val="21"/>
                <w:szCs w:val="21"/>
              </w:rPr>
              <w:t xml:space="preserve">STEP 1: Confirm claim contains only professional E/M/prolonged-service codes, no drug or drug-administration code, consistent with Section 9.1. Flag any deviation for review before submission.</w:t>
            </w:r>
          </w:p>
          <w:p>
            <w:pPr>
              <w:spacing w:after="60"/>
            </w:pPr>
            <w:r>
              <w:rPr>
                <w:sz w:val="21"/>
                <w:szCs w:val="21"/>
              </w:rPr>
              <w:t xml:space="preserve">STEP 2: Verify monitoring note contains all three checkpoints under Rule SPR-9.4 (baseline, mid-interval, discharge with transport confirmation).</w:t>
            </w:r>
          </w:p>
          <w:p>
            <w:pPr>
              <w:spacing w:after="60"/>
            </w:pPr>
            <w:r>
              <w:rPr>
                <w:sz w:val="21"/>
                <w:szCs w:val="21"/>
              </w:rPr>
              <w:t xml:space="preserve">STEP 3: Verify a dated PHQ-9 is present for this visit per Rule SPR-9.6.</w:t>
            </w:r>
          </w:p>
          <w:p>
            <w:pPr>
              <w:spacing w:after="60"/>
            </w:pPr>
            <w:r>
              <w:rPr>
                <w:sz w:val="21"/>
                <w:szCs w:val="21"/>
              </w:rPr>
              <w:t xml:space="preserve">STEP 4: Apply standard MDM (Chapters 2–4) and time (Chapter 5) analysis to set the E/M level and any prolonged services, cross-checking time against Rule SPR-9.5.</w:t>
            </w:r>
          </w:p>
          <w:p>
            <w:pPr>
              <w:spacing w:after="60"/>
            </w:pPr>
            <w:r>
              <w:rPr>
                <w:sz w:val="21"/>
                <w:szCs w:val="21"/>
              </w:rPr>
              <w:t xml:space="preserve">STEP 5: IF this is a PA/reauthorization submission THEN verify current REMS certification documentation (Rule SPR-9.3) and a complete PHQ-9 trend line (Rule SPR-9.6) are attached.</w:t>
            </w:r>
          </w:p>
          <w:p>
            <w:pPr>
              <w:spacing w:after="60"/>
            </w:pPr>
            <w:r>
              <w:rPr>
                <w:sz w:val="21"/>
                <w:szCs w:val="21"/>
              </w:rPr>
              <w:t xml:space="preserve">STEP 6: IF a denial references G2082/G2083 bundling THEN route to appeal per Rule SPR-9.2 rather than treating as a documentation deficiency.</w:t>
            </w:r>
          </w:p>
        </w:tc>
      </w:tr>
    </w:tbl>
    <w:p>
      <w:pPr>
        <w:spacing w:after="120"/>
      </w:pPr>
    </w:p>
    <w:p>
      <w:pPr>
        <w:pStyle w:val="Heading2"/>
        <w:spacing w:after="160" w:before="360"/>
      </w:pPr>
      <w:r>
        <w:rPr>
          <w:b/>
          <w:bCs/>
          <w:color w:val="2E5A88"/>
          <w:sz w:val="26"/>
          <w:szCs w:val="26"/>
        </w:rPr>
        <w:t xml:space="preserve">9.9 Worked Example</w:t>
      </w:r>
    </w:p>
    <w:tbl>
      <w:tblPr>
        <w:tblW w:type="dxa" w:w="9360"/>
        <w:tblBorders>
          <w:top w:val="single" w:color="2E5A88" w:sz="4"/>
          <w:left w:val="single" w:color="2E5A88" w:sz="4"/>
          <w:bottom w:val="single" w:color="2E5A88" w:sz="4"/>
          <w:right w:val="single" w:color="2E5A88"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2E5A88"/>
                <w:sz w:val="21"/>
                <w:szCs w:val="21"/>
              </w:rPr>
              <w:t xml:space="preserve">EXAMPLE — COMPLETE SPRAVATO MONITORING VISIT</w:t>
            </w:r>
          </w:p>
          <w:p>
            <w:pPr>
              <w:spacing w:after="60"/>
            </w:pPr>
            <w:r>
              <w:rPr>
                <w:b/>
                <w:bCs/>
                <w:i/>
                <w:iCs/>
                <w:sz w:val="21"/>
                <w:szCs w:val="21"/>
              </w:rPr>
              <w:t xml:space="preserve">Note excerpt: </w:t>
            </w:r>
            <w:r>
              <w:rPr>
                <w:i/>
                <w:iCs/>
                <w:sz w:val="21"/>
                <w:szCs w:val="21"/>
              </w:rPr>
              <w:t xml:space="preserve">‘TRD, treatment-resistant per two prior adequate antidepressant trial failures. PHQ-9 today: 11 (down from baseline 24, down from 15 last visit) — continued response to esketamine. Pre-dose BP 120/74, alert and oriented x4. Esketamine 56mg self-administered under direct observation 10:05am. 40-minute check: BP 126/80, mild dissociation, no distress. 2-hour check: BP 116/72, dissociation resolved, ambulating steadily, meets discharge criteria. Transport confirmed with spouse, will not drive. Discussed continued induction-phase dosing schedule, next dose in 3 days. Total time 45 minutes including baseline assessment, interval monitoring, and documentation.’</w:t>
            </w:r>
          </w:p>
          <w:p>
            <w:pPr>
              <w:spacing w:after="60"/>
            </w:pPr>
            <w:r>
              <w:rPr>
                <w:sz w:val="21"/>
                <w:szCs w:val="21"/>
              </w:rPr>
              <w:t xml:space="default"/>
            </w:r>
          </w:p>
        </w:tc>
      </w:tr>
    </w:tbl>
    <w:p>
      <w:r>
        <w:br w:type="page"/>
      </w:r>
    </w:p>
    <w:p>
      <w:pPr>
        <w:pStyle w:val="Heading1"/>
        <w:pBdr>
          <w:bottom w:val="single" w:color="1F3864" w:sz="12" w:space="4"/>
        </w:pBdr>
        <w:spacing w:after="240" w:before="480"/>
      </w:pPr>
      <w:r>
        <w:rPr>
          <w:b/>
          <w:bCs/>
          <w:color w:val="1F3864"/>
          <w:sz w:val="32"/>
          <w:szCs w:val="32"/>
        </w:rPr>
        <w:t xml:space="preserve">Chapter 10 — Transcranial Magnetic Stimulation (TMS) Documentation and Billing</w:t>
      </w:r>
    </w:p>
    <w:p>
      <w:pPr>
        <w:pStyle w:val="Heading2"/>
        <w:spacing w:after="160" w:before="360"/>
      </w:pPr>
      <w:r>
        <w:rPr>
          <w:b/>
          <w:bCs/>
          <w:color w:val="2E5A88"/>
          <w:sz w:val="26"/>
          <w:szCs w:val="26"/>
        </w:rPr>
        <w:t xml:space="preserve">10.1 TMS Code Family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7960"/>
      </w:tblGrid>
      <w:tr>
        <w:trPr>
          <w:tblHeader/>
        </w:trPr>
        <w:tc>
          <w:tcPr>
            <w:tcW w:type="dxa" w:w="1400"/>
            <w:shd w:fill="1F3864" w:val="clear"/>
            <w:tcMar>
              <w:top w:type="dxa" w:w="80"/>
              <w:left w:type="dxa" w:w="120"/>
              <w:bottom w:type="dxa" w:w="80"/>
              <w:right w:type="dxa" w:w="120"/>
            </w:tcMar>
          </w:tcPr>
          <w:p>
            <w:r>
              <w:rPr>
                <w:b/>
                <w:bCs/>
                <w:color w:val="FFFFFF"/>
                <w:sz w:val="20"/>
                <w:szCs w:val="20"/>
              </w:rPr>
              <w:t xml:space="preserve">CPT Code</w:t>
            </w:r>
          </w:p>
        </w:tc>
        <w:tc>
          <w:tcPr>
            <w:tcW w:type="dxa" w:w="7960"/>
            <w:shd w:fill="1F3864" w:val="clear"/>
            <w:tcMar>
              <w:top w:type="dxa" w:w="80"/>
              <w:left w:type="dxa" w:w="120"/>
              <w:bottom w:type="dxa" w:w="80"/>
              <w:right w:type="dxa" w:w="120"/>
            </w:tcMar>
          </w:tcPr>
          <w:p>
            <w:r>
              <w:rPr>
                <w:b/>
                <w:bCs/>
                <w:color w:val="FFFFFF"/>
                <w:sz w:val="20"/>
                <w:szCs w:val="20"/>
              </w:rPr>
              <w:t xml:space="preserve">Description</w:t>
            </w:r>
          </w:p>
        </w:tc>
      </w:tr>
      <w:tr>
        <w:tc>
          <w:tcPr>
            <w:tcW w:type="dxa" w:w="1400"/>
            <w:shd w:fill="FFFFFF" w:val="clear"/>
            <w:tcMar>
              <w:top w:type="dxa" w:w="80"/>
              <w:left w:type="dxa" w:w="120"/>
              <w:bottom w:type="dxa" w:w="80"/>
              <w:right w:type="dxa" w:w="120"/>
            </w:tcMar>
          </w:tcPr>
          <w:p>
            <w:r>
              <w:rPr>
                <w:sz w:val="20"/>
                <w:szCs w:val="20"/>
              </w:rPr>
              <w:t xml:space="preserve">90867</w:t>
            </w:r>
          </w:p>
        </w:tc>
        <w:tc>
          <w:tcPr>
            <w:tcW w:type="dxa" w:w="7960"/>
            <w:shd w:fill="FFFFFF" w:val="clear"/>
            <w:tcMar>
              <w:top w:type="dxa" w:w="80"/>
              <w:left w:type="dxa" w:w="120"/>
              <w:bottom w:type="dxa" w:w="80"/>
              <w:right w:type="dxa" w:w="120"/>
            </w:tcMar>
          </w:tcPr>
          <w:p>
            <w:r>
              <w:rPr>
                <w:sz w:val="20"/>
                <w:szCs w:val="20"/>
              </w:rPr>
              <w:t xml:space="preserve">TMS therapy, planning and delivery of treatment, including cortical mapping, motor threshold determination, delivery, and management, initial session</w:t>
            </w:r>
          </w:p>
        </w:tc>
      </w:tr>
      <w:tr>
        <w:tc>
          <w:tcPr>
            <w:tcW w:type="dxa" w:w="1400"/>
            <w:shd w:fill="F2F2F2" w:val="clear"/>
            <w:tcMar>
              <w:top w:type="dxa" w:w="80"/>
              <w:left w:type="dxa" w:w="120"/>
              <w:bottom w:type="dxa" w:w="80"/>
              <w:right w:type="dxa" w:w="120"/>
            </w:tcMar>
          </w:tcPr>
          <w:p>
            <w:r>
              <w:rPr>
                <w:sz w:val="20"/>
                <w:szCs w:val="20"/>
              </w:rPr>
              <w:t xml:space="preserve">90868</w:t>
            </w:r>
          </w:p>
        </w:tc>
        <w:tc>
          <w:tcPr>
            <w:tcW w:type="dxa" w:w="7960"/>
            <w:shd w:fill="F2F2F2" w:val="clear"/>
            <w:tcMar>
              <w:top w:type="dxa" w:w="80"/>
              <w:left w:type="dxa" w:w="120"/>
              <w:bottom w:type="dxa" w:w="80"/>
              <w:right w:type="dxa" w:w="120"/>
            </w:tcMar>
          </w:tcPr>
          <w:p>
            <w:r>
              <w:rPr>
                <w:sz w:val="20"/>
                <w:szCs w:val="20"/>
              </w:rPr>
              <w:t xml:space="preserve">TMS therapy, delivery and management, per session, subsequent to the initial motor threshold determination session</w:t>
            </w:r>
          </w:p>
        </w:tc>
      </w:tr>
      <w:tr>
        <w:tc>
          <w:tcPr>
            <w:tcW w:type="dxa" w:w="1400"/>
            <w:shd w:fill="FFFFFF" w:val="clear"/>
            <w:tcMar>
              <w:top w:type="dxa" w:w="80"/>
              <w:left w:type="dxa" w:w="120"/>
              <w:bottom w:type="dxa" w:w="80"/>
              <w:right w:type="dxa" w:w="120"/>
            </w:tcMar>
          </w:tcPr>
          <w:p>
            <w:r>
              <w:rPr>
                <w:sz w:val="20"/>
                <w:szCs w:val="20"/>
              </w:rPr>
              <w:t xml:space="preserve">90869</w:t>
            </w:r>
          </w:p>
        </w:tc>
        <w:tc>
          <w:tcPr>
            <w:tcW w:type="dxa" w:w="7960"/>
            <w:shd w:fill="FFFFFF" w:val="clear"/>
            <w:tcMar>
              <w:top w:type="dxa" w:w="80"/>
              <w:left w:type="dxa" w:w="120"/>
              <w:bottom w:type="dxa" w:w="80"/>
              <w:right w:type="dxa" w:w="120"/>
            </w:tcMar>
          </w:tcPr>
          <w:p>
            <w:r>
              <w:rPr>
                <w:sz w:val="20"/>
                <w:szCs w:val="20"/>
              </w:rPr>
              <w:t xml:space="preserve">TMS therapy, subsequent motor threshold re-determination with delivery and management, when clinically indicated (e.g., significant symptom change, device or coil change)</w:t>
            </w:r>
          </w:p>
        </w:tc>
      </w:tr>
    </w:tbl>
    <w:p>
      <w:pPr>
        <w:spacing w:after="120"/>
      </w:pPr>
    </w:p>
    <w:p>
      <w:pPr>
        <w:pStyle w:val="Heading2"/>
        <w:spacing w:after="160" w:before="360"/>
      </w:pPr>
      <w:r>
        <w:rPr>
          <w:b/>
          <w:bCs/>
          <w:color w:val="2E5A88"/>
          <w:sz w:val="26"/>
          <w:szCs w:val="26"/>
        </w:rPr>
        <w:t xml:space="preserve">10.2 Coverage Is Driven Primarily by the Local Coverage Determination, Not CPT Alone</w:t>
      </w:r>
    </w:p>
    <w:p>
      <w:pPr>
        <w:spacing w:after="160" w:line="276"/>
        <w:jc w:val="both"/>
      </w:pPr>
      <w:r>
        <w:rPr>
          <w:sz w:val="22"/>
          <w:szCs w:val="22"/>
        </w:rPr>
        <w:t xml:space="preserve">Unlike E/M coding, where CPT and CMS MDM/time guidelines are the primary drivers of code selection, TMS coverage and medical necessity are governed overwhelmingly by the </w:t>
      </w:r>
      <w:r>
        <w:rPr>
          <w:b/>
          <w:bCs/>
          <w:sz w:val="22"/>
          <w:szCs w:val="22"/>
        </w:rPr>
        <w:t xml:space="preserve">Local Coverage Determination (LCD)</w:t>
      </w:r>
      <w:r>
        <w:rPr>
          <w:sz w:val="22"/>
          <w:szCs w:val="22"/>
        </w:rPr>
        <w:t xml:space="preserve"> applicable in Trimera's jurisdiction. For Texas, the relevant Medicare Administrative Contractor is </w:t>
      </w:r>
      <w:r>
        <w:rPr>
          <w:b/>
          <w:bCs/>
          <w:sz w:val="22"/>
          <w:szCs w:val="22"/>
        </w:rPr>
        <w:t xml:space="preserve">Novitas Solutions (Jurisdiction H)</w:t>
      </w:r>
      <w:r>
        <w:rPr>
          <w:sz w:val="22"/>
          <w:szCs w:val="22"/>
        </w:rPr>
        <w:t xml:space="preserve">, and Novitas's TMS LCD sets the specific diagnostic, treatment-failure, and monitoring documentation criteria that both Medicare and, as a matter of common commercial payer practice, most commercial payers substantially mirror in their own TMS medical policies. This is a Tier 3 authority under Section 1.6, and it functions here as the practical coverage backbone even though it is formally lower in the authority hierarchy than CPT/CMS national guidance.</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TMS-10.2  —  LCD-Driven Coverage Criteria</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Novitas Solutions (JH) Local Coverage Determination for Transcranial Magnetic Stimulation; commercial payer TMS medical policies substantially mirroring LCD structure (Tier 4, verify per payer).</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TMS is a resource-intensive, longer-course treatment; the LCD exists to confirm it is being used for patients who have genuinely exhausted more conventional treatment options first, consistent with FDA-cleared indications and evidence-based treatment-resistant-depression pathways.</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TMS coverage generally requires: a diagnosis of MDD (single or recurrent episode) meeting severity criteria; documented failure of an adequate trial (adequate dose and duration) of a specified minimum number of antidepressant medications from different classes, and/or failure of or intolerance to psychotherapy; absence of specific contraindications (e.g., seizure disorder, certain implanted metal/devices); and a baseline severity measure.</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a TMS course is being initiated THEN require documentation of the specific prior medication trials (names, doses, durations, and outcomes/reasons for failure) rather than a general statement that treatment has ‘failed multiple medications,’ since payer review requires the specific trial history to verify the adequate-trial requirement.</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COMMON DOCUMENTATION FAILURES</w:t>
            </w:r>
          </w:p>
          <w:p>
            <w:pPr>
              <w:spacing w:after="0" w:line="264"/>
              <w:jc w:val="both"/>
            </w:pPr>
            <w:r>
              <w:rPr>
                <w:sz w:val="21"/>
                <w:szCs w:val="21"/>
              </w:rPr>
              <w:t xml:space="preserve">Referral or initial evaluation notes stating ‘failed several antidepressants’ without naming which medications, at what doses, for how long, and why they were considered inadequate — insufficient to support the LCD's adequate-trial-failure requirement on audit.</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Maintain a structured medication trial history table in the TMS candidacy evaluation note, listing each prior antidepressant trial with drug, dose, duration, and outcome, so LCD compliance is documented in one clearly reviewable place.</w:t>
            </w:r>
          </w:p>
        </w:tc>
      </w:tr>
    </w:tbl>
    <w:p>
      <w:pPr>
        <w:spacing w:after="120"/>
      </w:pPr>
    </w:p>
    <w:p>
      <w:pPr>
        <w:pStyle w:val="Heading2"/>
        <w:spacing w:after="160" w:before="360"/>
      </w:pPr>
      <w:r>
        <w:rPr>
          <w:b/>
          <w:bCs/>
          <w:color w:val="2E5A88"/>
          <w:sz w:val="26"/>
          <w:szCs w:val="26"/>
        </w:rPr>
        <w:t xml:space="preserve">10.3 Documentation for the Initial Session (90867)</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TMS-10.3  —  Initial Session Documentation</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90867 descriptor; Novitas TMS LCD.</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Documents the technical planning work unique to the initial session — cortical mapping and motor threshold determination — which is what distinguishes 90867 from the subsequent per-session codes.</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The initial session note should document the motor threshold determination procedure and result, the treatment location/coil placement (cortical mapping), the prescribed treatment parameters (frequency, intensity as a percentage of motor threshold, number of pulses, treatment site), and confirmation of screening for contraindications immediately prior to first delivery.</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‘Motor threshold determined via observation of visible thumb movement (APB) at 52% stimulator output. Treatment site: left DLPFC per standard coordinates. Parameters: 10Hz, 120% motor threshold, 3000 pulses per session. Screened for contraindications: no seizure history, no ferromagnetic implants, no contraindicated devices. Treatment delivered without complication.’</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billing 90867 THEN require documented motor threshold value/method and specific treatment parameters; a note that only states ‘TMS administered’ without these elements does not distinguish the initial planning encounter from a routine subsequent delivery session and should be flagged.</w:t>
            </w:r>
          </w:p>
        </w:tc>
      </w:tr>
    </w:tbl>
    <w:p>
      <w:pPr>
        <w:spacing w:after="120"/>
      </w:pPr>
    </w:p>
    <w:p>
      <w:pPr>
        <w:pStyle w:val="Heading2"/>
        <w:spacing w:after="160" w:before="360"/>
      </w:pPr>
      <w:r>
        <w:rPr>
          <w:b/>
          <w:bCs/>
          <w:color w:val="2E5A88"/>
          <w:sz w:val="26"/>
          <w:szCs w:val="26"/>
        </w:rPr>
        <w:t xml:space="preserve">10.4 Documentation for Subsequent Sessions (90868)</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TMS-10.4  —  Subsequent Session Documentation</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AMA CPT 90868 descriptor.</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Confirms each subsequent session was actually delivered and appropriately managed, and tracks the clinical trajectory across the treatment course.</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Each subsequent session note should confirm parameters delivered (or confirm no change from the established protocol), any side effects (e.g., scalp discomfort, headache), and a brief symptom-status check-in at a clinically appropriate interval (not necessarily every single session, but at a defined recurring cadence, e.g., weekly PHQ-9).</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CLINICAL EXPLANATION</w:t>
            </w:r>
          </w:p>
          <w:p>
            <w:pPr>
              <w:spacing w:after="0" w:line="264"/>
              <w:jc w:val="both"/>
            </w:pPr>
            <w:r>
              <w:rPr>
                <w:sz w:val="21"/>
                <w:szCs w:val="21"/>
              </w:rPr>
              <w:t xml:space="preserve">‘Session 12 of planned course. Parameters unchanged (10Hz, 120% MT, 3000 pulses, left DLPFC). Mild scalp discomfort at treatment site, resolved without intervention. PHQ-9 this week: 14 (down from 22 at baseline). Tolerating well, continuing per protocol.’</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a large block of consecutive subsequent sessions contains no symptom-status update at all THEN flag for a missing progress check-in, since ongoing medical necessity for continuing the full course depends on demonstrating a treatment trajectory, not just delivering the prescribed number of sessions on autopilot.</w:t>
            </w:r>
          </w:p>
        </w:tc>
      </w:tr>
    </w:tbl>
    <w:p>
      <w:pPr>
        <w:spacing w:after="120"/>
      </w:pPr>
    </w:p>
    <w:p>
      <w:pPr>
        <w:pStyle w:val="Heading2"/>
        <w:spacing w:after="160" w:before="360"/>
      </w:pPr>
      <w:r>
        <w:rPr>
          <w:b/>
          <w:bCs/>
          <w:color w:val="2E5A88"/>
          <w:sz w:val="26"/>
          <w:szCs w:val="26"/>
        </w:rPr>
        <w:t xml:space="preserve">10.5 Re-Mapping and Motor Threshold Re-Determination (90869)</w:t>
      </w:r>
    </w:p>
    <w:p>
      <w:pPr>
        <w:spacing w:after="160" w:line="276"/>
        <w:jc w:val="both"/>
      </w:pPr>
      <w:r>
        <w:rPr>
          <w:sz w:val="22"/>
          <w:szCs w:val="22"/>
        </w:rPr>
        <w:t xml:space="preserve">90869 applies when clinical circumstances require re-determining the motor threshold mid-course — for example, a significant change in the patient's clinical status, a device or coil change, or other factors affecting the previously established stimulation parameters. The note should state the specific reason re-determination was clinically indicated, not simply that it was performed on a routine schedule unless the payer's specific policy calls for scheduled re-determination at defined intervals.</w:t>
      </w:r>
    </w:p>
    <w:p>
      <w:pPr>
        <w:pStyle w:val="Heading2"/>
        <w:spacing w:after="160" w:before="360"/>
      </w:pPr>
      <w:r>
        <w:rPr>
          <w:b/>
          <w:bCs/>
          <w:color w:val="2E5A88"/>
          <w:sz w:val="26"/>
          <w:szCs w:val="26"/>
        </w:rPr>
        <w:t xml:space="preserve">10.6 Common Coding Myths — TMS</w:t>
      </w:r>
    </w:p>
    <w:tbl>
      <w:tblPr>
        <w:tblW w:type="dxa" w:w="9360"/>
        <w:tblBorders>
          <w:top w:val="single" w:color="9C2B2B" w:sz="4"/>
          <w:left w:val="single" w:color="9C2B2B" w:sz="4"/>
          <w:bottom w:val="single" w:color="9C2B2B" w:sz="4"/>
          <w:right w:val="single" w:color="9C2B2B" w:sz="4"/>
          <w:insideH w:val="none" w:color="FFFFFF" w:sz="0"/>
          <w:insideV w:val="none" w:color="FFFFFF" w:sz="0"/>
        </w:tblBorders>
      </w:tblPr>
      <w:tblGrid>
        <w:gridCol w:w="9360"/>
      </w:tblGrid>
      <w:tr>
        <w:tc>
          <w:tcPr>
            <w:tcW w:type="dxa" w:w="9360"/>
            <w:shd w:fill="FBEAEA" w:val="clear"/>
            <w:tcMar>
              <w:top w:type="dxa" w:w="140"/>
              <w:left w:type="dxa" w:w="180"/>
              <w:bottom w:type="dxa" w:w="140"/>
              <w:right w:type="dxa" w:w="180"/>
            </w:tcMar>
          </w:tcPr>
          <w:p>
            <w:pPr>
              <w:spacing w:after="80"/>
            </w:pPr>
            <w:r>
              <w:rPr>
                <w:b/>
                <w:bCs/>
                <w:color w:val="9C2B2B"/>
                <w:sz w:val="21"/>
                <w:szCs w:val="21"/>
              </w:rPr>
              <w:t xml:space="preserve">COMMON CODING MYTHS</w:t>
            </w:r>
          </w:p>
          <w:p>
            <w:pPr>
              <w:spacing w:after="60"/>
            </w:pPr>
            <w:r>
              <w:rPr>
                <w:b/>
                <w:bCs/>
                <w:color w:val="9C2B2B"/>
                <w:sz w:val="21"/>
                <w:szCs w:val="21"/>
              </w:rPr>
              <w:t xml:space="preserve">MYTH: </w:t>
            </w:r>
            <w:r>
              <w:rPr>
                <w:i/>
                <w:iCs/>
                <w:sz w:val="21"/>
                <w:szCs w:val="21"/>
              </w:rPr>
              <w:t xml:space="preserve">90867 can be billed for every session as long as parameters are documented.</w:t>
            </w:r>
          </w:p>
          <w:p>
            <w:pPr>
              <w:spacing w:after="60"/>
            </w:pPr>
            <w:r>
              <w:rPr>
                <w:b/>
                <w:bCs/>
                <w:color w:val="1F3864"/>
                <w:sz w:val="21"/>
                <w:szCs w:val="21"/>
              </w:rPr>
              <w:t xml:space="preserve">REALITY: </w:t>
            </w:r>
            <w:r>
              <w:rPr>
                <w:sz w:val="21"/>
                <w:szCs w:val="21"/>
              </w:rPr>
              <w:t xml:space="preserve">90867 is specifically the initial motor-threshold-determination-and-mapping session. Routine subsequent sessions at unchanged parameters are billed 90868, not 90867, regardless of how thoroughly parameters are documented at each visit.</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TMS coverage is governed by CPT the same way E/M coverage is.</w:t>
            </w:r>
          </w:p>
          <w:p>
            <w:pPr>
              <w:spacing w:after="60"/>
            </w:pPr>
            <w:r>
              <w:rPr>
                <w:b/>
                <w:bCs/>
                <w:color w:val="1F3864"/>
                <w:sz w:val="21"/>
                <w:szCs w:val="21"/>
              </w:rPr>
              <w:t xml:space="preserve">REALITY: </w:t>
            </w:r>
            <w:r>
              <w:rPr>
                <w:sz w:val="21"/>
                <w:szCs w:val="21"/>
              </w:rPr>
              <w:t xml:space="preserve">Coverage and medical necessity for TMS are driven primarily by the applicable LCD (Novitas JH for Texas), per Rule TMS-10.2 — CPT defines the codes, but the LCD defines whether the treatment course is covered at all.</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A general statement that the patient ‘failed multiple medications’ is sufficient to support TMS medical necessity.</w:t>
            </w:r>
          </w:p>
          <w:p>
            <w:pPr>
              <w:spacing w:after="60"/>
            </w:pPr>
            <w:r>
              <w:rPr>
                <w:b/>
                <w:bCs/>
                <w:color w:val="1F3864"/>
                <w:sz w:val="21"/>
                <w:szCs w:val="21"/>
              </w:rPr>
              <w:t xml:space="preserve">REALITY: </w:t>
            </w:r>
            <w:r>
              <w:rPr>
                <w:sz w:val="21"/>
                <w:szCs w:val="21"/>
              </w:rPr>
              <w:t xml:space="preserve">Per Rule TMS-10.2, the specific medication names, doses, durations, and failure reasons are required to support the LCD's adequate-trial-failure criterion.</w:t>
            </w:r>
          </w:p>
        </w:tc>
      </w:tr>
    </w:tbl>
    <w:p>
      <w:pPr>
        <w:spacing w:after="120"/>
      </w:pPr>
    </w:p>
    <w:p>
      <w:pPr>
        <w:pStyle w:val="Heading2"/>
        <w:spacing w:after="160" w:before="360"/>
      </w:pPr>
      <w:r>
        <w:rPr>
          <w:b/>
          <w:bCs/>
          <w:color w:val="2E5A88"/>
          <w:sz w:val="26"/>
          <w:szCs w:val="26"/>
        </w:rPr>
        <w:t xml:space="preserve">10.7 AI Interpretation Logic — TMS</w:t>
      </w:r>
    </w:p>
    <w:tbl>
      <w:tblPr>
        <w:tblW w:type="dxa" w:w="9360"/>
        <w:tblBorders>
          <w:top w:val="single" w:color="1F3864" w:sz="4"/>
          <w:left w:val="single" w:color="1F3864" w:sz="4"/>
          <w:bottom w:val="single" w:color="1F3864" w:sz="4"/>
          <w:right w:val="single" w:color="1F3864"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1F3864"/>
                <w:sz w:val="21"/>
                <w:szCs w:val="21"/>
              </w:rPr>
              <w:t xml:space="preserve">AI DECISION LOGIC — TMS</w:t>
            </w:r>
          </w:p>
          <w:p>
            <w:pPr>
              <w:spacing w:after="60"/>
            </w:pPr>
            <w:r>
              <w:rPr>
                <w:sz w:val="21"/>
                <w:szCs w:val="21"/>
              </w:rPr>
              <w:t xml:space="preserve">STEP 1: For a new TMS course, verify a structured prior-medication-trial history (drug/dose/duration/outcome) is documented, per Rule TMS-10.2.</w:t>
            </w:r>
          </w:p>
          <w:p>
            <w:pPr>
              <w:spacing w:after="60"/>
            </w:pPr>
            <w:r>
              <w:rPr>
                <w:sz w:val="21"/>
                <w:szCs w:val="21"/>
              </w:rPr>
              <w:t xml:space="preserve">STEP 2: IF billing 90867 THEN verify motor threshold value/method and treatment parameters are documented (Rule TMS-10.3).</w:t>
            </w:r>
          </w:p>
          <w:p>
            <w:pPr>
              <w:spacing w:after="60"/>
            </w:pPr>
            <w:r>
              <w:rPr>
                <w:sz w:val="21"/>
                <w:szCs w:val="21"/>
              </w:rPr>
              <w:t xml:space="preserve">STEP 3: IF billing 90868 THEN verify parameters-unchanged or parameters-delivered confirmation, and check that periodic symptom-status updates appear at the established cadence across the course (Rule TMS-10.4).</w:t>
            </w:r>
          </w:p>
          <w:p>
            <w:pPr>
              <w:spacing w:after="60"/>
            </w:pPr>
            <w:r>
              <w:rPr>
                <w:sz w:val="21"/>
                <w:szCs w:val="21"/>
              </w:rPr>
              <w:t xml:space="preserve">STEP 4: IF billing 90869 THEN verify a specific clinical reason for re-determination is documented, not merely routine repetition.</w:t>
            </w:r>
          </w:p>
          <w:p>
            <w:pPr>
              <w:spacing w:after="60"/>
            </w:pPr>
            <w:r>
              <w:rPr>
                <w:sz w:val="21"/>
                <w:szCs w:val="21"/>
              </w:rPr>
              <w:t xml:space="preserve">STEP 5: Flag any course showing no symptom-trend documentation across an extended span of consecutive sessions as a medical-necessity documentation gap.</w:t>
            </w:r>
          </w:p>
        </w:tc>
      </w:tr>
    </w:tbl>
    <w:p>
      <w:r>
        <w:br w:type="page"/>
      </w:r>
    </w:p>
    <w:p>
      <w:pPr>
        <w:pStyle w:val="Heading1"/>
        <w:pBdr>
          <w:bottom w:val="single" w:color="1F3864" w:sz="12" w:space="4"/>
        </w:pBdr>
        <w:spacing w:after="240" w:before="480"/>
      </w:pPr>
      <w:r>
        <w:rPr>
          <w:b/>
          <w:bCs/>
          <w:color w:val="1F3864"/>
          <w:sz w:val="32"/>
          <w:szCs w:val="32"/>
        </w:rPr>
        <w:t xml:space="preserve">Chapter 11 — Telehealth Documentation Standards</w:t>
      </w:r>
    </w:p>
    <w:p>
      <w:pPr>
        <w:pStyle w:val="Heading2"/>
        <w:spacing w:after="160" w:before="360"/>
      </w:pPr>
      <w:r>
        <w:rPr>
          <w:b/>
          <w:bCs/>
          <w:color w:val="2E5A88"/>
          <w:sz w:val="26"/>
          <w:szCs w:val="26"/>
        </w:rPr>
        <w:t xml:space="preserve">11.1 Telehealth Does Not Change the Underlying Coding Framework</w:t>
      </w:r>
    </w:p>
    <w:p>
      <w:pPr>
        <w:spacing w:after="160" w:line="276"/>
        <w:jc w:val="both"/>
      </w:pPr>
      <w:r>
        <w:rPr>
          <w:sz w:val="22"/>
          <w:szCs w:val="22"/>
        </w:rPr>
        <w:t xml:space="preserve">A telehealth visit is coded using the same MDM (Chapters 2–4) or time (Chapter 5) framework as an in-person visit, using the same CPT codes. Telehealth-specific requirements are </w:t>
      </w:r>
      <w:r>
        <w:rPr>
          <w:b/>
          <w:bCs/>
          <w:sz w:val="22"/>
          <w:szCs w:val="22"/>
        </w:rPr>
        <w:t xml:space="preserve">additive</w:t>
      </w:r>
      <w:r>
        <w:rPr>
          <w:sz w:val="22"/>
          <w:szCs w:val="22"/>
        </w:rPr>
        <w:t xml:space="preserve"> — place-of-service coding, modifier use, and consent/technology documentation — layered on top of, not a replacement for, the standard E/M documentation this manual otherwise requires.</w:t>
      </w:r>
    </w:p>
    <w:p>
      <w:pPr>
        <w:pStyle w:val="Heading2"/>
        <w:spacing w:after="160" w:before="360"/>
      </w:pPr>
      <w:r>
        <w:rPr>
          <w:b/>
          <w:bCs/>
          <w:color w:val="2E5A88"/>
          <w:sz w:val="26"/>
          <w:szCs w:val="26"/>
        </w:rPr>
        <w:t xml:space="preserve">11.2 Place of Service and Modifiers</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TH-11.2  —  Place of Service and Modifier Selection</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CMS Medicare Claims Processing Manual, telehealth billing guidance; individual payer telehealth policies (Tier 4).</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Correctly identifies the visit as telehealth for payer processing and reimbursement purposes, which in some cases affects payment rate and coverage eligibility.</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Telehealth visits are generally billed with the CPT E/M code that would apply in person, plus the payer-appropriate place-of-service code (commonly POS 02 for telehealth not at the patient's home, or POS 10 for telehealth at the patient's home, under current Medicare convention) and/or modifier (commonly modifier 95 for synchronous audio-video telehealth), verified per payer since exact conventions vary and change over time.</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the note documents the visit occurred via telehealth THEN verify the claim's place-of-service code and modifier match the specific payer's current telehealth billing convention (Chapter 12); flag any mismatch (e.g., in-person POS on a documented telehealth encounter) as a claim-level error independent of clinical documentation quality.</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State the modality explicitly in every telehealth note ('Visit conducted via synchronous audio-video telehealth, patient located at home in [state/city], provider located at [Trimera office location]') so the claim's POS/modifier selection is independently verifiable against the note.</w:t>
            </w:r>
          </w:p>
        </w:tc>
      </w:tr>
    </w:tbl>
    <w:p>
      <w:pPr>
        <w:spacing w:after="120"/>
      </w:pPr>
    </w:p>
    <w:p>
      <w:pPr>
        <w:pStyle w:val="Heading2"/>
        <w:spacing w:after="160" w:before="360"/>
      </w:pPr>
      <w:r>
        <w:rPr>
          <w:b/>
          <w:bCs/>
          <w:color w:val="2E5A88"/>
          <w:sz w:val="26"/>
          <w:szCs w:val="26"/>
        </w:rPr>
        <w:t xml:space="preserve">11.3 Patient Location and Interstate Practice</w:t>
      </w:r>
    </w:p>
    <w:p>
      <w:pPr>
        <w:spacing w:after="160" w:line="276"/>
        <w:jc w:val="both"/>
      </w:pPr>
      <w:r>
        <w:rPr>
          <w:sz w:val="22"/>
          <w:szCs w:val="22"/>
        </w:rPr>
        <w:t xml:space="preserve">Psychiatric telehealth across state lines is governed by the state medical board licensure requirements of the state where the patient is physically located at the time of the visit, not the state where the provider is located. Every telehealth note should document the patient's physical location (at minimum, state and city) at the time of the encounter, both to support licensure compliance and because it directly determines the correct place-of-service/modifier convention under Rule TH-11.2.</w:t>
      </w:r>
    </w:p>
    <w:p>
      <w:pPr>
        <w:pStyle w:val="Heading2"/>
        <w:spacing w:after="160" w:before="360"/>
      </w:pPr>
      <w:r>
        <w:rPr>
          <w:b/>
          <w:bCs/>
          <w:color w:val="2E5A88"/>
          <w:sz w:val="26"/>
          <w:szCs w:val="26"/>
        </w:rPr>
        <w:t xml:space="preserve">11.4 Controlled Substance Prescribing via Telehealth</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TH-11.4  —  Telehealth Controlled Substance Prescribing</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DEA telemedicine prescribing regulations (Ryan Haight Act and subsequent DEA telemedicine flexibility extensions); Trimera compliance policy.</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Federal telemedicine prescribing rules for controlled substances have changed multiple times in recent years via temporary extensions, and the current rule in effect at the time of any given prescription must be verified rather than assumed from prior practice.</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Before prescribing a controlled substance via telehealth without a qualifying in-person evaluation, verify the current DEA telemedicine flexibility status is still in effect as of the date of prescribing, and document the basis for telehealth controlled-substance prescribing compliance in the note.</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a controlled substance is prescribed during a telehealth encounter with no documented in-person visit for that patient THEN flag for verification that current DEA telemedicine flexibility rules permit this, since this area of federal regulation has changed on a rolling extension basis and this manual's stated rule may not reflect the current-day status without independent verification at the time of use.</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Do not treat any statement in this manual about the current DEA telemedicine flexibility period as self-verifying; Trimera compliance should confirm current status against DEA's published guidance at the time of Chapter 11's periodic review (Section 1.11) and whenever practice patterns involving telehealth-only controlled substance prescribing are established or changed.</w:t>
            </w:r>
          </w:p>
        </w:tc>
      </w:tr>
    </w:tbl>
    <w:p>
      <w:pPr>
        <w:spacing w:after="120"/>
      </w:pPr>
    </w:p>
    <w:p>
      <w:pPr>
        <w:pStyle w:val="Heading2"/>
        <w:spacing w:after="160" w:before="360"/>
      </w:pPr>
      <w:r>
        <w:rPr>
          <w:b/>
          <w:bCs/>
          <w:color w:val="2E5A88"/>
          <w:sz w:val="26"/>
          <w:szCs w:val="26"/>
        </w:rPr>
        <w:t xml:space="preserve">11.5 Common Coding Myths — Telehealth</w:t>
      </w:r>
    </w:p>
    <w:tbl>
      <w:tblPr>
        <w:tblW w:type="dxa" w:w="9360"/>
        <w:tblBorders>
          <w:top w:val="single" w:color="9C2B2B" w:sz="4"/>
          <w:left w:val="single" w:color="9C2B2B" w:sz="4"/>
          <w:bottom w:val="single" w:color="9C2B2B" w:sz="4"/>
          <w:right w:val="single" w:color="9C2B2B" w:sz="4"/>
          <w:insideH w:val="none" w:color="FFFFFF" w:sz="0"/>
          <w:insideV w:val="none" w:color="FFFFFF" w:sz="0"/>
        </w:tblBorders>
      </w:tblPr>
      <w:tblGrid>
        <w:gridCol w:w="9360"/>
      </w:tblGrid>
      <w:tr>
        <w:tc>
          <w:tcPr>
            <w:tcW w:type="dxa" w:w="9360"/>
            <w:shd w:fill="FBEAEA" w:val="clear"/>
            <w:tcMar>
              <w:top w:type="dxa" w:w="140"/>
              <w:left w:type="dxa" w:w="180"/>
              <w:bottom w:type="dxa" w:w="140"/>
              <w:right w:type="dxa" w:w="180"/>
            </w:tcMar>
          </w:tcPr>
          <w:p>
            <w:pPr>
              <w:spacing w:after="80"/>
            </w:pPr>
            <w:r>
              <w:rPr>
                <w:b/>
                <w:bCs/>
                <w:color w:val="9C2B2B"/>
                <w:sz w:val="21"/>
                <w:szCs w:val="21"/>
              </w:rPr>
              <w:t xml:space="preserve">COMMON CODING MYTHS</w:t>
            </w:r>
          </w:p>
          <w:p>
            <w:pPr>
              <w:spacing w:after="60"/>
            </w:pPr>
            <w:r>
              <w:rPr>
                <w:b/>
                <w:bCs/>
                <w:color w:val="9C2B2B"/>
                <w:sz w:val="21"/>
                <w:szCs w:val="21"/>
              </w:rPr>
              <w:t xml:space="preserve">MYTH: </w:t>
            </w:r>
            <w:r>
              <w:rPr>
                <w:i/>
                <w:iCs/>
                <w:sz w:val="21"/>
                <w:szCs w:val="21"/>
              </w:rPr>
              <w:t xml:space="preserve">Telehealth visits require different CPT codes than in-person visits.</w:t>
            </w:r>
          </w:p>
          <w:p>
            <w:pPr>
              <w:spacing w:after="60"/>
            </w:pPr>
            <w:r>
              <w:rPr>
                <w:b/>
                <w:bCs/>
                <w:color w:val="1F3864"/>
                <w:sz w:val="21"/>
                <w:szCs w:val="21"/>
              </w:rPr>
              <w:t xml:space="preserve">REALITY: </w:t>
            </w:r>
            <w:r>
              <w:rPr>
                <w:sz w:val="21"/>
                <w:szCs w:val="21"/>
              </w:rPr>
              <w:t xml:space="preserve">The same office/outpatient E/M codes apply; telehealth status is communicated via place of service and/or modifier, not a different code set, per Rule TH-11.2.</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Audio-only (telephone) visits are billed identically to audio-video telehealth visits.</w:t>
            </w:r>
          </w:p>
          <w:p>
            <w:pPr>
              <w:spacing w:after="60"/>
            </w:pPr>
            <w:r>
              <w:rPr>
                <w:b/>
                <w:bCs/>
                <w:color w:val="1F3864"/>
                <w:sz w:val="21"/>
                <w:szCs w:val="21"/>
              </w:rPr>
              <w:t xml:space="preserve">REALITY: </w:t>
            </w:r>
            <w:r>
              <w:rPr>
                <w:sz w:val="21"/>
                <w:szCs w:val="21"/>
              </w:rPr>
              <w:t xml:space="preserve">Audio-only telehealth is subject to its own, more restrictive set of payer and CMS coverage rules and, in many cases, different codes or modifiers; audio-only and audio-video encounters should never be treated as interchangeable for billing purposes without payer-specific verification.</w:t>
            </w:r>
          </w:p>
        </w:tc>
      </w:tr>
    </w:tbl>
    <w:p>
      <w:pPr>
        <w:spacing w:after="120"/>
      </w:pPr>
    </w:p>
    <w:p>
      <w:pPr>
        <w:pStyle w:val="Heading2"/>
        <w:spacing w:after="160" w:before="360"/>
      </w:pPr>
      <w:r>
        <w:rPr>
          <w:b/>
          <w:bCs/>
          <w:color w:val="2E5A88"/>
          <w:sz w:val="26"/>
          <w:szCs w:val="26"/>
        </w:rPr>
        <w:t xml:space="preserve">11.6 AI Interpretation Logic — Telehealth</w:t>
      </w:r>
    </w:p>
    <w:tbl>
      <w:tblPr>
        <w:tblW w:type="dxa" w:w="9360"/>
        <w:tblBorders>
          <w:top w:val="single" w:color="1F3864" w:sz="4"/>
          <w:left w:val="single" w:color="1F3864" w:sz="4"/>
          <w:bottom w:val="single" w:color="1F3864" w:sz="4"/>
          <w:right w:val="single" w:color="1F3864"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1F3864"/>
                <w:sz w:val="21"/>
                <w:szCs w:val="21"/>
              </w:rPr>
              <w:t xml:space="preserve">AI DECISION LOGIC — TELEHEALTH</w:t>
            </w:r>
          </w:p>
          <w:p>
            <w:pPr>
              <w:spacing w:after="60"/>
            </w:pPr>
            <w:r>
              <w:rPr>
                <w:sz w:val="21"/>
                <w:szCs w:val="21"/>
              </w:rPr>
              <w:t xml:space="preserve">STEP 1: Confirm modality (synchronous audio-video vs. audio-only) and patient physical location are documented.</w:t>
            </w:r>
          </w:p>
          <w:p>
            <w:pPr>
              <w:spacing w:after="60"/>
            </w:pPr>
            <w:r>
              <w:rPr>
                <w:sz w:val="21"/>
                <w:szCs w:val="21"/>
              </w:rPr>
              <w:t xml:space="preserve">STEP 2: Apply standard MDM/time analysis (Chapters 2–5) exactly as for an in-person visit.</w:t>
            </w:r>
          </w:p>
          <w:p>
            <w:pPr>
              <w:spacing w:after="60"/>
            </w:pPr>
            <w:r>
              <w:rPr>
                <w:sz w:val="21"/>
                <w:szCs w:val="21"/>
              </w:rPr>
              <w:t xml:space="preserve">STEP 3: Verify claim-level POS/modifier matches the documented modality and the specific payer's current convention (Rule TH-11.2, Chapter 12).</w:t>
            </w:r>
          </w:p>
          <w:p>
            <w:pPr>
              <w:spacing w:after="60"/>
            </w:pPr>
            <w:r>
              <w:rPr>
                <w:sz w:val="21"/>
                <w:szCs w:val="21"/>
              </w:rPr>
              <w:t xml:space="preserve">STEP 4: IF a controlled substance is prescribed with no in-person visit on file for this patient THEN flag for DEA telemedicine flexibility verification (Rule TH-11.4).</w:t>
            </w:r>
          </w:p>
        </w:tc>
      </w:tr>
    </w:tbl>
    <w:p>
      <w:r>
        <w:br w:type="page"/>
      </w:r>
    </w:p>
    <w:p>
      <w:pPr>
        <w:pStyle w:val="Heading1"/>
        <w:pBdr>
          <w:bottom w:val="single" w:color="1F3864" w:sz="12" w:space="4"/>
        </w:pBdr>
        <w:spacing w:after="240" w:before="480"/>
      </w:pPr>
      <w:r>
        <w:rPr>
          <w:b/>
          <w:bCs/>
          <w:color w:val="1F3864"/>
          <w:sz w:val="32"/>
          <w:szCs w:val="32"/>
        </w:rPr>
        <w:t xml:space="preserve">Chapter 12 — Payer-Specific Documentation Expectations</w:t>
      </w:r>
    </w:p>
    <w:p>
      <w:pPr>
        <w:pStyle w:val="Heading2"/>
        <w:spacing w:after="160" w:before="360"/>
      </w:pPr>
      <w:r>
        <w:rPr>
          <w:b/>
          <w:bCs/>
          <w:color w:val="2E5A88"/>
          <w:sz w:val="26"/>
          <w:szCs w:val="26"/>
        </w:rPr>
        <w:t xml:space="preserve">12.1 How to Use This Chapter</w:t>
      </w:r>
    </w:p>
    <w:p>
      <w:pPr>
        <w:spacing w:after="160" w:line="276"/>
        <w:jc w:val="both"/>
      </w:pPr>
      <w:r>
        <w:rPr>
          <w:sz w:val="22"/>
          <w:szCs w:val="22"/>
        </w:rPr>
        <w:t xml:space="preserve">Per the Tier 4 principle established in Section 1.6, everything in this chapter is </w:t>
      </w:r>
      <w:r>
        <w:rPr>
          <w:b/>
          <w:bCs/>
          <w:sz w:val="22"/>
          <w:szCs w:val="22"/>
        </w:rPr>
        <w:t xml:space="preserve">payer-specific policy, not a CPT or CMS requirement</w:t>
      </w:r>
      <w:r>
        <w:rPr>
          <w:sz w:val="22"/>
          <w:szCs w:val="22"/>
        </w:rPr>
        <w:t xml:space="preserve">. Where a payer's stated policy is more restrictive than CPT/CMS, Trimera follows it only for that payer's claims. Where a payer's stated policy conflicts with CPT/CMS in a way that would improperly deny a well-supported claim, this manual treats it as a processing error to be appealed, not a documentation standard to be adopted — the recurring BCBS Texas downcoding pattern addressed in Section 12.3 is the clearest current example of this distinction in practice.</w:t>
      </w:r>
    </w:p>
    <w:p>
      <w:pPr>
        <w:pStyle w:val="Heading2"/>
        <w:spacing w:after="160" w:before="360"/>
      </w:pPr>
      <w:r>
        <w:rPr>
          <w:b/>
          <w:bCs/>
          <w:color w:val="2E5A88"/>
          <w:sz w:val="26"/>
          <w:szCs w:val="26"/>
        </w:rPr>
        <w:t xml:space="preserve">12.2 UnitedHealthcare / Optum</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PAY-12.2  —  UHC/Optum Key Documentation Expectations</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UHC/Optum medical and reimbursement policy (Tier 4) — verify current policy language before relying on this rule for any specific submission.</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Summarizes the UHC/Optum-specific documentation points with the highest current operational relevance to Trimera.</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(1) Spravato prior authorization and reauthorization, effective 7/1/2026, require current REMS certification documentation and PHQ-9 trending evidence, per Rules SPR-9.3 and SPR-9.6. (2) Stimulant prescribing for adult ADHD has faced increasing utilization-management scrutiny requiring functional-impairment and misuse-risk documentation, per Rule CS-7.2. (3) G2211 acceptance should be confirmed against Trimera's current payer matrix (Section 12.7) before billing, per Rule G2211-8.3, rather than assumed from Medicare adoption.</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Maintain a standing, dated summary of current UHC/Optum policy specifics (this section) as a living reference updated whenever Optum publishes a material policy change, cross-referenced back to the relevant substantive chapter (9, 7, or 8) rather than duplicating full rule detail here.</w:t>
            </w:r>
          </w:p>
        </w:tc>
      </w:tr>
    </w:tbl>
    <w:p>
      <w:pPr>
        <w:spacing w:after="120"/>
      </w:pPr>
    </w:p>
    <w:p>
      <w:pPr>
        <w:pStyle w:val="Heading2"/>
        <w:spacing w:after="160" w:before="360"/>
      </w:pPr>
      <w:r>
        <w:rPr>
          <w:b/>
          <w:bCs/>
          <w:color w:val="2E5A88"/>
          <w:sz w:val="26"/>
          <w:szCs w:val="26"/>
        </w:rPr>
        <w:t xml:space="preserve">12.3 Blue Cross Blue Shield of Texas</w:t>
      </w:r>
    </w:p>
    <w:tbl>
      <w:tblPr>
        <w:tblW w:type="dxa" w:w="9360"/>
        <w:tblBorders>
          <w:top w:val="single" w:color="9C2B2B" w:sz="4"/>
          <w:left w:val="single" w:color="9C2B2B" w:sz="4"/>
          <w:bottom w:val="single" w:color="9C2B2B" w:sz="4"/>
          <w:right w:val="single" w:color="9C2B2B" w:sz="4"/>
          <w:insideH w:val="none" w:color="FFFFFF" w:sz="0"/>
          <w:insideV w:val="none" w:color="FFFFFF" w:sz="0"/>
        </w:tblBorders>
      </w:tblPr>
      <w:tblGrid>
        <w:gridCol w:w="9360"/>
      </w:tblGrid>
      <w:tr>
        <w:tc>
          <w:tcPr>
            <w:tcW w:type="dxa" w:w="9360"/>
            <w:shd w:fill="FBEAEA" w:val="clear"/>
            <w:tcMar>
              <w:top w:type="dxa" w:w="140"/>
              <w:left w:type="dxa" w:w="180"/>
              <w:bottom w:type="dxa" w:w="140"/>
              <w:right w:type="dxa" w:w="180"/>
            </w:tcMar>
          </w:tcPr>
          <w:p>
            <w:pPr>
              <w:spacing w:after="80"/>
            </w:pPr>
            <w:r>
              <w:rPr>
                <w:b/>
                <w:bCs/>
                <w:color w:val="9C2B2B"/>
                <w:sz w:val="21"/>
                <w:szCs w:val="21"/>
              </w:rPr>
              <w:t xml:space="preserve">CURRENT HIGH-PRIORITY ITEM — BCBS TX ALGORITHMIC DOWNCODING, EFFECTIVE 7/1/2026</w:t>
            </w:r>
          </w:p>
          <w:p>
            <w:pPr>
              <w:spacing w:after="60"/>
            </w:pPr>
            <w:r>
              <w:rPr>
                <w:sz w:val="21"/>
                <w:szCs w:val="21"/>
              </w:rPr>
              <w:t xml:space="preserve">Effective July 1, 2026, BCBS Texas has applied what Trimera's billing analysis has identified as algorithmic blanket downcoding of E/M and prolonged service CPT codes, affecting essentially all reviewed claims in the audited sample. This pattern implicates BCBS TX Reimbursement Policy 024 and has been the subject of appeal letters, a downcoding tracker, and an Availity submission SOP developed separately from this manual. This manual's role is narrower and specific: to confirm, chapter by chapter, whether the underlying clinical documentation actually supports the originally billed code, so that every BCBS TX appeal is built on a note that has already been verified against Chapters 2–5 before submission — a downcoded claim with genuinely deficient underlying documentation should be corrected going forward, not appealed, while a downcoded claim with fully sufficient documentation is a strong appeal candidate.</w:t>
            </w:r>
          </w:p>
        </w:tc>
      </w:tr>
    </w:tbl>
    <w:p>
      <w:pPr>
        <w:spacing w:after="120"/>
      </w:pP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PAY-12.3  —  BCBS TX Downcoding Response Protocol</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AUTHORITY</w:t>
            </w:r>
          </w:p>
          <w:p>
            <w:pPr>
              <w:spacing w:after="0" w:line="264"/>
              <w:jc w:val="both"/>
            </w:pPr>
            <w:r>
              <w:rPr>
                <w:sz w:val="21"/>
                <w:szCs w:val="21"/>
              </w:rPr>
              <w:t xml:space="preserve">BCBS TX Reimbursement Policy 024 (Tier 4); Trimera downcoding tracker and appeal SOP (Tier 5, maintained separately from this manual).</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Creates a consistent, efficient triage step so every downcoded BCBS TX claim is checked against this manual's documentation standards before a human spends time drafting a full appeal.</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For every BCBS TX claim downcoded from the originally billed E/M or prolonged service code, first run the claim's underlying note through the applicable chapters of this manual (Chapters 2–5, and 9 if Spravato) to confirm the original code was, in fact, supported as documented. If fully supported, route to appeal using Trimera's existing appeal letter template and Availity SOP. If not fully supported, route to internal documentation feedback rather than appeal.</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IF claim payer = BCBS TX AND claim status = downcoded from originally billed E/M/prolonged code THEN run full Chapter 2–5 (and Chapter 9 if applicable) analysis on the underlying note BEFORE any appeal recommendation; output either 'Appeal-ready: documentation supports original code' with citations to the specific rules satisfied, or 'Documentation gap identified: see flagged items' with citations to the specific rules not satisfied.</w:t>
            </w:r>
          </w:p>
        </w:tc>
      </w:tr>
      <w:tr>
        <w:tc>
          <w:tcPr>
            <w:tcW w:type="dxa" w:w="9360"/>
            <w:shd w:fill="EAF7EE" w:val="clear"/>
            <w:tcMar>
              <w:top w:type="dxa" w:w="100"/>
              <w:left w:type="dxa" w:w="180"/>
              <w:bottom w:type="dxa" w:w="100"/>
              <w:right w:type="dxa" w:w="180"/>
            </w:tcMar>
          </w:tcPr>
          <w:p>
            <w:pPr>
              <w:spacing w:after="40"/>
            </w:pPr>
            <w:r>
              <w:rPr>
                <w:b/>
                <w:bCs/>
                <w:color w:val="2E5A88"/>
                <w:sz w:val="20"/>
                <w:szCs w:val="20"/>
              </w:rPr>
              <w:t xml:space="preserve">TRIMERA BEST PRACTICE</w:t>
            </w:r>
          </w:p>
          <w:p>
            <w:pPr>
              <w:spacing w:after="0" w:line="264"/>
              <w:jc w:val="both"/>
            </w:pPr>
            <w:r>
              <w:rPr>
                <w:sz w:val="21"/>
                <w:szCs w:val="21"/>
              </w:rPr>
              <w:t xml:space="preserve">Track outcomes of this triage process (appeal-ready vs. documentation-gap) over time as its own data point, since a persistently high appeal-ready rate against BCBS TX strengthens the broader argument that the downcoding pattern reflects a payer processing issue rather than a documentation quality issue at Trimera.</w:t>
            </w:r>
          </w:p>
        </w:tc>
      </w:tr>
    </w:tbl>
    <w:p>
      <w:pPr>
        <w:spacing w:after="120"/>
      </w:pPr>
    </w:p>
    <w:p>
      <w:pPr>
        <w:pStyle w:val="Heading2"/>
        <w:spacing w:after="160" w:before="360"/>
      </w:pPr>
      <w:r>
        <w:rPr>
          <w:b/>
          <w:bCs/>
          <w:color w:val="2E5A88"/>
          <w:sz w:val="26"/>
          <w:szCs w:val="26"/>
        </w:rPr>
        <w:t xml:space="preserve">12.4 Aetna</w:t>
      </w:r>
    </w:p>
    <w:p>
      <w:pPr>
        <w:spacing w:after="160" w:line="276"/>
        <w:jc w:val="both"/>
      </w:pPr>
      <w:r>
        <w:rPr>
          <w:sz w:val="22"/>
          <w:szCs w:val="22"/>
        </w:rPr>
        <w:t xml:space="preserve">Aetna's behavioral health documentation policies generally track CMS/CPT MDM and time standards closely, with particular attention historically paid to psychotherapy add-on code medical necessity (Chapter 6) and, for some plan types, more conservative G2211 acceptance than Medicare. Verify current G2211 and psychotherapy utilization-management policy specifics against Aetna's published provider manual before relying on this summary for a specific submission.</w:t>
      </w:r>
    </w:p>
    <w:p>
      <w:pPr>
        <w:pStyle w:val="Heading2"/>
        <w:spacing w:after="160" w:before="360"/>
      </w:pPr>
      <w:r>
        <w:rPr>
          <w:b/>
          <w:bCs/>
          <w:color w:val="2E5A88"/>
          <w:sz w:val="26"/>
          <w:szCs w:val="26"/>
        </w:rPr>
        <w:t xml:space="preserve">12.5 Cigna</w:t>
      </w:r>
    </w:p>
    <w:p>
      <w:pPr>
        <w:spacing w:after="160" w:line="276"/>
        <w:jc w:val="both"/>
      </w:pPr>
      <w:r>
        <w:rPr>
          <w:sz w:val="22"/>
          <w:szCs w:val="22"/>
        </w:rPr>
        <w:t xml:space="preserve">Cigna's behavioral health documentation review has historically emphasized standalone psychotherapy code time-threshold precision (Chapter 6) and controlled substance utilization review consistent with Chapter 7's stimulant and benzodiazepine documentation standards. As with all payers in this chapter, current policy specifics should be verified rather than assumed static.</w:t>
      </w:r>
    </w:p>
    <w:p>
      <w:pPr>
        <w:pStyle w:val="Heading2"/>
        <w:spacing w:after="160" w:before="360"/>
      </w:pPr>
      <w:r>
        <w:rPr>
          <w:b/>
          <w:bCs/>
          <w:color w:val="2E5A88"/>
          <w:sz w:val="26"/>
          <w:szCs w:val="26"/>
        </w:rPr>
        <w:t xml:space="preserve">12.6 Humana</w:t>
      </w:r>
    </w:p>
    <w:p>
      <w:pPr>
        <w:spacing w:after="160" w:line="276"/>
        <w:jc w:val="both"/>
      </w:pPr>
      <w:r>
        <w:rPr>
          <w:sz w:val="22"/>
          <w:szCs w:val="22"/>
        </w:rPr>
        <w:t xml:space="preserve">Humana's Medicare Advantage plans generally follow CMS conventions closely, including G2211 and G2212 (rather than 99417) adoption consistent with Medicare's own rules, given Humana's substantial Medicare Advantage book of business. Commercial Humana plans should be verified independently rather than assumed to follow the Medicare Advantage convention.</w:t>
      </w:r>
    </w:p>
    <w:p>
      <w:pPr>
        <w:pStyle w:val="Heading2"/>
        <w:spacing w:after="160" w:before="360"/>
      </w:pPr>
      <w:r>
        <w:rPr>
          <w:b/>
          <w:bCs/>
          <w:color w:val="2E5A88"/>
          <w:sz w:val="26"/>
          <w:szCs w:val="26"/>
        </w:rPr>
        <w:t xml:space="preserve">12.7 Payer Matrix Summary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2200"/>
        <w:gridCol w:w="1900"/>
        <w:gridCol w:w="3660"/>
      </w:tblGrid>
      <w:tr>
        <w:trPr>
          <w:tblHeader/>
        </w:trPr>
        <w:tc>
          <w:tcPr>
            <w:tcW w:type="dxa" w:w="1600"/>
            <w:shd w:fill="1F3864" w:val="clear"/>
            <w:tcMar>
              <w:top w:type="dxa" w:w="80"/>
              <w:left w:type="dxa" w:w="120"/>
              <w:bottom w:type="dxa" w:w="80"/>
              <w:right w:type="dxa" w:w="120"/>
            </w:tcMar>
          </w:tcPr>
          <w:p>
            <w:r>
              <w:rPr>
                <w:b/>
                <w:bCs/>
                <w:color w:val="FFFFFF"/>
                <w:sz w:val="20"/>
                <w:szCs w:val="20"/>
              </w:rPr>
              <w:t xml:space="preserve">Payer</w:t>
            </w:r>
          </w:p>
        </w:tc>
        <w:tc>
          <w:tcPr>
            <w:tcW w:type="dxa" w:w="2200"/>
            <w:shd w:fill="1F3864" w:val="clear"/>
            <w:tcMar>
              <w:top w:type="dxa" w:w="80"/>
              <w:left w:type="dxa" w:w="120"/>
              <w:bottom w:type="dxa" w:w="80"/>
              <w:right w:type="dxa" w:w="120"/>
            </w:tcMar>
          </w:tcPr>
          <w:p>
            <w:r>
              <w:rPr>
                <w:b/>
                <w:bCs/>
                <w:color w:val="FFFFFF"/>
                <w:sz w:val="20"/>
                <w:szCs w:val="20"/>
              </w:rPr>
              <w:t xml:space="preserve">G2211 Acceptance (Verify Current)</w:t>
            </w:r>
          </w:p>
        </w:tc>
        <w:tc>
          <w:tcPr>
            <w:tcW w:type="dxa" w:w="1900"/>
            <w:shd w:fill="1F3864" w:val="clear"/>
            <w:tcMar>
              <w:top w:type="dxa" w:w="80"/>
              <w:left w:type="dxa" w:w="120"/>
              <w:bottom w:type="dxa" w:w="80"/>
              <w:right w:type="dxa" w:w="120"/>
            </w:tcMar>
          </w:tcPr>
          <w:p>
            <w:r>
              <w:rPr>
                <w:b/>
                <w:bCs/>
                <w:color w:val="FFFFFF"/>
                <w:sz w:val="20"/>
                <w:szCs w:val="20"/>
              </w:rPr>
              <w:t xml:space="preserve">Prolonged Services Code</w:t>
            </w:r>
          </w:p>
        </w:tc>
        <w:tc>
          <w:tcPr>
            <w:tcW w:type="dxa" w:w="3660"/>
            <w:shd w:fill="1F3864" w:val="clear"/>
            <w:tcMar>
              <w:top w:type="dxa" w:w="80"/>
              <w:left w:type="dxa" w:w="120"/>
              <w:bottom w:type="dxa" w:w="80"/>
              <w:right w:type="dxa" w:w="120"/>
            </w:tcMar>
          </w:tcPr>
          <w:p>
            <w:r>
              <w:rPr>
                <w:b/>
                <w:bCs/>
                <w:color w:val="FFFFFF"/>
                <w:sz w:val="20"/>
                <w:szCs w:val="20"/>
              </w:rPr>
              <w:t xml:space="preserve">Notable Current Item</w:t>
            </w:r>
          </w:p>
        </w:tc>
      </w:tr>
      <w:tr>
        <w:tc>
          <w:tcPr>
            <w:tcW w:type="dxa" w:w="1600"/>
            <w:shd w:fill="FFFFFF" w:val="clear"/>
            <w:tcMar>
              <w:top w:type="dxa" w:w="80"/>
              <w:left w:type="dxa" w:w="120"/>
              <w:bottom w:type="dxa" w:w="80"/>
              <w:right w:type="dxa" w:w="120"/>
            </w:tcMar>
          </w:tcPr>
          <w:p>
            <w:r>
              <w:rPr>
                <w:sz w:val="20"/>
                <w:szCs w:val="20"/>
              </w:rPr>
              <w:t xml:space="preserve">Medicare / Medicare Advantage generally</w:t>
            </w:r>
          </w:p>
        </w:tc>
        <w:tc>
          <w:tcPr>
            <w:tcW w:type="dxa" w:w="2200"/>
            <w:shd w:fill="FFFFFF" w:val="clear"/>
            <w:tcMar>
              <w:top w:type="dxa" w:w="80"/>
              <w:left w:type="dxa" w:w="120"/>
              <w:bottom w:type="dxa" w:w="80"/>
              <w:right w:type="dxa" w:w="120"/>
            </w:tcMar>
          </w:tcPr>
          <w:p>
            <w:r>
              <w:rPr>
                <w:sz w:val="20"/>
                <w:szCs w:val="20"/>
              </w:rPr>
              <w:t xml:space="preserve">Accepted</w:t>
            </w:r>
          </w:p>
        </w:tc>
        <w:tc>
          <w:tcPr>
            <w:tcW w:type="dxa" w:w="1900"/>
            <w:shd w:fill="FFFFFF" w:val="clear"/>
            <w:tcMar>
              <w:top w:type="dxa" w:w="80"/>
              <w:left w:type="dxa" w:w="120"/>
              <w:bottom w:type="dxa" w:w="80"/>
              <w:right w:type="dxa" w:w="120"/>
            </w:tcMar>
          </w:tcPr>
          <w:p>
            <w:r>
              <w:rPr>
                <w:sz w:val="20"/>
                <w:szCs w:val="20"/>
              </w:rPr>
              <w:t xml:space="preserve">G2212</w:t>
            </w:r>
          </w:p>
        </w:tc>
        <w:tc>
          <w:tcPr>
            <w:tcW w:type="dxa" w:w="3660"/>
            <w:shd w:fill="FFFFFF" w:val="clear"/>
            <w:tcMar>
              <w:top w:type="dxa" w:w="80"/>
              <w:left w:type="dxa" w:w="120"/>
              <w:bottom w:type="dxa" w:w="80"/>
              <w:right w:type="dxa" w:w="120"/>
            </w:tcMar>
          </w:tcPr>
          <w:p>
            <w:r>
              <w:rPr>
                <w:sz w:val="20"/>
                <w:szCs w:val="20"/>
              </w:rPr>
              <w:t xml:space="preserve">Standard CMS conventions</w:t>
            </w:r>
          </w:p>
        </w:tc>
      </w:tr>
      <w:tr>
        <w:tc>
          <w:tcPr>
            <w:tcW w:type="dxa" w:w="1600"/>
            <w:shd w:fill="F2F2F2" w:val="clear"/>
            <w:tcMar>
              <w:top w:type="dxa" w:w="80"/>
              <w:left w:type="dxa" w:w="120"/>
              <w:bottom w:type="dxa" w:w="80"/>
              <w:right w:type="dxa" w:w="120"/>
            </w:tcMar>
          </w:tcPr>
          <w:p>
            <w:r>
              <w:rPr>
                <w:sz w:val="20"/>
                <w:szCs w:val="20"/>
              </w:rPr>
              <w:t xml:space="preserve">UHC/Optum</w:t>
            </w:r>
          </w:p>
        </w:tc>
        <w:tc>
          <w:tcPr>
            <w:tcW w:type="dxa" w:w="2200"/>
            <w:shd w:fill="F2F2F2" w:val="clear"/>
            <w:tcMar>
              <w:top w:type="dxa" w:w="80"/>
              <w:left w:type="dxa" w:w="120"/>
              <w:bottom w:type="dxa" w:w="80"/>
              <w:right w:type="dxa" w:w="120"/>
            </w:tcMar>
          </w:tcPr>
          <w:p>
            <w:r>
              <w:rPr>
                <w:sz w:val="20"/>
                <w:szCs w:val="20"/>
              </w:rPr>
              <w:t xml:space="preserve">Verify current policy</w:t>
            </w:r>
          </w:p>
        </w:tc>
        <w:tc>
          <w:tcPr>
            <w:tcW w:type="dxa" w:w="1900"/>
            <w:shd w:fill="F2F2F2" w:val="clear"/>
            <w:tcMar>
              <w:top w:type="dxa" w:w="80"/>
              <w:left w:type="dxa" w:w="120"/>
              <w:bottom w:type="dxa" w:w="80"/>
              <w:right w:type="dxa" w:w="120"/>
            </w:tcMar>
          </w:tcPr>
          <w:p>
            <w:r>
              <w:rPr>
                <w:sz w:val="20"/>
                <w:szCs w:val="20"/>
              </w:rPr>
              <w:t xml:space="preserve">Verify current policy</w:t>
            </w:r>
          </w:p>
        </w:tc>
        <w:tc>
          <w:tcPr>
            <w:tcW w:type="dxa" w:w="3660"/>
            <w:shd w:fill="F2F2F2" w:val="clear"/>
            <w:tcMar>
              <w:top w:type="dxa" w:w="80"/>
              <w:left w:type="dxa" w:w="120"/>
              <w:bottom w:type="dxa" w:w="80"/>
              <w:right w:type="dxa" w:w="120"/>
            </w:tcMar>
          </w:tcPr>
          <w:p>
            <w:r>
              <w:rPr>
                <w:sz w:val="20"/>
                <w:szCs w:val="20"/>
              </w:rPr>
              <w:t xml:space="preserve">Spravato PA update effective 7/1/2026 (Section 12.2); stimulant utilization review</w:t>
            </w:r>
          </w:p>
        </w:tc>
      </w:tr>
      <w:tr>
        <w:tc>
          <w:tcPr>
            <w:tcW w:type="dxa" w:w="1600"/>
            <w:shd w:fill="FFFFFF" w:val="clear"/>
            <w:tcMar>
              <w:top w:type="dxa" w:w="80"/>
              <w:left w:type="dxa" w:w="120"/>
              <w:bottom w:type="dxa" w:w="80"/>
              <w:right w:type="dxa" w:w="120"/>
            </w:tcMar>
          </w:tcPr>
          <w:p>
            <w:r>
              <w:rPr>
                <w:sz w:val="20"/>
                <w:szCs w:val="20"/>
              </w:rPr>
              <w:t xml:space="preserve">BCBS Texas</w:t>
            </w:r>
          </w:p>
        </w:tc>
        <w:tc>
          <w:tcPr>
            <w:tcW w:type="dxa" w:w="2200"/>
            <w:shd w:fill="FFFFFF" w:val="clear"/>
            <w:tcMar>
              <w:top w:type="dxa" w:w="80"/>
              <w:left w:type="dxa" w:w="120"/>
              <w:bottom w:type="dxa" w:w="80"/>
              <w:right w:type="dxa" w:w="120"/>
            </w:tcMar>
          </w:tcPr>
          <w:p>
            <w:r>
              <w:rPr>
                <w:sz w:val="20"/>
                <w:szCs w:val="20"/>
              </w:rPr>
              <w:t xml:space="preserve">Verify current policy</w:t>
            </w:r>
          </w:p>
        </w:tc>
        <w:tc>
          <w:tcPr>
            <w:tcW w:type="dxa" w:w="1900"/>
            <w:shd w:fill="FFFFFF" w:val="clear"/>
            <w:tcMar>
              <w:top w:type="dxa" w:w="80"/>
              <w:left w:type="dxa" w:w="120"/>
              <w:bottom w:type="dxa" w:w="80"/>
              <w:right w:type="dxa" w:w="120"/>
            </w:tcMar>
          </w:tcPr>
          <w:p>
            <w:r>
              <w:rPr>
                <w:sz w:val="20"/>
                <w:szCs w:val="20"/>
              </w:rPr>
              <w:t xml:space="preserve">Verify current policy</w:t>
            </w:r>
          </w:p>
        </w:tc>
        <w:tc>
          <w:tcPr>
            <w:tcW w:type="dxa" w:w="3660"/>
            <w:shd w:fill="FFFFFF" w:val="clear"/>
            <w:tcMar>
              <w:top w:type="dxa" w:w="80"/>
              <w:left w:type="dxa" w:w="120"/>
              <w:bottom w:type="dxa" w:w="80"/>
              <w:right w:type="dxa" w:w="120"/>
            </w:tcMar>
          </w:tcPr>
          <w:p>
            <w:r>
              <w:rPr>
                <w:sz w:val="20"/>
                <w:szCs w:val="20"/>
              </w:rPr>
              <w:t xml:space="preserve">Algorithmic downcoding pattern effective 7/1/2026, Reimbursement Policy 024 (Section 12.3)</w:t>
            </w:r>
          </w:p>
        </w:tc>
      </w:tr>
      <w:tr>
        <w:tc>
          <w:tcPr>
            <w:tcW w:type="dxa" w:w="1600"/>
            <w:shd w:fill="F2F2F2" w:val="clear"/>
            <w:tcMar>
              <w:top w:type="dxa" w:w="80"/>
              <w:left w:type="dxa" w:w="120"/>
              <w:bottom w:type="dxa" w:w="80"/>
              <w:right w:type="dxa" w:w="120"/>
            </w:tcMar>
          </w:tcPr>
          <w:p>
            <w:r>
              <w:rPr>
                <w:sz w:val="20"/>
                <w:szCs w:val="20"/>
              </w:rPr>
              <w:t xml:space="preserve">Aetna</w:t>
            </w:r>
          </w:p>
        </w:tc>
        <w:tc>
          <w:tcPr>
            <w:tcW w:type="dxa" w:w="2200"/>
            <w:shd w:fill="F2F2F2" w:val="clear"/>
            <w:tcMar>
              <w:top w:type="dxa" w:w="80"/>
              <w:left w:type="dxa" w:w="120"/>
              <w:bottom w:type="dxa" w:w="80"/>
              <w:right w:type="dxa" w:w="120"/>
            </w:tcMar>
          </w:tcPr>
          <w:p>
            <w:r>
              <w:rPr>
                <w:sz w:val="20"/>
                <w:szCs w:val="20"/>
              </w:rPr>
              <w:t xml:space="preserve">Verify current policy</w:t>
            </w:r>
          </w:p>
        </w:tc>
        <w:tc>
          <w:tcPr>
            <w:tcW w:type="dxa" w:w="1900"/>
            <w:shd w:fill="F2F2F2" w:val="clear"/>
            <w:tcMar>
              <w:top w:type="dxa" w:w="80"/>
              <w:left w:type="dxa" w:w="120"/>
              <w:bottom w:type="dxa" w:w="80"/>
              <w:right w:type="dxa" w:w="120"/>
            </w:tcMar>
          </w:tcPr>
          <w:p>
            <w:r>
              <w:rPr>
                <w:sz w:val="20"/>
                <w:szCs w:val="20"/>
              </w:rPr>
              <w:t xml:space="preserve">Verify current policy</w:t>
            </w:r>
          </w:p>
        </w:tc>
        <w:tc>
          <w:tcPr>
            <w:tcW w:type="dxa" w:w="3660"/>
            <w:shd w:fill="F2F2F2" w:val="clear"/>
            <w:tcMar>
              <w:top w:type="dxa" w:w="80"/>
              <w:left w:type="dxa" w:w="120"/>
              <w:bottom w:type="dxa" w:w="80"/>
              <w:right w:type="dxa" w:w="120"/>
            </w:tcMar>
          </w:tcPr>
          <w:p>
            <w:r>
              <w:rPr>
                <w:sz w:val="20"/>
                <w:szCs w:val="20"/>
              </w:rPr>
              <w:t xml:space="preserve">Psychotherapy add-on utilization review emphasis</w:t>
            </w:r>
          </w:p>
        </w:tc>
      </w:tr>
      <w:tr>
        <w:tc>
          <w:tcPr>
            <w:tcW w:type="dxa" w:w="1600"/>
            <w:shd w:fill="FFFFFF" w:val="clear"/>
            <w:tcMar>
              <w:top w:type="dxa" w:w="80"/>
              <w:left w:type="dxa" w:w="120"/>
              <w:bottom w:type="dxa" w:w="80"/>
              <w:right w:type="dxa" w:w="120"/>
            </w:tcMar>
          </w:tcPr>
          <w:p>
            <w:r>
              <w:rPr>
                <w:sz w:val="20"/>
                <w:szCs w:val="20"/>
              </w:rPr>
              <w:t xml:space="preserve">Cigna</w:t>
            </w:r>
          </w:p>
        </w:tc>
        <w:tc>
          <w:tcPr>
            <w:tcW w:type="dxa" w:w="2200"/>
            <w:shd w:fill="FFFFFF" w:val="clear"/>
            <w:tcMar>
              <w:top w:type="dxa" w:w="80"/>
              <w:left w:type="dxa" w:w="120"/>
              <w:bottom w:type="dxa" w:w="80"/>
              <w:right w:type="dxa" w:w="120"/>
            </w:tcMar>
          </w:tcPr>
          <w:p>
            <w:r>
              <w:rPr>
                <w:sz w:val="20"/>
                <w:szCs w:val="20"/>
              </w:rPr>
              <w:t xml:space="preserve">Verify current policy</w:t>
            </w:r>
          </w:p>
        </w:tc>
        <w:tc>
          <w:tcPr>
            <w:tcW w:type="dxa" w:w="1900"/>
            <w:shd w:fill="FFFFFF" w:val="clear"/>
            <w:tcMar>
              <w:top w:type="dxa" w:w="80"/>
              <w:left w:type="dxa" w:w="120"/>
              <w:bottom w:type="dxa" w:w="80"/>
              <w:right w:type="dxa" w:w="120"/>
            </w:tcMar>
          </w:tcPr>
          <w:p>
            <w:r>
              <w:rPr>
                <w:sz w:val="20"/>
                <w:szCs w:val="20"/>
              </w:rPr>
              <w:t xml:space="preserve">Verify current policy</w:t>
            </w:r>
          </w:p>
        </w:tc>
        <w:tc>
          <w:tcPr>
            <w:tcW w:type="dxa" w:w="3660"/>
            <w:shd w:fill="FFFFFF" w:val="clear"/>
            <w:tcMar>
              <w:top w:type="dxa" w:w="80"/>
              <w:left w:type="dxa" w:w="120"/>
              <w:bottom w:type="dxa" w:w="80"/>
              <w:right w:type="dxa" w:w="120"/>
            </w:tcMar>
          </w:tcPr>
          <w:p>
            <w:r>
              <w:rPr>
                <w:sz w:val="20"/>
                <w:szCs w:val="20"/>
              </w:rPr>
              <w:t xml:space="preserve">Standalone psychotherapy time-threshold scrutiny</w:t>
            </w:r>
          </w:p>
        </w:tc>
      </w:tr>
      <w:tr>
        <w:tc>
          <w:tcPr>
            <w:tcW w:type="dxa" w:w="1600"/>
            <w:shd w:fill="F2F2F2" w:val="clear"/>
            <w:tcMar>
              <w:top w:type="dxa" w:w="80"/>
              <w:left w:type="dxa" w:w="120"/>
              <w:bottom w:type="dxa" w:w="80"/>
              <w:right w:type="dxa" w:w="120"/>
            </w:tcMar>
          </w:tcPr>
          <w:p>
            <w:r>
              <w:rPr>
                <w:sz w:val="20"/>
                <w:szCs w:val="20"/>
              </w:rPr>
              <w:t xml:space="preserve">Humana</w:t>
            </w:r>
          </w:p>
        </w:tc>
        <w:tc>
          <w:tcPr>
            <w:tcW w:type="dxa" w:w="2200"/>
            <w:shd w:fill="F2F2F2" w:val="clear"/>
            <w:tcMar>
              <w:top w:type="dxa" w:w="80"/>
              <w:left w:type="dxa" w:w="120"/>
              <w:bottom w:type="dxa" w:w="80"/>
              <w:right w:type="dxa" w:w="120"/>
            </w:tcMar>
          </w:tcPr>
          <w:p>
            <w:r>
              <w:rPr>
                <w:sz w:val="20"/>
                <w:szCs w:val="20"/>
              </w:rPr>
              <w:t xml:space="preserve">Follows CMS on MA plans; verify commercial</w:t>
            </w:r>
          </w:p>
        </w:tc>
        <w:tc>
          <w:tcPr>
            <w:tcW w:type="dxa" w:w="1900"/>
            <w:shd w:fill="F2F2F2" w:val="clear"/>
            <w:tcMar>
              <w:top w:type="dxa" w:w="80"/>
              <w:left w:type="dxa" w:w="120"/>
              <w:bottom w:type="dxa" w:w="80"/>
              <w:right w:type="dxa" w:w="120"/>
            </w:tcMar>
          </w:tcPr>
          <w:p>
            <w:r>
              <w:rPr>
                <w:sz w:val="20"/>
                <w:szCs w:val="20"/>
              </w:rPr>
              <w:t xml:space="preserve">G2212 on MA plans; verify commercial</w:t>
            </w:r>
          </w:p>
        </w:tc>
        <w:tc>
          <w:tcPr>
            <w:tcW w:type="dxa" w:w="3660"/>
            <w:shd w:fill="F2F2F2" w:val="clear"/>
            <w:tcMar>
              <w:top w:type="dxa" w:w="80"/>
              <w:left w:type="dxa" w:w="120"/>
              <w:bottom w:type="dxa" w:w="80"/>
              <w:right w:type="dxa" w:w="120"/>
            </w:tcMar>
          </w:tcPr>
          <w:p>
            <w:r>
              <w:rPr>
                <w:sz w:val="20"/>
                <w:szCs w:val="20"/>
              </w:rPr>
              <w:t xml:space="preserve">Commercial policy may diverge from MA convention</w:t>
            </w:r>
          </w:p>
        </w:tc>
      </w:tr>
    </w:tbl>
    <w:p>
      <w:pPr>
        <w:spacing w:after="120"/>
      </w:pPr>
    </w:p>
    <w:p>
      <w:pPr>
        <w:pStyle w:val="Heading2"/>
        <w:spacing w:after="160" w:before="360"/>
      </w:pPr>
      <w:r>
        <w:rPr>
          <w:b/>
          <w:bCs/>
          <w:color w:val="2E5A88"/>
          <w:sz w:val="26"/>
          <w:szCs w:val="26"/>
        </w:rPr>
        <w:t xml:space="preserve">12.8 Common Coding Myths — Payer-Specific Rules</w:t>
      </w:r>
    </w:p>
    <w:tbl>
      <w:tblPr>
        <w:tblW w:type="dxa" w:w="9360"/>
        <w:tblBorders>
          <w:top w:val="single" w:color="9C2B2B" w:sz="4"/>
          <w:left w:val="single" w:color="9C2B2B" w:sz="4"/>
          <w:bottom w:val="single" w:color="9C2B2B" w:sz="4"/>
          <w:right w:val="single" w:color="9C2B2B" w:sz="4"/>
          <w:insideH w:val="none" w:color="FFFFFF" w:sz="0"/>
          <w:insideV w:val="none" w:color="FFFFFF" w:sz="0"/>
        </w:tblBorders>
      </w:tblPr>
      <w:tblGrid>
        <w:gridCol w:w="9360"/>
      </w:tblGrid>
      <w:tr>
        <w:tc>
          <w:tcPr>
            <w:tcW w:type="dxa" w:w="9360"/>
            <w:shd w:fill="FBEAEA" w:val="clear"/>
            <w:tcMar>
              <w:top w:type="dxa" w:w="140"/>
              <w:left w:type="dxa" w:w="180"/>
              <w:bottom w:type="dxa" w:w="140"/>
              <w:right w:type="dxa" w:w="180"/>
            </w:tcMar>
          </w:tcPr>
          <w:p>
            <w:pPr>
              <w:spacing w:after="80"/>
            </w:pPr>
            <w:r>
              <w:rPr>
                <w:b/>
                <w:bCs/>
                <w:color w:val="9C2B2B"/>
                <w:sz w:val="21"/>
                <w:szCs w:val="21"/>
              </w:rPr>
              <w:t xml:space="preserve">COMMON CODING MYTHS</w:t>
            </w:r>
          </w:p>
          <w:p>
            <w:pPr>
              <w:spacing w:after="60"/>
            </w:pPr>
            <w:r>
              <w:rPr>
                <w:b/>
                <w:bCs/>
                <w:color w:val="9C2B2B"/>
                <w:sz w:val="21"/>
                <w:szCs w:val="21"/>
              </w:rPr>
              <w:t xml:space="preserve">MYTH: </w:t>
            </w:r>
            <w:r>
              <w:rPr>
                <w:i/>
                <w:iCs/>
                <w:sz w:val="21"/>
                <w:szCs w:val="21"/>
              </w:rPr>
              <w:t xml:space="preserve">If Medicare accepts a code or policy, all commercial payers will too.</w:t>
            </w:r>
          </w:p>
          <w:p>
            <w:pPr>
              <w:spacing w:after="60"/>
            </w:pPr>
            <w:r>
              <w:rPr>
                <w:b/>
                <w:bCs/>
                <w:color w:val="1F3864"/>
                <w:sz w:val="21"/>
                <w:szCs w:val="21"/>
              </w:rPr>
              <w:t xml:space="preserve">REALITY: </w:t>
            </w:r>
            <w:r>
              <w:rPr>
                <w:sz w:val="21"/>
                <w:szCs w:val="21"/>
              </w:rPr>
              <w:t xml:space="preserve">Adoption is payer-specific and must be independently verified per payer, as emphasized throughout Chapters 8 and 12 — Medicare adoption is not a reliable predictor of commercial adoption.</w:t>
            </w:r>
          </w:p>
          <w:p>
            <w:pPr>
              <w:spacing w:after="60"/>
            </w:pPr>
            <w:r>
              <w:rPr>
                <w:sz w:val="21"/>
                <w:szCs w:val="21"/>
              </w:rPr>
              <w:t xml:space="default"/>
            </w:r>
          </w:p>
          <w:p>
            <w:pPr>
              <w:spacing w:after="60"/>
            </w:pPr>
            <w:r>
              <w:rPr>
                <w:b/>
                <w:bCs/>
                <w:color w:val="9C2B2B"/>
                <w:sz w:val="21"/>
                <w:szCs w:val="21"/>
              </w:rPr>
              <w:t xml:space="preserve">MYTH: </w:t>
            </w:r>
            <w:r>
              <w:rPr>
                <w:i/>
                <w:iCs/>
                <w:sz w:val="21"/>
                <w:szCs w:val="21"/>
              </w:rPr>
              <w:t xml:space="preserve">A payer downcoding a claim always means the documentation was insufficient.</w:t>
            </w:r>
          </w:p>
          <w:p>
            <w:pPr>
              <w:spacing w:after="60"/>
            </w:pPr>
            <w:r>
              <w:rPr>
                <w:b/>
                <w:bCs/>
                <w:color w:val="1F3864"/>
                <w:sz w:val="21"/>
                <w:szCs w:val="21"/>
              </w:rPr>
              <w:t xml:space="preserve">REALITY: </w:t>
            </w:r>
            <w:r>
              <w:rPr>
                <w:sz w:val="21"/>
                <w:szCs w:val="21"/>
              </w:rPr>
              <w:t xml:space="preserve">As the BCBS TX pattern in Section 12.3 illustrates, a downcode can reflect a payer processing pattern rather than a genuine documentation deficiency; the correct response is always to independently verify the documentation against Chapters 2–5 before concluding either way.</w:t>
            </w:r>
          </w:p>
        </w:tc>
      </w:tr>
    </w:tbl>
    <w:p>
      <w:pPr>
        <w:spacing w:after="120"/>
      </w:pPr>
    </w:p>
    <w:p>
      <w:pPr>
        <w:pStyle w:val="Heading2"/>
        <w:spacing w:after="160" w:before="360"/>
      </w:pPr>
      <w:r>
        <w:rPr>
          <w:b/>
          <w:bCs/>
          <w:color w:val="2E5A88"/>
          <w:sz w:val="26"/>
          <w:szCs w:val="26"/>
        </w:rPr>
        <w:t xml:space="preserve">12.9 AI Interpretation Logic — Payer-Specific Routing</w:t>
      </w:r>
    </w:p>
    <w:tbl>
      <w:tblPr>
        <w:tblW w:type="dxa" w:w="9360"/>
        <w:tblBorders>
          <w:top w:val="single" w:color="1F3864" w:sz="4"/>
          <w:left w:val="single" w:color="1F3864" w:sz="4"/>
          <w:bottom w:val="single" w:color="1F3864" w:sz="4"/>
          <w:right w:val="single" w:color="1F3864"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1F3864"/>
                <w:sz w:val="21"/>
                <w:szCs w:val="21"/>
              </w:rPr>
              <w:t xml:space="preserve">AI DECISION LOGIC — PAYER-SPECIFIC ROUTING</w:t>
            </w:r>
          </w:p>
          <w:p>
            <w:pPr>
              <w:spacing w:after="60"/>
            </w:pPr>
            <w:r>
              <w:rPr>
                <w:sz w:val="21"/>
                <w:szCs w:val="21"/>
              </w:rPr>
              <w:t xml:space="preserve">STEP 1: Identify the claim's payer and cross-reference Section 12.7's matrix for known current-item flags.</w:t>
            </w:r>
          </w:p>
          <w:p>
            <w:pPr>
              <w:spacing w:after="60"/>
            </w:pPr>
            <w:r>
              <w:rPr>
                <w:sz w:val="21"/>
                <w:szCs w:val="21"/>
              </w:rPr>
              <w:t xml:space="preserve">STEP 2: Apply any payer-specific documentation rule from this chapter in addition to, never instead of, the underlying CPT/CMS standards in Chapters 2–11.</w:t>
            </w:r>
          </w:p>
          <w:p>
            <w:pPr>
              <w:spacing w:after="60"/>
            </w:pPr>
            <w:r>
              <w:rPr>
                <w:sz w:val="21"/>
                <w:szCs w:val="21"/>
              </w:rPr>
              <w:t xml:space="preserve">STEP 3: FOR BCBS TX downcoded claims specifically, apply the Rule PAY-12.3 triage protocol before any appeal recommendation.</w:t>
            </w:r>
          </w:p>
          <w:p>
            <w:pPr>
              <w:spacing w:after="60"/>
            </w:pPr>
            <w:r>
              <w:rPr>
                <w:sz w:val="21"/>
                <w:szCs w:val="21"/>
              </w:rPr>
              <w:t xml:space="preserve">STEP 4: Flag any payer-specific rule in this chapter that has not been verified within the current quarter for re-confirmation, since payer policy in this space changes faster than CPT/CMS national guidance.</w:t>
            </w:r>
          </w:p>
        </w:tc>
      </w:tr>
    </w:tbl>
    <w:p>
      <w:r>
        <w:br w:type="page"/>
      </w:r>
    </w:p>
    <w:p>
      <w:pPr>
        <w:pStyle w:val="Heading1"/>
        <w:pBdr>
          <w:bottom w:val="single" w:color="1F3864" w:sz="12" w:space="4"/>
        </w:pBdr>
        <w:spacing w:after="240" w:before="480"/>
      </w:pPr>
      <w:r>
        <w:rPr>
          <w:b/>
          <w:bCs/>
          <w:color w:val="1F3864"/>
          <w:sz w:val="32"/>
          <w:szCs w:val="32"/>
        </w:rPr>
        <w:t xml:space="preserve">Chapter 13 — AI Documentation Auditor: Master Decision Logic</w:t>
      </w:r>
    </w:p>
    <w:p>
      <w:pPr>
        <w:pStyle w:val="Heading2"/>
        <w:spacing w:after="160" w:before="360"/>
      </w:pPr>
      <w:r>
        <w:rPr>
          <w:b/>
          <w:bCs/>
          <w:color w:val="2E5A88"/>
          <w:sz w:val="26"/>
          <w:szCs w:val="26"/>
        </w:rPr>
        <w:t xml:space="preserve">13.1 Purpose of This Chapter</w:t>
      </w:r>
    </w:p>
    <w:p>
      <w:pPr>
        <w:spacing w:after="160" w:line="276"/>
        <w:jc w:val="both"/>
      </w:pPr>
      <w:r>
        <w:rPr>
          <w:sz w:val="22"/>
          <w:szCs w:val="22"/>
        </w:rPr>
        <w:t xml:space="preserve">Chapters 2 through 12 each contain their own AI Interpretation Logic sections, scoped to a specific code family or compliance topic. This chapter consolidates those into a single end-to-end pipeline describing how the AI documentation auditor should process a note from intake to final output, and it defines the standard output format every finding should follow so that human reviewers receive consistent, citable results regardless of which chapters were triggered.</w:t>
      </w:r>
    </w:p>
    <w:p>
      <w:pPr>
        <w:pStyle w:val="Heading2"/>
        <w:spacing w:after="160" w:before="360"/>
      </w:pPr>
      <w:r>
        <w:rPr>
          <w:b/>
          <w:bCs/>
          <w:color w:val="2E5A88"/>
          <w:sz w:val="26"/>
          <w:szCs w:val="26"/>
        </w:rPr>
        <w:t xml:space="preserve">13.2 Master Pipeline</w:t>
      </w:r>
    </w:p>
    <w:tbl>
      <w:tblPr>
        <w:tblW w:type="dxa" w:w="9360"/>
        <w:tblBorders>
          <w:top w:val="single" w:color="1F3864" w:sz="4"/>
          <w:left w:val="single" w:color="1F3864" w:sz="4"/>
          <w:bottom w:val="single" w:color="1F3864" w:sz="4"/>
          <w:right w:val="single" w:color="1F3864" w:sz="4"/>
          <w:insideH w:val="none" w:color="FFFFFF" w:sz="0"/>
          <w:insideV w:val="none" w:color="FFFFFF" w:sz="0"/>
        </w:tblBorders>
      </w:tblPr>
      <w:tblGrid>
        <w:gridCol w:w="9360"/>
      </w:tblGrid>
      <w:tr>
        <w:tc>
          <w:tcPr>
            <w:tcW w:type="dxa" w:w="9360"/>
            <w:shd w:fill="EAF0F7" w:val="clear"/>
            <w:tcMar>
              <w:top w:type="dxa" w:w="140"/>
              <w:left w:type="dxa" w:w="180"/>
              <w:bottom w:type="dxa" w:w="140"/>
              <w:right w:type="dxa" w:w="180"/>
            </w:tcMar>
          </w:tcPr>
          <w:p>
            <w:pPr>
              <w:spacing w:after="80"/>
            </w:pPr>
            <w:r>
              <w:rPr>
                <w:b/>
                <w:bCs/>
                <w:color w:val="1F3864"/>
                <w:sz w:val="21"/>
                <w:szCs w:val="21"/>
              </w:rPr>
              <w:t xml:space="preserve">MASTER PIPELINE — END-TO-END NOTE EVALUATION</w:t>
            </w:r>
          </w:p>
          <w:p>
            <w:pPr>
              <w:spacing w:after="60"/>
            </w:pPr>
            <w:r>
              <w:rPr>
                <w:sz w:val="21"/>
                <w:szCs w:val="21"/>
              </w:rPr>
              <w:t xml:space="preserve">STAGE 1 — SERVICE IDENTIFICATION: Determine what is being billed for this encounter — standard E/M only, E/M plus psychotherapy add-on, standalone psychotherapy, Spravato monitoring visit, TMS session, or telehealth variant of any of the above. Route to the corresponding chapters below.</w:t>
            </w:r>
          </w:p>
          <w:p>
            <w:pPr>
              <w:spacing w:after="60"/>
            </w:pPr>
            <w:r>
              <w:rPr>
                <w:sz w:val="21"/>
                <w:szCs w:val="21"/>
              </w:rPr>
              <w:t xml:space="preserve">STAGE 2 — CORE MDM/TIME ANALYSIS (applies to any E/M component): Run Chapter 2 (Problems), Chapter 3 (Data), Chapter 4 (Risk), synthesize per Rule MDM-4.8; separately run Chapter 5 time-path analysis; select the higher-supported path per Rule TM-5.5; evaluate prolonged services eligibility if applicable.</w:t>
            </w:r>
          </w:p>
          <w:p>
            <w:pPr>
              <w:spacing w:after="60"/>
            </w:pPr>
            <w:r>
              <w:rPr>
                <w:sz w:val="21"/>
                <w:szCs w:val="21"/>
              </w:rPr>
              <w:t xml:space="preserve">STAGE 3 — SERVICE-SPECIFIC OVERLAY: IF psychotherapy component present, apply Chapter 6 in full, including the distinct-time check (Rule PT-6.5). IF Spravato, apply Chapter 9 in full, including the billing-model check (Rule SPR-9.2) and monitoring checkpoints (Rule SPR-9.4). IF TMS, apply Chapter 10 in full, including LCD medication-trial documentation (Rule TMS-10.2). IF telehealth, apply Chapter 11 in full alongside whichever base service chapters apply.</w:t>
            </w:r>
          </w:p>
          <w:p>
            <w:pPr>
              <w:spacing w:after="60"/>
            </w:pPr>
            <w:r>
              <w:rPr>
                <w:sz w:val="21"/>
                <w:szCs w:val="21"/>
              </w:rPr>
              <w:t xml:space="preserve">STAGE 4 — CROSS-CUTTING COMPLIANCE CHECKS: IF any controlled substance is involved, apply Chapter 7 in full (independent of, and in addition to, the Stage 2 Risk element credit). IF G2211 is billed, apply Chapter 8. Apply the standing medical necessity check (Section 1.7) regardless of MDM/time sufficiency.</w:t>
            </w:r>
          </w:p>
          <w:p>
            <w:pPr>
              <w:spacing w:after="60"/>
            </w:pPr>
            <w:r>
              <w:rPr>
                <w:sz w:val="21"/>
                <w:szCs w:val="21"/>
              </w:rPr>
              <w:t xml:space="preserve">STAGE 5 — PAYER-SPECIFIC ROUTING: Apply Chapter 12's payer-specific overlay, including the BCBS TX downcoding triage protocol (Rule PAY-12.3) where applicable.</w:t>
            </w:r>
          </w:p>
          <w:p>
            <w:pPr>
              <w:spacing w:after="60"/>
            </w:pPr>
            <w:r>
              <w:rPr>
                <w:sz w:val="21"/>
                <w:szCs w:val="21"/>
              </w:rPr>
              <w:t xml:space="preserve">STAGE 6 — OUTPUT: Generate a structured finding per the format in Section 13.3, citing every rule ID relied upon.</w:t>
            </w:r>
          </w:p>
        </w:tc>
      </w:tr>
    </w:tbl>
    <w:p>
      <w:pPr>
        <w:spacing w:after="120"/>
      </w:pPr>
    </w:p>
    <w:p>
      <w:pPr>
        <w:pStyle w:val="Heading2"/>
        <w:spacing w:after="160" w:before="360"/>
      </w:pPr>
      <w:r>
        <w:rPr>
          <w:b/>
          <w:bCs/>
          <w:color w:val="2E5A88"/>
          <w:sz w:val="26"/>
          <w:szCs w:val="26"/>
        </w:rPr>
        <w:t xml:space="preserve">13.3 Standard Output Format</w:t>
      </w:r>
    </w:p>
    <w:p>
      <w:pPr>
        <w:spacing w:after="160" w:line="276"/>
        <w:jc w:val="both"/>
      </w:pPr>
      <w:r>
        <w:rPr>
          <w:sz w:val="22"/>
          <w:szCs w:val="22"/>
        </w:rPr>
        <w:t xml:space="preserve">Every AI documentation auditor finding should be structured in four parts so that a human reviewer can act on it without re-deriving the underlying analysis: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tblHeader/>
        </w:trPr>
        <w:tc>
          <w:tcPr>
            <w:tcW w:type="dxa" w:w="2400"/>
            <w:shd w:fill="1F3864" w:val="clear"/>
            <w:tcMar>
              <w:top w:type="dxa" w:w="80"/>
              <w:left w:type="dxa" w:w="120"/>
              <w:bottom w:type="dxa" w:w="80"/>
              <w:right w:type="dxa" w:w="120"/>
            </w:tcMar>
          </w:tcPr>
          <w:p>
            <w:r>
              <w:rPr>
                <w:b/>
                <w:bCs/>
                <w:color w:val="FFFFFF"/>
                <w:sz w:val="20"/>
                <w:szCs w:val="20"/>
              </w:rPr>
              <w:t xml:space="preserve">Output Field</w:t>
            </w:r>
          </w:p>
        </w:tc>
        <w:tc>
          <w:tcPr>
            <w:tcW w:type="dxa" w:w="6960"/>
            <w:shd w:fill="1F3864" w:val="clear"/>
            <w:tcMar>
              <w:top w:type="dxa" w:w="80"/>
              <w:left w:type="dxa" w:w="120"/>
              <w:bottom w:type="dxa" w:w="80"/>
              <w:right w:type="dxa" w:w="120"/>
            </w:tcMar>
          </w:tcPr>
          <w:p>
            <w:r>
              <w:rPr>
                <w:b/>
                <w:bCs/>
                <w:color w:val="FFFFFF"/>
                <w:sz w:val="20"/>
                <w:szCs w:val="20"/>
              </w:rPr>
              <w:t xml:space="preserve">Content</w:t>
            </w:r>
          </w:p>
        </w:tc>
      </w:tr>
      <w:tr>
        <w:tc>
          <w:tcPr>
            <w:tcW w:type="dxa" w:w="2400"/>
            <w:shd w:fill="FFFFFF" w:val="clear"/>
            <w:tcMar>
              <w:top w:type="dxa" w:w="80"/>
              <w:left w:type="dxa" w:w="120"/>
              <w:bottom w:type="dxa" w:w="80"/>
              <w:right w:type="dxa" w:w="120"/>
            </w:tcMar>
          </w:tcPr>
          <w:p>
            <w:r>
              <w:rPr>
                <w:sz w:val="20"/>
                <w:szCs w:val="20"/>
              </w:rPr>
              <w:t xml:space="preserve">Determination</w:t>
            </w:r>
          </w:p>
        </w:tc>
        <w:tc>
          <w:tcPr>
            <w:tcW w:type="dxa" w:w="6960"/>
            <w:shd w:fill="FFFFFF" w:val="clear"/>
            <w:tcMar>
              <w:top w:type="dxa" w:w="80"/>
              <w:left w:type="dxa" w:w="120"/>
              <w:bottom w:type="dxa" w:w="80"/>
              <w:right w:type="dxa" w:w="120"/>
            </w:tcMar>
          </w:tcPr>
          <w:p>
            <w:r>
              <w:rPr>
                <w:sz w:val="20"/>
                <w:szCs w:val="20"/>
              </w:rPr>
              <w:t xml:space="preserve">One of: PASS (documentation fully supports intended billing as written); FLAG — BORDERLINE (documentation likely supports intended billing but has a specific, correctable gap); INSUFFICIENT (documentation does not currently support intended billing as written).</w:t>
            </w:r>
          </w:p>
        </w:tc>
      </w:tr>
      <w:tr>
        <w:tc>
          <w:tcPr>
            <w:tcW w:type="dxa" w:w="2400"/>
            <w:shd w:fill="F2F2F2" w:val="clear"/>
            <w:tcMar>
              <w:top w:type="dxa" w:w="80"/>
              <w:left w:type="dxa" w:w="120"/>
              <w:bottom w:type="dxa" w:w="80"/>
              <w:right w:type="dxa" w:w="120"/>
            </w:tcMar>
          </w:tcPr>
          <w:p>
            <w:r>
              <w:rPr>
                <w:sz w:val="20"/>
                <w:szCs w:val="20"/>
              </w:rPr>
              <w:t xml:space="preserve">Supporting Rule IDs</w:t>
            </w:r>
          </w:p>
        </w:tc>
        <w:tc>
          <w:tcPr>
            <w:tcW w:type="dxa" w:w="6960"/>
            <w:shd w:fill="F2F2F2" w:val="clear"/>
            <w:tcMar>
              <w:top w:type="dxa" w:w="80"/>
              <w:left w:type="dxa" w:w="120"/>
              <w:bottom w:type="dxa" w:w="80"/>
              <w:right w:type="dxa" w:w="120"/>
            </w:tcMar>
          </w:tcPr>
          <w:p>
            <w:r>
              <w:rPr>
                <w:sz w:val="20"/>
                <w:szCs w:val="20"/>
              </w:rPr>
              <w:t xml:space="preserve">Every specific rule ID (e.g., PA-2.4, DA-3.3, RK-4.2, SPR-9.4) that was evaluated and satisfied, so the determination is independently checkable against this manual.</w:t>
            </w:r>
          </w:p>
        </w:tc>
      </w:tr>
      <w:tr>
        <w:tc>
          <w:tcPr>
            <w:tcW w:type="dxa" w:w="2400"/>
            <w:shd w:fill="FFFFFF" w:val="clear"/>
            <w:tcMar>
              <w:top w:type="dxa" w:w="80"/>
              <w:left w:type="dxa" w:w="120"/>
              <w:bottom w:type="dxa" w:w="80"/>
              <w:right w:type="dxa" w:w="120"/>
            </w:tcMar>
          </w:tcPr>
          <w:p>
            <w:r>
              <w:rPr>
                <w:sz w:val="20"/>
                <w:szCs w:val="20"/>
              </w:rPr>
              <w:t xml:space="preserve">Deficiency Detail (if FLAG or INSUFFICIENT)</w:t>
            </w:r>
          </w:p>
        </w:tc>
        <w:tc>
          <w:tcPr>
            <w:tcW w:type="dxa" w:w="6960"/>
            <w:shd w:fill="FFFFFF" w:val="clear"/>
            <w:tcMar>
              <w:top w:type="dxa" w:w="80"/>
              <w:left w:type="dxa" w:w="120"/>
              <w:bottom w:type="dxa" w:w="80"/>
              <w:right w:type="dxa" w:w="120"/>
            </w:tcMar>
          </w:tcPr>
          <w:p>
            <w:r>
              <w:rPr>
                <w:sz w:val="20"/>
                <w:szCs w:val="20"/>
              </w:rPr>
              <w:t xml:space="preserve">The specific missing or insufficient element, described in terms the provider can act on (e.g., 'No PDMP check date documented for this stimulant continuation, per Rule CS-7.2 cadence table'), not a generic restatement of the rule.</w:t>
            </w:r>
          </w:p>
        </w:tc>
      </w:tr>
      <w:tr>
        <w:tc>
          <w:tcPr>
            <w:tcW w:type="dxa" w:w="2400"/>
            <w:shd w:fill="F2F2F2" w:val="clear"/>
            <w:tcMar>
              <w:top w:type="dxa" w:w="80"/>
              <w:left w:type="dxa" w:w="120"/>
              <w:bottom w:type="dxa" w:w="80"/>
              <w:right w:type="dxa" w:w="120"/>
            </w:tcMar>
          </w:tcPr>
          <w:p>
            <w:r>
              <w:rPr>
                <w:sz w:val="20"/>
                <w:szCs w:val="20"/>
              </w:rPr>
              <w:t xml:space="preserve">Recommended Next Step</w:t>
            </w:r>
          </w:p>
        </w:tc>
        <w:tc>
          <w:tcPr>
            <w:tcW w:type="dxa" w:w="6960"/>
            <w:shd w:fill="F2F2F2" w:val="clear"/>
            <w:tcMar>
              <w:top w:type="dxa" w:w="80"/>
              <w:left w:type="dxa" w:w="120"/>
              <w:bottom w:type="dxa" w:w="80"/>
              <w:right w:type="dxa" w:w="120"/>
            </w:tcMar>
          </w:tcPr>
          <w:p>
            <w:r>
              <w:rPr>
                <w:sz w:val="20"/>
                <w:szCs w:val="20"/>
              </w:rPr>
              <w:t xml:space="preserve">One of: submit as documented; provider addendum needed (specify what); route to appeal (specify payer protocol, e.g., Rule PAY-12.3); route to compliance review (for patterns suggesting a systemic, not visit-specific, issue).</w:t>
            </w:r>
          </w:p>
        </w:tc>
      </w:tr>
    </w:tbl>
    <w:p>
      <w:pPr>
        <w:spacing w:after="120"/>
      </w:pPr>
    </w:p>
    <w:p>
      <w:pPr>
        <w:pStyle w:val="Heading2"/>
        <w:spacing w:after="160" w:before="360"/>
      </w:pPr>
      <w:r>
        <w:rPr>
          <w:b/>
          <w:bCs/>
          <w:color w:val="2E5A88"/>
          <w:sz w:val="26"/>
          <w:szCs w:val="26"/>
        </w:rPr>
        <w:t xml:space="preserve">13.4 What the AI Auditor Never Does</w:t>
      </w:r>
    </w:p>
    <w:tbl>
      <w:tblPr>
        <w:tblW w:type="dxa" w:w="9360"/>
        <w:tblBorders>
          <w:top w:val="single" w:color="9C2B2B" w:sz="4"/>
          <w:left w:val="single" w:color="9C2B2B" w:sz="4"/>
          <w:bottom w:val="single" w:color="9C2B2B" w:sz="4"/>
          <w:right w:val="single" w:color="9C2B2B" w:sz="4"/>
          <w:insideH w:val="none" w:color="FFFFFF" w:sz="0"/>
          <w:insideV w:val="none" w:color="FFFFFF" w:sz="0"/>
        </w:tblBorders>
      </w:tblPr>
      <w:tblGrid>
        <w:gridCol w:w="9360"/>
      </w:tblGrid>
      <w:tr>
        <w:tc>
          <w:tcPr>
            <w:tcW w:type="dxa" w:w="9360"/>
            <w:shd w:fill="FBEAEA" w:val="clear"/>
            <w:tcMar>
              <w:top w:type="dxa" w:w="140"/>
              <w:left w:type="dxa" w:w="180"/>
              <w:bottom w:type="dxa" w:w="140"/>
              <w:right w:type="dxa" w:w="180"/>
            </w:tcMar>
          </w:tcPr>
          <w:p>
            <w:pPr>
              <w:spacing w:after="80"/>
            </w:pPr>
            <w:r>
              <w:rPr>
                <w:b/>
                <w:bCs/>
                <w:color w:val="9C2B2B"/>
                <w:sz w:val="21"/>
                <w:szCs w:val="21"/>
              </w:rPr>
              <w:t xml:space="preserve">HARD BOUNDARIES</w:t>
            </w:r>
          </w:p>
          <w:p>
            <w:pPr>
              <w:spacing w:after="60"/>
            </w:pPr>
            <w:r>
              <w:rPr>
                <w:sz w:val="21"/>
                <w:szCs w:val="21"/>
              </w:rPr>
              <w:t xml:space="preserve">The AI documentation auditor never selects or suggests a different CPT/HCPCS code than the one the provider intended to bill; it evaluates whether the intended code is supported. It never rewrites, edits, or auto-completes clinical documentation on the provider's behalf. It never makes or implies a clinical diagnosis, treatment recommendation, or medical judgment. It never treats a payer's stated policy as a CPT/CMS requirement when the two conflict, per Section 1.6.1. It never suppresses a finding because a provider or biller requests a more favorable result — every determination is generated from the documentation as written, evaluated against this manual's rules as written.</w:t>
            </w:r>
          </w:p>
        </w:tc>
      </w:tr>
    </w:tbl>
    <w:p>
      <w:pPr>
        <w:spacing w:after="120"/>
      </w:pPr>
    </w:p>
    <w:p>
      <w:pPr>
        <w:pStyle w:val="Heading2"/>
        <w:spacing w:after="160" w:before="360"/>
      </w:pPr>
      <w:r>
        <w:rPr>
          <w:b/>
          <w:bCs/>
          <w:color w:val="2E5A88"/>
          <w:sz w:val="26"/>
          <w:szCs w:val="26"/>
        </w:rPr>
        <w:t xml:space="preserve">13.5 Escalation to Human Review</w:t>
      </w:r>
    </w:p>
    <w:tbl>
      <w:tblPr>
        <w:tblW w:type="dxa" w:w="9360"/>
        <w:tblBorders>
          <w:top w:val="single" w:color="BFBFBF" w:sz="4"/>
          <w:left w:val="single" w:color="BFBFBF" w:sz="4"/>
          <w:bottom w:val="single" w:color="BFBFBF" w:sz="4"/>
          <w:right w:val="single" w:color="BFBFBF" w:sz="4"/>
          <w:insideH w:val="single" w:color="BFBFBF" w:sz="4"/>
          <w:insideV w:val="none" w:color="FFFFFF" w:sz="0"/>
        </w:tblBorders>
      </w:tblPr>
      <w:tblGrid>
        <w:gridCol w:w="9360"/>
      </w:tblGrid>
      <w:tr>
        <w:tc>
          <w:tcPr>
            <w:tcW w:type="dxa" w:w="9360"/>
            <w:gridSpan w:val="1"/>
            <w:shd w:fill="1F3864" w:val="clear"/>
            <w:tcMar>
              <w:top w:type="dxa" w:w="100"/>
              <w:left w:type="dxa" w:w="180"/>
              <w:bottom w:type="dxa" w:w="100"/>
              <w:right w:type="dxa" w:w="180"/>
            </w:tcMar>
          </w:tcPr>
          <w:p>
            <w:r>
              <w:rPr>
                <w:b/>
                <w:bCs/>
                <w:color w:val="FFFFFF"/>
                <w:sz w:val="23"/>
                <w:szCs w:val="23"/>
              </w:rPr>
              <w:t xml:space="preserve">ESC-13.5  —  When Automated Determination Is Insufficient</w:t>
            </w:r>
          </w:p>
        </w:tc>
      </w:tr>
      <w:tr>
        <w:tc>
          <w:tcPr>
            <w:tcW w:type="dxa" w:w="9360"/>
            <w:shd w:fill="FFFFFF" w:val="clear"/>
            <w:tcMar>
              <w:top w:type="dxa" w:w="100"/>
              <w:left w:type="dxa" w:w="180"/>
              <w:bottom w:type="dxa" w:w="100"/>
              <w:right w:type="dxa" w:w="180"/>
            </w:tcMar>
          </w:tcPr>
          <w:p>
            <w:pPr>
              <w:spacing w:after="40"/>
            </w:pPr>
            <w:r>
              <w:rPr>
                <w:b/>
                <w:bCs/>
                <w:color w:val="2E5A88"/>
                <w:sz w:val="20"/>
                <w:szCs w:val="20"/>
              </w:rPr>
              <w:t xml:space="preserve">PURPOSE</w:t>
            </w:r>
          </w:p>
          <w:p>
            <w:pPr>
              <w:spacing w:after="0" w:line="264"/>
              <w:jc w:val="both"/>
            </w:pPr>
            <w:r>
              <w:rPr>
                <w:sz w:val="21"/>
                <w:szCs w:val="21"/>
              </w:rPr>
              <w:t xml:space="preserve">Some findings carry stakes or ambiguity that warrant human compliance review rather than an automated PASS/FLAG/INSUFFICIENT determination alone.</w:t>
            </w:r>
          </w:p>
        </w:tc>
      </w:tr>
      <w:tr>
        <w:tc>
          <w:tcPr>
            <w:tcW w:type="dxa" w:w="9360"/>
            <w:shd w:fill="F2F2F2" w:val="clear"/>
            <w:tcMar>
              <w:top w:type="dxa" w:w="100"/>
              <w:left w:type="dxa" w:w="180"/>
              <w:bottom w:type="dxa" w:w="100"/>
              <w:right w:type="dxa" w:w="180"/>
            </w:tcMar>
          </w:tcPr>
          <w:p>
            <w:pPr>
              <w:spacing w:after="40"/>
            </w:pPr>
            <w:r>
              <w:rPr>
                <w:b/>
                <w:bCs/>
                <w:color w:val="2E5A88"/>
                <w:sz w:val="20"/>
                <w:szCs w:val="20"/>
              </w:rPr>
              <w:t xml:space="preserve">RULE</w:t>
            </w:r>
          </w:p>
          <w:p>
            <w:pPr>
              <w:spacing w:after="0" w:line="264"/>
              <w:jc w:val="both"/>
            </w:pPr>
            <w:r>
              <w:rPr>
                <w:sz w:val="21"/>
                <w:szCs w:val="21"/>
              </w:rPr>
              <w:t xml:space="preserve">The AI auditor escalates to human compliance review, in addition to its standard output, whenever: (a) a pattern of the same deficiency recurs across multiple notes from the same provider, suggesting a systemic documentation habit rather than a one-off gap; (b) a payer denial references a legal or regulatory basis this manual does not clearly address; (c) a finding would, if acted upon, involve a retrospective claim correction or refund determination; or (d) the note raises a patient safety concern independent of coding (e.g., a high-acuity risk assessment with no documented follow-up action, per Rule PA-2.7).</w:t>
            </w:r>
          </w:p>
        </w:tc>
      </w:tr>
      <w:tr>
        <w:tc>
          <w:tcPr>
            <w:tcW w:type="dxa" w:w="9360"/>
            <w:shd w:fill="EAF0F7" w:val="clear"/>
            <w:tcMar>
              <w:top w:type="dxa" w:w="100"/>
              <w:left w:type="dxa" w:w="180"/>
              <w:bottom w:type="dxa" w:w="100"/>
              <w:right w:type="dxa" w:w="180"/>
            </w:tcMar>
          </w:tcPr>
          <w:p>
            <w:pPr>
              <w:spacing w:after="40"/>
            </w:pPr>
            <w:r>
              <w:rPr>
                <w:b/>
                <w:bCs/>
                <w:color w:val="2E5A88"/>
                <w:sz w:val="20"/>
                <w:szCs w:val="20"/>
              </w:rPr>
              <w:t xml:space="preserve">AI INTERPRETATION LOGIC</w:t>
            </w:r>
          </w:p>
          <w:p>
            <w:pPr>
              <w:spacing w:after="0" w:line="264"/>
              <w:jc w:val="both"/>
            </w:pPr>
            <w:r>
              <w:rPr>
                <w:sz w:val="21"/>
                <w:szCs w:val="21"/>
              </w:rPr>
              <w:t xml:space="preserve">Escalation is additive to, not a replacement for, the standard Section 13.3 output — the automated determination is still generated and provided alongside the escalation flag.</w:t>
            </w:r>
          </w:p>
        </w:tc>
      </w:tr>
    </w:tbl>
    <w:p>
      <w:r>
        <w:br w:type="page"/>
      </w:r>
    </w:p>
    <w:p>
      <w:pPr>
        <w:pStyle w:val="Heading1"/>
        <w:pBdr>
          <w:bottom w:val="single" w:color="1F3864" w:sz="12" w:space="4"/>
        </w:pBdr>
        <w:spacing w:after="240" w:before="480"/>
      </w:pPr>
      <w:r>
        <w:rPr>
          <w:b/>
          <w:bCs/>
          <w:color w:val="1F3864"/>
          <w:sz w:val="32"/>
          <w:szCs w:val="32"/>
        </w:rPr>
        <w:t xml:space="preserve">Appendix A — CPT / HCPCS Quick Reference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5960"/>
        <w:gridCol w:w="1900"/>
      </w:tblGrid>
      <w:tr>
        <w:trPr>
          <w:tblHeader/>
        </w:trPr>
        <w:tc>
          <w:tcPr>
            <w:tcW w:type="dxa" w:w="1500"/>
            <w:shd w:fill="1F3864" w:val="clear"/>
            <w:tcMar>
              <w:top w:type="dxa" w:w="80"/>
              <w:left w:type="dxa" w:w="120"/>
              <w:bottom w:type="dxa" w:w="80"/>
              <w:right w:type="dxa" w:w="120"/>
            </w:tcMar>
          </w:tcPr>
          <w:p>
            <w:r>
              <w:rPr>
                <w:b/>
                <w:bCs/>
                <w:color w:val="FFFFFF"/>
                <w:sz w:val="20"/>
                <w:szCs w:val="20"/>
              </w:rPr>
              <w:t xml:space="preserve">Code</w:t>
            </w:r>
          </w:p>
        </w:tc>
        <w:tc>
          <w:tcPr>
            <w:tcW w:type="dxa" w:w="5960"/>
            <w:shd w:fill="1F3864" w:val="clear"/>
            <w:tcMar>
              <w:top w:type="dxa" w:w="80"/>
              <w:left w:type="dxa" w:w="120"/>
              <w:bottom w:type="dxa" w:w="80"/>
              <w:right w:type="dxa" w:w="120"/>
            </w:tcMar>
          </w:tcPr>
          <w:p>
            <w:r>
              <w:rPr>
                <w:b/>
                <w:bCs/>
                <w:color w:val="FFFFFF"/>
                <w:sz w:val="20"/>
                <w:szCs w:val="20"/>
              </w:rPr>
              <w:t xml:space="preserve">Description</w:t>
            </w:r>
          </w:p>
        </w:tc>
        <w:tc>
          <w:tcPr>
            <w:tcW w:type="dxa" w:w="1900"/>
            <w:shd w:fill="1F3864" w:val="clear"/>
            <w:tcMar>
              <w:top w:type="dxa" w:w="80"/>
              <w:left w:type="dxa" w:w="120"/>
              <w:bottom w:type="dxa" w:w="80"/>
              <w:right w:type="dxa" w:w="120"/>
            </w:tcMar>
          </w:tcPr>
          <w:p>
            <w:r>
              <w:rPr>
                <w:b/>
                <w:bCs/>
                <w:color w:val="FFFFFF"/>
                <w:sz w:val="20"/>
                <w:szCs w:val="20"/>
              </w:rPr>
              <w:t xml:space="preserve">Manual Reference</w:t>
            </w:r>
          </w:p>
        </w:tc>
      </w:tr>
      <w:tr>
        <w:tc>
          <w:tcPr>
            <w:tcW w:type="dxa" w:w="1500"/>
            <w:shd w:fill="FFFFFF" w:val="clear"/>
            <w:tcMar>
              <w:top w:type="dxa" w:w="80"/>
              <w:left w:type="dxa" w:w="120"/>
              <w:bottom w:type="dxa" w:w="80"/>
              <w:right w:type="dxa" w:w="120"/>
            </w:tcMar>
          </w:tcPr>
          <w:p>
            <w:r>
              <w:rPr>
                <w:sz w:val="20"/>
                <w:szCs w:val="20"/>
              </w:rPr>
              <w:t xml:space="preserve">99202–99205</w:t>
            </w:r>
          </w:p>
        </w:tc>
        <w:tc>
          <w:tcPr>
            <w:tcW w:type="dxa" w:w="5960"/>
            <w:shd w:fill="FFFFFF" w:val="clear"/>
            <w:tcMar>
              <w:top w:type="dxa" w:w="80"/>
              <w:left w:type="dxa" w:w="120"/>
              <w:bottom w:type="dxa" w:w="80"/>
              <w:right w:type="dxa" w:w="120"/>
            </w:tcMar>
          </w:tcPr>
          <w:p>
            <w:r>
              <w:rPr>
                <w:sz w:val="20"/>
                <w:szCs w:val="20"/>
              </w:rPr>
              <w:t xml:space="preserve">Office/outpatient E/M, new patient, straightforward–high MDM</w:t>
            </w:r>
          </w:p>
        </w:tc>
        <w:tc>
          <w:tcPr>
            <w:tcW w:type="dxa" w:w="1900"/>
            <w:shd w:fill="FFFFFF" w:val="clear"/>
            <w:tcMar>
              <w:top w:type="dxa" w:w="80"/>
              <w:left w:type="dxa" w:w="120"/>
              <w:bottom w:type="dxa" w:w="80"/>
              <w:right w:type="dxa" w:w="120"/>
            </w:tcMar>
          </w:tcPr>
          <w:p>
            <w:r>
              <w:rPr>
                <w:sz w:val="20"/>
                <w:szCs w:val="20"/>
              </w:rPr>
              <w:t xml:space="preserve">Chapters 2–5</w:t>
            </w:r>
          </w:p>
        </w:tc>
      </w:tr>
      <w:tr>
        <w:tc>
          <w:tcPr>
            <w:tcW w:type="dxa" w:w="1500"/>
            <w:shd w:fill="F2F2F2" w:val="clear"/>
            <w:tcMar>
              <w:top w:type="dxa" w:w="80"/>
              <w:left w:type="dxa" w:w="120"/>
              <w:bottom w:type="dxa" w:w="80"/>
              <w:right w:type="dxa" w:w="120"/>
            </w:tcMar>
          </w:tcPr>
          <w:p>
            <w:r>
              <w:rPr>
                <w:sz w:val="20"/>
                <w:szCs w:val="20"/>
              </w:rPr>
              <w:t xml:space="preserve">99212–99215</w:t>
            </w:r>
          </w:p>
        </w:tc>
        <w:tc>
          <w:tcPr>
            <w:tcW w:type="dxa" w:w="5960"/>
            <w:shd w:fill="F2F2F2" w:val="clear"/>
            <w:tcMar>
              <w:top w:type="dxa" w:w="80"/>
              <w:left w:type="dxa" w:w="120"/>
              <w:bottom w:type="dxa" w:w="80"/>
              <w:right w:type="dxa" w:w="120"/>
            </w:tcMar>
          </w:tcPr>
          <w:p>
            <w:r>
              <w:rPr>
                <w:sz w:val="20"/>
                <w:szCs w:val="20"/>
              </w:rPr>
              <w:t xml:space="preserve">Office/outpatient E/M, established patient, straightforward–high MDM</w:t>
            </w:r>
          </w:p>
        </w:tc>
        <w:tc>
          <w:tcPr>
            <w:tcW w:type="dxa" w:w="1900"/>
            <w:shd w:fill="F2F2F2" w:val="clear"/>
            <w:tcMar>
              <w:top w:type="dxa" w:w="80"/>
              <w:left w:type="dxa" w:w="120"/>
              <w:bottom w:type="dxa" w:w="80"/>
              <w:right w:type="dxa" w:w="120"/>
            </w:tcMar>
          </w:tcPr>
          <w:p>
            <w:r>
              <w:rPr>
                <w:sz w:val="20"/>
                <w:szCs w:val="20"/>
              </w:rPr>
              <w:t xml:space="preserve">Chapters 2–5</w:t>
            </w:r>
          </w:p>
        </w:tc>
      </w:tr>
      <w:tr>
        <w:tc>
          <w:tcPr>
            <w:tcW w:type="dxa" w:w="1500"/>
            <w:shd w:fill="FFFFFF" w:val="clear"/>
            <w:tcMar>
              <w:top w:type="dxa" w:w="80"/>
              <w:left w:type="dxa" w:w="120"/>
              <w:bottom w:type="dxa" w:w="80"/>
              <w:right w:type="dxa" w:w="120"/>
            </w:tcMar>
          </w:tcPr>
          <w:p>
            <w:r>
              <w:rPr>
                <w:sz w:val="20"/>
                <w:szCs w:val="20"/>
              </w:rPr>
              <w:t xml:space="preserve">99417</w:t>
            </w:r>
          </w:p>
        </w:tc>
        <w:tc>
          <w:tcPr>
            <w:tcW w:type="dxa" w:w="5960"/>
            <w:shd w:fill="FFFFFF" w:val="clear"/>
            <w:tcMar>
              <w:top w:type="dxa" w:w="80"/>
              <w:left w:type="dxa" w:w="120"/>
              <w:bottom w:type="dxa" w:w="80"/>
              <w:right w:type="dxa" w:w="120"/>
            </w:tcMar>
          </w:tcPr>
          <w:p>
            <w:r>
              <w:rPr>
                <w:sz w:val="20"/>
                <w:szCs w:val="20"/>
              </w:rPr>
              <w:t xml:space="preserve">Prolonged office/outpatient E/M, each additional 15 min beyond max time of 99205/99215 (non-Medicare)</w:t>
            </w:r>
          </w:p>
        </w:tc>
        <w:tc>
          <w:tcPr>
            <w:tcW w:type="dxa" w:w="1900"/>
            <w:shd w:fill="FFFFFF" w:val="clear"/>
            <w:tcMar>
              <w:top w:type="dxa" w:w="80"/>
              <w:left w:type="dxa" w:w="120"/>
              <w:bottom w:type="dxa" w:w="80"/>
              <w:right w:type="dxa" w:w="120"/>
            </w:tcMar>
          </w:tcPr>
          <w:p>
            <w:r>
              <w:rPr>
                <w:sz w:val="20"/>
                <w:szCs w:val="20"/>
              </w:rPr>
              <w:t xml:space="preserve">Section 5.6</w:t>
            </w:r>
          </w:p>
        </w:tc>
      </w:tr>
      <w:tr>
        <w:tc>
          <w:tcPr>
            <w:tcW w:type="dxa" w:w="1500"/>
            <w:shd w:fill="F2F2F2" w:val="clear"/>
            <w:tcMar>
              <w:top w:type="dxa" w:w="80"/>
              <w:left w:type="dxa" w:w="120"/>
              <w:bottom w:type="dxa" w:w="80"/>
              <w:right w:type="dxa" w:w="120"/>
            </w:tcMar>
          </w:tcPr>
          <w:p>
            <w:r>
              <w:rPr>
                <w:sz w:val="20"/>
                <w:szCs w:val="20"/>
              </w:rPr>
              <w:t xml:space="preserve">G2212</w:t>
            </w:r>
          </w:p>
        </w:tc>
        <w:tc>
          <w:tcPr>
            <w:tcW w:type="dxa" w:w="5960"/>
            <w:shd w:fill="F2F2F2" w:val="clear"/>
            <w:tcMar>
              <w:top w:type="dxa" w:w="80"/>
              <w:left w:type="dxa" w:w="120"/>
              <w:bottom w:type="dxa" w:w="80"/>
              <w:right w:type="dxa" w:w="120"/>
            </w:tcMar>
          </w:tcPr>
          <w:p>
            <w:r>
              <w:rPr>
                <w:sz w:val="20"/>
                <w:szCs w:val="20"/>
              </w:rPr>
              <w:t xml:space="preserve">Prolonged office/outpatient E/M, each additional 15 min beyond CPT reference time of 99205/99215 (Medicare)</w:t>
            </w:r>
          </w:p>
        </w:tc>
        <w:tc>
          <w:tcPr>
            <w:tcW w:type="dxa" w:w="1900"/>
            <w:shd w:fill="F2F2F2" w:val="clear"/>
            <w:tcMar>
              <w:top w:type="dxa" w:w="80"/>
              <w:left w:type="dxa" w:w="120"/>
              <w:bottom w:type="dxa" w:w="80"/>
              <w:right w:type="dxa" w:w="120"/>
            </w:tcMar>
          </w:tcPr>
          <w:p>
            <w:r>
              <w:rPr>
                <w:sz w:val="20"/>
                <w:szCs w:val="20"/>
              </w:rPr>
              <w:t xml:space="preserve">Section 5.6</w:t>
            </w:r>
          </w:p>
        </w:tc>
      </w:tr>
      <w:tr>
        <w:tc>
          <w:tcPr>
            <w:tcW w:type="dxa" w:w="1500"/>
            <w:shd w:fill="FFFFFF" w:val="clear"/>
            <w:tcMar>
              <w:top w:type="dxa" w:w="80"/>
              <w:left w:type="dxa" w:w="120"/>
              <w:bottom w:type="dxa" w:w="80"/>
              <w:right w:type="dxa" w:w="120"/>
            </w:tcMar>
          </w:tcPr>
          <w:p>
            <w:r>
              <w:rPr>
                <w:sz w:val="20"/>
                <w:szCs w:val="20"/>
              </w:rPr>
              <w:t xml:space="preserve">G2211</w:t>
            </w:r>
          </w:p>
        </w:tc>
        <w:tc>
          <w:tcPr>
            <w:tcW w:type="dxa" w:w="5960"/>
            <w:shd w:fill="FFFFFF" w:val="clear"/>
            <w:tcMar>
              <w:top w:type="dxa" w:w="80"/>
              <w:left w:type="dxa" w:w="120"/>
              <w:bottom w:type="dxa" w:w="80"/>
              <w:right w:type="dxa" w:w="120"/>
            </w:tcMar>
          </w:tcPr>
          <w:p>
            <w:r>
              <w:rPr>
                <w:sz w:val="20"/>
                <w:szCs w:val="20"/>
              </w:rPr>
              <w:t xml:space="preserve">Visit complexity inherent to longitudinal E/M care (HCPCS, CMS-created add-on)</w:t>
            </w:r>
          </w:p>
        </w:tc>
        <w:tc>
          <w:tcPr>
            <w:tcW w:type="dxa" w:w="1900"/>
            <w:shd w:fill="FFFFFF" w:val="clear"/>
            <w:tcMar>
              <w:top w:type="dxa" w:w="80"/>
              <w:left w:type="dxa" w:w="120"/>
              <w:bottom w:type="dxa" w:w="80"/>
              <w:right w:type="dxa" w:w="120"/>
            </w:tcMar>
          </w:tcPr>
          <w:p>
            <w:r>
              <w:rPr>
                <w:sz w:val="20"/>
                <w:szCs w:val="20"/>
              </w:rPr>
              <w:t xml:space="preserve">Chapter 8</w:t>
            </w:r>
          </w:p>
        </w:tc>
      </w:tr>
      <w:tr>
        <w:tc>
          <w:tcPr>
            <w:tcW w:type="dxa" w:w="1500"/>
            <w:shd w:fill="F2F2F2" w:val="clear"/>
            <w:tcMar>
              <w:top w:type="dxa" w:w="80"/>
              <w:left w:type="dxa" w:w="120"/>
              <w:bottom w:type="dxa" w:w="80"/>
              <w:right w:type="dxa" w:w="120"/>
            </w:tcMar>
          </w:tcPr>
          <w:p>
            <w:r>
              <w:rPr>
                <w:sz w:val="20"/>
                <w:szCs w:val="20"/>
              </w:rPr>
              <w:t xml:space="preserve">90832 / 90833</w:t>
            </w:r>
          </w:p>
        </w:tc>
        <w:tc>
          <w:tcPr>
            <w:tcW w:type="dxa" w:w="5960"/>
            <w:shd w:fill="F2F2F2" w:val="clear"/>
            <w:tcMar>
              <w:top w:type="dxa" w:w="80"/>
              <w:left w:type="dxa" w:w="120"/>
              <w:bottom w:type="dxa" w:w="80"/>
              <w:right w:type="dxa" w:w="120"/>
            </w:tcMar>
          </w:tcPr>
          <w:p>
            <w:r>
              <w:rPr>
                <w:sz w:val="20"/>
                <w:szCs w:val="20"/>
              </w:rPr>
              <w:t xml:space="preserve">Psychotherapy, 30 min — standalone / E&amp;M add-on</w:t>
            </w:r>
          </w:p>
        </w:tc>
        <w:tc>
          <w:tcPr>
            <w:tcW w:type="dxa" w:w="1900"/>
            <w:shd w:fill="F2F2F2" w:val="clear"/>
            <w:tcMar>
              <w:top w:type="dxa" w:w="80"/>
              <w:left w:type="dxa" w:w="120"/>
              <w:bottom w:type="dxa" w:w="80"/>
              <w:right w:type="dxa" w:w="120"/>
            </w:tcMar>
          </w:tcPr>
          <w:p>
            <w:r>
              <w:rPr>
                <w:sz w:val="20"/>
                <w:szCs w:val="20"/>
              </w:rPr>
              <w:t xml:space="preserve">Chapter 6</w:t>
            </w:r>
          </w:p>
        </w:tc>
      </w:tr>
      <w:tr>
        <w:tc>
          <w:tcPr>
            <w:tcW w:type="dxa" w:w="1500"/>
            <w:shd w:fill="FFFFFF" w:val="clear"/>
            <w:tcMar>
              <w:top w:type="dxa" w:w="80"/>
              <w:left w:type="dxa" w:w="120"/>
              <w:bottom w:type="dxa" w:w="80"/>
              <w:right w:type="dxa" w:w="120"/>
            </w:tcMar>
          </w:tcPr>
          <w:p>
            <w:r>
              <w:rPr>
                <w:sz w:val="20"/>
                <w:szCs w:val="20"/>
              </w:rPr>
              <w:t xml:space="preserve">90834 / 90836</w:t>
            </w:r>
          </w:p>
        </w:tc>
        <w:tc>
          <w:tcPr>
            <w:tcW w:type="dxa" w:w="5960"/>
            <w:shd w:fill="FFFFFF" w:val="clear"/>
            <w:tcMar>
              <w:top w:type="dxa" w:w="80"/>
              <w:left w:type="dxa" w:w="120"/>
              <w:bottom w:type="dxa" w:w="80"/>
              <w:right w:type="dxa" w:w="120"/>
            </w:tcMar>
          </w:tcPr>
          <w:p>
            <w:r>
              <w:rPr>
                <w:sz w:val="20"/>
                <w:szCs w:val="20"/>
              </w:rPr>
              <w:t xml:space="preserve">Psychotherapy, 45 min — standalone / E&amp;M add-on</w:t>
            </w:r>
          </w:p>
        </w:tc>
        <w:tc>
          <w:tcPr>
            <w:tcW w:type="dxa" w:w="1900"/>
            <w:shd w:fill="FFFFFF" w:val="clear"/>
            <w:tcMar>
              <w:top w:type="dxa" w:w="80"/>
              <w:left w:type="dxa" w:w="120"/>
              <w:bottom w:type="dxa" w:w="80"/>
              <w:right w:type="dxa" w:w="120"/>
            </w:tcMar>
          </w:tcPr>
          <w:p>
            <w:r>
              <w:rPr>
                <w:sz w:val="20"/>
                <w:szCs w:val="20"/>
              </w:rPr>
              <w:t xml:space="preserve">Chapter 6</w:t>
            </w:r>
          </w:p>
        </w:tc>
      </w:tr>
      <w:tr>
        <w:tc>
          <w:tcPr>
            <w:tcW w:type="dxa" w:w="1500"/>
            <w:shd w:fill="F2F2F2" w:val="clear"/>
            <w:tcMar>
              <w:top w:type="dxa" w:w="80"/>
              <w:left w:type="dxa" w:w="120"/>
              <w:bottom w:type="dxa" w:w="80"/>
              <w:right w:type="dxa" w:w="120"/>
            </w:tcMar>
          </w:tcPr>
          <w:p>
            <w:r>
              <w:rPr>
                <w:sz w:val="20"/>
                <w:szCs w:val="20"/>
              </w:rPr>
              <w:t xml:space="preserve">90837 / 90838</w:t>
            </w:r>
          </w:p>
        </w:tc>
        <w:tc>
          <w:tcPr>
            <w:tcW w:type="dxa" w:w="5960"/>
            <w:shd w:fill="F2F2F2" w:val="clear"/>
            <w:tcMar>
              <w:top w:type="dxa" w:w="80"/>
              <w:left w:type="dxa" w:w="120"/>
              <w:bottom w:type="dxa" w:w="80"/>
              <w:right w:type="dxa" w:w="120"/>
            </w:tcMar>
          </w:tcPr>
          <w:p>
            <w:r>
              <w:rPr>
                <w:sz w:val="20"/>
                <w:szCs w:val="20"/>
              </w:rPr>
              <w:t xml:space="preserve">Psychotherapy, 60 min — standalone / E&amp;M add-on</w:t>
            </w:r>
          </w:p>
        </w:tc>
        <w:tc>
          <w:tcPr>
            <w:tcW w:type="dxa" w:w="1900"/>
            <w:shd w:fill="F2F2F2" w:val="clear"/>
            <w:tcMar>
              <w:top w:type="dxa" w:w="80"/>
              <w:left w:type="dxa" w:w="120"/>
              <w:bottom w:type="dxa" w:w="80"/>
              <w:right w:type="dxa" w:w="120"/>
            </w:tcMar>
          </w:tcPr>
          <w:p>
            <w:r>
              <w:rPr>
                <w:sz w:val="20"/>
                <w:szCs w:val="20"/>
              </w:rPr>
              <w:t xml:space="preserve">Chapter 6</w:t>
            </w:r>
          </w:p>
        </w:tc>
      </w:tr>
      <w:tr>
        <w:tc>
          <w:tcPr>
            <w:tcW w:type="dxa" w:w="1500"/>
            <w:shd w:fill="FFFFFF" w:val="clear"/>
            <w:tcMar>
              <w:top w:type="dxa" w:w="80"/>
              <w:left w:type="dxa" w:w="120"/>
              <w:bottom w:type="dxa" w:w="80"/>
              <w:right w:type="dxa" w:w="120"/>
            </w:tcMar>
          </w:tcPr>
          <w:p>
            <w:r>
              <w:rPr>
                <w:sz w:val="20"/>
                <w:szCs w:val="20"/>
              </w:rPr>
              <w:t xml:space="preserve">90785</w:t>
            </w:r>
          </w:p>
        </w:tc>
        <w:tc>
          <w:tcPr>
            <w:tcW w:type="dxa" w:w="5960"/>
            <w:shd w:fill="FFFFFF" w:val="clear"/>
            <w:tcMar>
              <w:top w:type="dxa" w:w="80"/>
              <w:left w:type="dxa" w:w="120"/>
              <w:bottom w:type="dxa" w:w="80"/>
              <w:right w:type="dxa" w:w="120"/>
            </w:tcMar>
          </w:tcPr>
          <w:p>
            <w:r>
              <w:rPr>
                <w:sz w:val="20"/>
                <w:szCs w:val="20"/>
              </w:rPr>
              <w:t xml:space="preserve">Interactive complexity add-on (noted, not developed in detail in v1.0)</w:t>
            </w:r>
          </w:p>
        </w:tc>
        <w:tc>
          <w:tcPr>
            <w:tcW w:type="dxa" w:w="1900"/>
            <w:shd w:fill="FFFFFF" w:val="clear"/>
            <w:tcMar>
              <w:top w:type="dxa" w:w="80"/>
              <w:left w:type="dxa" w:w="120"/>
              <w:bottom w:type="dxa" w:w="80"/>
              <w:right w:type="dxa" w:w="120"/>
            </w:tcMar>
          </w:tcPr>
          <w:p>
            <w:r>
              <w:rPr>
                <w:sz w:val="20"/>
                <w:szCs w:val="20"/>
              </w:rPr>
              <w:t xml:space="preserve">Section 6 (flagged for future expansion)</w:t>
            </w:r>
          </w:p>
        </w:tc>
      </w:tr>
      <w:tr>
        <w:tc>
          <w:tcPr>
            <w:tcW w:type="dxa" w:w="1500"/>
            <w:shd w:fill="F2F2F2" w:val="clear"/>
            <w:tcMar>
              <w:top w:type="dxa" w:w="80"/>
              <w:left w:type="dxa" w:w="120"/>
              <w:bottom w:type="dxa" w:w="80"/>
              <w:right w:type="dxa" w:w="120"/>
            </w:tcMar>
          </w:tcPr>
          <w:p>
            <w:r>
              <w:rPr>
                <w:sz w:val="20"/>
                <w:szCs w:val="20"/>
              </w:rPr>
              <w:t xml:space="preserve">G2082 / G2083</w:t>
            </w:r>
          </w:p>
        </w:tc>
        <w:tc>
          <w:tcPr>
            <w:tcW w:type="dxa" w:w="5960"/>
            <w:shd w:fill="F2F2F2" w:val="clear"/>
            <w:tcMar>
              <w:top w:type="dxa" w:w="80"/>
              <w:left w:type="dxa" w:w="120"/>
              <w:bottom w:type="dxa" w:w="80"/>
              <w:right w:type="dxa" w:w="120"/>
            </w:tcMar>
          </w:tcPr>
          <w:p>
            <w:r>
              <w:rPr>
                <w:sz w:val="20"/>
                <w:szCs w:val="20"/>
              </w:rPr>
              <w:t xml:space="preserve">Esketamine drug management including drug/administration — NOT used under Trimera's outside-pharmacy Spravato model</w:t>
            </w:r>
          </w:p>
        </w:tc>
        <w:tc>
          <w:tcPr>
            <w:tcW w:type="dxa" w:w="1900"/>
            <w:shd w:fill="F2F2F2" w:val="clear"/>
            <w:tcMar>
              <w:top w:type="dxa" w:w="80"/>
              <w:left w:type="dxa" w:w="120"/>
              <w:bottom w:type="dxa" w:w="80"/>
              <w:right w:type="dxa" w:w="120"/>
            </w:tcMar>
          </w:tcPr>
          <w:p>
            <w:r>
              <w:rPr>
                <w:sz w:val="20"/>
                <w:szCs w:val="20"/>
              </w:rPr>
              <w:t xml:space="preserve">Section 9.1–9.2</w:t>
            </w:r>
          </w:p>
        </w:tc>
      </w:tr>
      <w:tr>
        <w:tc>
          <w:tcPr>
            <w:tcW w:type="dxa" w:w="1500"/>
            <w:shd w:fill="FFFFFF" w:val="clear"/>
            <w:tcMar>
              <w:top w:type="dxa" w:w="80"/>
              <w:left w:type="dxa" w:w="120"/>
              <w:bottom w:type="dxa" w:w="80"/>
              <w:right w:type="dxa" w:w="120"/>
            </w:tcMar>
          </w:tcPr>
          <w:p>
            <w:r>
              <w:rPr>
                <w:sz w:val="20"/>
                <w:szCs w:val="20"/>
              </w:rPr>
              <w:t xml:space="preserve">90867</w:t>
            </w:r>
          </w:p>
        </w:tc>
        <w:tc>
          <w:tcPr>
            <w:tcW w:type="dxa" w:w="5960"/>
            <w:shd w:fill="FFFFFF" w:val="clear"/>
            <w:tcMar>
              <w:top w:type="dxa" w:w="80"/>
              <w:left w:type="dxa" w:w="120"/>
              <w:bottom w:type="dxa" w:w="80"/>
              <w:right w:type="dxa" w:w="120"/>
            </w:tcMar>
          </w:tcPr>
          <w:p>
            <w:r>
              <w:rPr>
                <w:sz w:val="20"/>
                <w:szCs w:val="20"/>
              </w:rPr>
              <w:t xml:space="preserve">TMS initial session — motor threshold determination, cortical mapping, delivery, management</w:t>
            </w:r>
          </w:p>
        </w:tc>
        <w:tc>
          <w:tcPr>
            <w:tcW w:type="dxa" w:w="1900"/>
            <w:shd w:fill="FFFFFF" w:val="clear"/>
            <w:tcMar>
              <w:top w:type="dxa" w:w="80"/>
              <w:left w:type="dxa" w:w="120"/>
              <w:bottom w:type="dxa" w:w="80"/>
              <w:right w:type="dxa" w:w="120"/>
            </w:tcMar>
          </w:tcPr>
          <w:p>
            <w:r>
              <w:rPr>
                <w:sz w:val="20"/>
                <w:szCs w:val="20"/>
              </w:rPr>
              <w:t xml:space="preserve">Section 10.3</w:t>
            </w:r>
          </w:p>
        </w:tc>
      </w:tr>
      <w:tr>
        <w:tc>
          <w:tcPr>
            <w:tcW w:type="dxa" w:w="1500"/>
            <w:shd w:fill="F2F2F2" w:val="clear"/>
            <w:tcMar>
              <w:top w:type="dxa" w:w="80"/>
              <w:left w:type="dxa" w:w="120"/>
              <w:bottom w:type="dxa" w:w="80"/>
              <w:right w:type="dxa" w:w="120"/>
            </w:tcMar>
          </w:tcPr>
          <w:p>
            <w:r>
              <w:rPr>
                <w:sz w:val="20"/>
                <w:szCs w:val="20"/>
              </w:rPr>
              <w:t xml:space="preserve">90868</w:t>
            </w:r>
          </w:p>
        </w:tc>
        <w:tc>
          <w:tcPr>
            <w:tcW w:type="dxa" w:w="5960"/>
            <w:shd w:fill="F2F2F2" w:val="clear"/>
            <w:tcMar>
              <w:top w:type="dxa" w:w="80"/>
              <w:left w:type="dxa" w:w="120"/>
              <w:bottom w:type="dxa" w:w="80"/>
              <w:right w:type="dxa" w:w="120"/>
            </w:tcMar>
          </w:tcPr>
          <w:p>
            <w:r>
              <w:rPr>
                <w:sz w:val="20"/>
                <w:szCs w:val="20"/>
              </w:rPr>
              <w:t xml:space="preserve">TMS subsequent session, delivery and management</w:t>
            </w:r>
          </w:p>
        </w:tc>
        <w:tc>
          <w:tcPr>
            <w:tcW w:type="dxa" w:w="1900"/>
            <w:shd w:fill="F2F2F2" w:val="clear"/>
            <w:tcMar>
              <w:top w:type="dxa" w:w="80"/>
              <w:left w:type="dxa" w:w="120"/>
              <w:bottom w:type="dxa" w:w="80"/>
              <w:right w:type="dxa" w:w="120"/>
            </w:tcMar>
          </w:tcPr>
          <w:p>
            <w:r>
              <w:rPr>
                <w:sz w:val="20"/>
                <w:szCs w:val="20"/>
              </w:rPr>
              <w:t xml:space="preserve">Section 10.4</w:t>
            </w:r>
          </w:p>
        </w:tc>
      </w:tr>
      <w:tr>
        <w:tc>
          <w:tcPr>
            <w:tcW w:type="dxa" w:w="1500"/>
            <w:shd w:fill="FFFFFF" w:val="clear"/>
            <w:tcMar>
              <w:top w:type="dxa" w:w="80"/>
              <w:left w:type="dxa" w:w="120"/>
              <w:bottom w:type="dxa" w:w="80"/>
              <w:right w:type="dxa" w:w="120"/>
            </w:tcMar>
          </w:tcPr>
          <w:p>
            <w:r>
              <w:rPr>
                <w:sz w:val="20"/>
                <w:szCs w:val="20"/>
              </w:rPr>
              <w:t xml:space="preserve">90869</w:t>
            </w:r>
          </w:p>
        </w:tc>
        <w:tc>
          <w:tcPr>
            <w:tcW w:type="dxa" w:w="5960"/>
            <w:shd w:fill="FFFFFF" w:val="clear"/>
            <w:tcMar>
              <w:top w:type="dxa" w:w="80"/>
              <w:left w:type="dxa" w:w="120"/>
              <w:bottom w:type="dxa" w:w="80"/>
              <w:right w:type="dxa" w:w="120"/>
            </w:tcMar>
          </w:tcPr>
          <w:p>
            <w:r>
              <w:rPr>
                <w:sz w:val="20"/>
                <w:szCs w:val="20"/>
              </w:rPr>
              <w:t xml:space="preserve">TMS subsequent motor threshold re-determination with delivery/management</w:t>
            </w:r>
          </w:p>
        </w:tc>
        <w:tc>
          <w:tcPr>
            <w:tcW w:type="dxa" w:w="1900"/>
            <w:shd w:fill="FFFFFF" w:val="clear"/>
            <w:tcMar>
              <w:top w:type="dxa" w:w="80"/>
              <w:left w:type="dxa" w:w="120"/>
              <w:bottom w:type="dxa" w:w="80"/>
              <w:right w:type="dxa" w:w="120"/>
            </w:tcMar>
          </w:tcPr>
          <w:p>
            <w:r>
              <w:rPr>
                <w:sz w:val="20"/>
                <w:szCs w:val="20"/>
              </w:rPr>
              <w:t xml:space="preserve">Section 10.5</w:t>
            </w:r>
          </w:p>
        </w:tc>
      </w:tr>
    </w:tbl>
    <w:p>
      <w:r>
        <w:br w:type="page"/>
      </w:r>
    </w:p>
    <w:p>
      <w:pPr>
        <w:pStyle w:val="Heading1"/>
        <w:pBdr>
          <w:bottom w:val="single" w:color="1F3864" w:sz="12" w:space="4"/>
        </w:pBdr>
        <w:spacing w:after="240" w:before="480"/>
      </w:pPr>
      <w:r>
        <w:rPr>
          <w:b/>
          <w:bCs/>
          <w:color w:val="1F3864"/>
          <w:sz w:val="32"/>
          <w:szCs w:val="32"/>
        </w:rPr>
        <w:t xml:space="preserve">Appendix B — Glossary</w:t>
      </w:r>
    </w:p>
    <w:p>
      <w:pPr>
        <w:spacing w:after="160" w:line="276"/>
        <w:jc w:val="both"/>
      </w:pPr>
      <w:r>
        <w:rPr>
          <w:b/>
          <w:bCs/>
          <w:sz w:val="22"/>
          <w:szCs w:val="22"/>
        </w:rPr>
        <w:t xml:space="preserve">Independent Historian: </w:t>
      </w:r>
      <w:r>
        <w:rPr>
          <w:sz w:val="22"/>
          <w:szCs w:val="22"/>
        </w:rPr>
        <w:t xml:space="preserve">A history source other than the patient (or, in pediatrics, in addition to the usual parent) used because the patient cannot reliably provide history alone. See Rule DA-3.4.</w:t>
      </w:r>
    </w:p>
    <w:p>
      <w:pPr>
        <w:spacing w:after="160" w:line="276"/>
        <w:jc w:val="both"/>
      </w:pPr>
      <w:r>
        <w:rPr>
          <w:b/>
          <w:bCs/>
          <w:sz w:val="22"/>
          <w:szCs w:val="22"/>
        </w:rPr>
        <w:t xml:space="preserve">LCD (Local Coverage Determination): </w:t>
      </w:r>
      <w:r>
        <w:rPr>
          <w:sz w:val="22"/>
          <w:szCs w:val="22"/>
        </w:rPr>
        <w:t xml:space="preserve">A Medicare Administrative Contractor's coverage policy for a specific service within its jurisdiction; Tier 3 authority. See Section 1.6 and Chapter 10.</w:t>
      </w:r>
    </w:p>
    <w:p>
      <w:pPr>
        <w:spacing w:after="160" w:line="276"/>
        <w:jc w:val="both"/>
      </w:pPr>
      <w:r>
        <w:rPr>
          <w:b/>
          <w:bCs/>
          <w:sz w:val="22"/>
          <w:szCs w:val="22"/>
        </w:rPr>
        <w:t xml:space="preserve">MDM (Medical Decision Making): </w:t>
      </w:r>
      <w:r>
        <w:rPr>
          <w:sz w:val="22"/>
          <w:szCs w:val="22"/>
        </w:rPr>
        <w:t xml:space="preserve">The CPT framework of Problems Addressed, Data Reviewed and Analyzed, and Risk, combined via the 2-of-3 rule to set an E/M level. See Chapters 2–4.</w:t>
      </w:r>
    </w:p>
    <w:p>
      <w:pPr>
        <w:spacing w:after="160" w:line="276"/>
        <w:jc w:val="both"/>
      </w:pPr>
      <w:r>
        <w:rPr>
          <w:b/>
          <w:bCs/>
          <w:sz w:val="22"/>
          <w:szCs w:val="22"/>
        </w:rPr>
        <w:t xml:space="preserve">Problem Addressed: </w:t>
      </w:r>
      <w:r>
        <w:rPr>
          <w:sz w:val="22"/>
          <w:szCs w:val="22"/>
        </w:rPr>
        <w:t xml:space="preserve">A condition actively evaluated, assessed, or managed at the current encounter, as distinct from a condition merely listed in the chart. See Rule PA-2.2.</w:t>
      </w:r>
    </w:p>
    <w:p>
      <w:pPr>
        <w:spacing w:after="160" w:line="276"/>
        <w:jc w:val="both"/>
      </w:pPr>
      <w:r>
        <w:rPr>
          <w:b/>
          <w:bCs/>
          <w:sz w:val="22"/>
          <w:szCs w:val="22"/>
        </w:rPr>
        <w:t xml:space="preserve">Prolonged Services: </w:t>
      </w:r>
      <w:r>
        <w:rPr>
          <w:sz w:val="22"/>
          <w:szCs w:val="22"/>
        </w:rPr>
        <w:t xml:space="preserve">Additional time-based billing beyond the top-tier E/M code's time range, billed as 99417 (non-Medicare) or G2212 (Medicare). See Section 5.6.</w:t>
      </w:r>
    </w:p>
    <w:p>
      <w:pPr>
        <w:spacing w:after="160" w:line="276"/>
        <w:jc w:val="both"/>
      </w:pPr>
      <w:r>
        <w:rPr>
          <w:b/>
          <w:bCs/>
          <w:sz w:val="22"/>
          <w:szCs w:val="22"/>
        </w:rPr>
        <w:t xml:space="preserve">REMS (Risk Evaluation and Mitigation Strategy): </w:t>
      </w:r>
      <w:r>
        <w:rPr>
          <w:sz w:val="22"/>
          <w:szCs w:val="22"/>
        </w:rPr>
        <w:t xml:space="preserve">An FDA-mandated safety program; applicable to esketamine (Spravato) prescribing and administration. See Section 9.3.</w:t>
      </w:r>
    </w:p>
    <w:p>
      <w:pPr>
        <w:spacing w:after="160" w:line="276"/>
        <w:jc w:val="both"/>
      </w:pPr>
      <w:r>
        <w:rPr>
          <w:b/>
          <w:bCs/>
          <w:sz w:val="22"/>
          <w:szCs w:val="22"/>
        </w:rPr>
        <w:t xml:space="preserve">Tier (Authority Tier): </w:t>
      </w:r>
      <w:r>
        <w:rPr>
          <w:sz w:val="22"/>
          <w:szCs w:val="22"/>
        </w:rPr>
        <w:t xml:space="preserve">This manual's six-level hierarchy (AMA CPT, CMS, LCD/LCA, commercial payer policy, Trimera best practice, Trimera historical findings) used to resolve conflicting standards. See Section 1.6.</w:t>
      </w:r>
    </w:p>
    <w:p>
      <w:pPr>
        <w:spacing w:after="160" w:line="276"/>
        <w:jc w:val="both"/>
      </w:pPr>
      <w:r>
        <w:rPr>
          <w:b/>
          <w:bCs/>
          <w:sz w:val="22"/>
          <w:szCs w:val="22"/>
        </w:rPr>
        <w:t xml:space="preserve">Total Time: </w:t>
      </w:r>
      <w:r>
        <w:rPr>
          <w:sz w:val="22"/>
          <w:szCs w:val="22"/>
        </w:rPr>
        <w:t xml:space="preserve">All time personally spent by the billing provider on the calendar date of the encounter, used as an alternative to MDM for E/M leveling. See Rule TM-5.2.</w:t>
      </w:r>
    </w:p>
    <w:p>
      <w:r>
        <w:br w:type="pag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Trimera Health — Documentation &amp; Coding Standards Manual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2026-07-15T00:34:48.951Z</dcterms:created>
  <dcterms:modified xsi:type="dcterms:W3CDTF">2026-07-15T00:34:48.952Z</dcterms:modified>
</cp:coreProperties>
</file>

<file path=docProps/custom.xml><?xml version="1.0" encoding="utf-8"?>
<Properties xmlns="http://schemas.openxmlformats.org/officeDocument/2006/custom-properties" xmlns:vt="http://schemas.openxmlformats.org/officeDocument/2006/docPropsVTypes"/>
</file>