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95839" w14:textId="21B076A7" w:rsidR="00BB6043" w:rsidRPr="00BB6043" w:rsidRDefault="006B439C" w:rsidP="00BB6043">
      <w:pPr>
        <w:spacing w:after="110" w:line="240" w:lineRule="auto"/>
        <w:jc w:val="center"/>
        <w:rPr>
          <w:rFonts w:ascii="Times New Roman" w:eastAsia="Times New Roman" w:hAnsi="Times New Roman" w:cs="Times New Roman"/>
          <w:sz w:val="24"/>
          <w:szCs w:val="24"/>
        </w:rPr>
      </w:pPr>
      <w:r>
        <w:rPr>
          <w:rFonts w:ascii="Palatino Linotype" w:eastAsia="Times New Roman" w:hAnsi="Palatino Linotype" w:cs="Times New Roman"/>
          <w:color w:val="000000"/>
          <w:sz w:val="34"/>
          <w:szCs w:val="34"/>
        </w:rPr>
        <w:t xml:space="preserve">CS7646: Project </w:t>
      </w:r>
      <w:r w:rsidR="005D41FF">
        <w:rPr>
          <w:rFonts w:ascii="Palatino Linotype" w:eastAsia="Times New Roman" w:hAnsi="Palatino Linotype" w:cs="Times New Roman"/>
          <w:color w:val="000000"/>
          <w:sz w:val="34"/>
          <w:szCs w:val="34"/>
        </w:rPr>
        <w:t>8</w:t>
      </w:r>
      <w:r w:rsidR="00BB6043">
        <w:rPr>
          <w:rFonts w:ascii="Palatino Linotype" w:eastAsia="Times New Roman" w:hAnsi="Palatino Linotype" w:cs="Times New Roman"/>
          <w:color w:val="000000"/>
          <w:sz w:val="34"/>
          <w:szCs w:val="34"/>
        </w:rPr>
        <w:t xml:space="preserve"> </w:t>
      </w:r>
      <w:r>
        <w:rPr>
          <w:rFonts w:ascii="Palatino Linotype" w:eastAsia="Times New Roman" w:hAnsi="Palatino Linotype" w:cs="Times New Roman"/>
          <w:color w:val="000000"/>
          <w:sz w:val="34"/>
          <w:szCs w:val="34"/>
        </w:rPr>
        <w:t>–</w:t>
      </w:r>
      <w:r w:rsidR="00BB6043">
        <w:rPr>
          <w:rFonts w:ascii="Palatino Linotype" w:eastAsia="Times New Roman" w:hAnsi="Palatino Linotype" w:cs="Times New Roman"/>
          <w:color w:val="000000"/>
          <w:sz w:val="34"/>
          <w:szCs w:val="34"/>
        </w:rPr>
        <w:t xml:space="preserve"> </w:t>
      </w:r>
      <w:r w:rsidR="005D41FF">
        <w:rPr>
          <w:rFonts w:ascii="Palatino Linotype" w:eastAsia="Times New Roman" w:hAnsi="Palatino Linotype" w:cs="Times New Roman"/>
          <w:color w:val="000000"/>
          <w:sz w:val="34"/>
          <w:szCs w:val="34"/>
        </w:rPr>
        <w:t>Strategy</w:t>
      </w:r>
      <w:r w:rsidR="00E03363">
        <w:rPr>
          <w:rFonts w:ascii="Palatino Linotype" w:eastAsia="Times New Roman" w:hAnsi="Palatino Linotype" w:cs="Times New Roman"/>
          <w:color w:val="000000"/>
          <w:sz w:val="34"/>
          <w:szCs w:val="34"/>
        </w:rPr>
        <w:t xml:space="preserve"> Evaluation</w:t>
      </w:r>
    </w:p>
    <w:p w14:paraId="1B5A51FC" w14:textId="77777777" w:rsidR="00BB6043" w:rsidRPr="00BB6043" w:rsidRDefault="00BB6043" w:rsidP="00BB6043">
      <w:pPr>
        <w:spacing w:after="110" w:line="240" w:lineRule="auto"/>
        <w:jc w:val="center"/>
        <w:rPr>
          <w:rFonts w:ascii="Times New Roman" w:eastAsia="Times New Roman" w:hAnsi="Times New Roman" w:cs="Times New Roman"/>
          <w:sz w:val="24"/>
          <w:szCs w:val="24"/>
        </w:rPr>
      </w:pPr>
      <w:r>
        <w:rPr>
          <w:rFonts w:ascii="Palatino Linotype" w:eastAsia="Times New Roman" w:hAnsi="Palatino Linotype" w:cs="Times New Roman"/>
          <w:color w:val="000000"/>
        </w:rPr>
        <w:t>Marcus Anderson</w:t>
      </w:r>
      <w:r w:rsidRPr="00BB6043">
        <w:rPr>
          <w:rFonts w:ascii="Palatino Linotype" w:eastAsia="Times New Roman" w:hAnsi="Palatino Linotype" w:cs="Times New Roman"/>
          <w:color w:val="000000"/>
        </w:rPr>
        <w:br/>
      </w:r>
      <w:r>
        <w:rPr>
          <w:rFonts w:ascii="Palatino Linotype" w:eastAsia="Times New Roman" w:hAnsi="Palatino Linotype" w:cs="Times New Roman"/>
          <w:color w:val="000000"/>
        </w:rPr>
        <w:t>manderson332</w:t>
      </w:r>
      <w:r w:rsidRPr="00BB6043">
        <w:rPr>
          <w:rFonts w:ascii="Palatino Linotype" w:eastAsia="Times New Roman" w:hAnsi="Palatino Linotype" w:cs="Times New Roman"/>
          <w:color w:val="000000"/>
        </w:rPr>
        <w:t>@gatech.edu</w:t>
      </w:r>
    </w:p>
    <w:p w14:paraId="7307EAC3" w14:textId="3F2E9566" w:rsidR="00073DA9" w:rsidRDefault="00BB6043" w:rsidP="00073DA9">
      <w:pPr>
        <w:ind w:left="1440"/>
        <w:rPr>
          <w:rFonts w:ascii="Palatino Linotype" w:eastAsia="Times New Roman" w:hAnsi="Palatino Linotype" w:cs="Times New Roman"/>
          <w:color w:val="000000"/>
        </w:rPr>
      </w:pPr>
      <w:r w:rsidRPr="00BB6043">
        <w:rPr>
          <w:rFonts w:ascii="Palatino Linotype" w:eastAsia="Times New Roman" w:hAnsi="Palatino Linotype" w:cs="Times New Roman"/>
          <w:b/>
          <w:bCs/>
          <w:i/>
          <w:iCs/>
          <w:color w:val="000000"/>
        </w:rPr>
        <w:t>Abstract—</w:t>
      </w:r>
      <w:bookmarkStart w:id="0" w:name="_Hlk129434598"/>
      <w:proofErr w:type="gramStart"/>
      <w:r w:rsidRPr="00BB6043">
        <w:rPr>
          <w:rFonts w:ascii="Palatino Linotype" w:eastAsia="Times New Roman" w:hAnsi="Palatino Linotype" w:cs="Times New Roman"/>
          <w:color w:val="000000"/>
        </w:rPr>
        <w:t>In</w:t>
      </w:r>
      <w:proofErr w:type="gramEnd"/>
      <w:r w:rsidRPr="00BB6043">
        <w:rPr>
          <w:rFonts w:ascii="Palatino Linotype" w:eastAsia="Times New Roman" w:hAnsi="Palatino Linotype" w:cs="Times New Roman"/>
          <w:color w:val="000000"/>
        </w:rPr>
        <w:t xml:space="preserve"> this report,</w:t>
      </w:r>
      <w:r w:rsidR="00695A63" w:rsidRPr="00695A63">
        <w:t xml:space="preserve"> </w:t>
      </w:r>
      <w:bookmarkEnd w:id="0"/>
      <w:r w:rsidR="00DF45A1">
        <w:rPr>
          <w:rFonts w:ascii="Palatino Linotype" w:eastAsia="Times New Roman" w:hAnsi="Palatino Linotype" w:cs="Times New Roman"/>
          <w:color w:val="000000"/>
        </w:rPr>
        <w:t>we</w:t>
      </w:r>
      <w:r w:rsidR="00DF45A1" w:rsidRPr="00DF45A1">
        <w:rPr>
          <w:rFonts w:ascii="Palatino Linotype" w:eastAsia="Times New Roman" w:hAnsi="Palatino Linotype" w:cs="Times New Roman"/>
          <w:color w:val="000000"/>
        </w:rPr>
        <w:t xml:space="preserve"> aim</w:t>
      </w:r>
      <w:r w:rsidR="00DF45A1">
        <w:rPr>
          <w:rFonts w:ascii="Palatino Linotype" w:eastAsia="Times New Roman" w:hAnsi="Palatino Linotype" w:cs="Times New Roman"/>
          <w:color w:val="000000"/>
        </w:rPr>
        <w:t>ed</w:t>
      </w:r>
      <w:r w:rsidR="00DF45A1" w:rsidRPr="00DF45A1">
        <w:rPr>
          <w:rFonts w:ascii="Palatino Linotype" w:eastAsia="Times New Roman" w:hAnsi="Palatino Linotype" w:cs="Times New Roman"/>
          <w:color w:val="000000"/>
        </w:rPr>
        <w:t xml:space="preserve"> to compare the pe</w:t>
      </w:r>
      <w:r w:rsidR="00855D00">
        <w:rPr>
          <w:rFonts w:ascii="Palatino Linotype" w:eastAsia="Times New Roman" w:hAnsi="Palatino Linotype" w:cs="Times New Roman"/>
          <w:color w:val="000000"/>
        </w:rPr>
        <w:t xml:space="preserve">rformance of a manual strategy </w:t>
      </w:r>
      <w:r w:rsidR="00DF45A1" w:rsidRPr="00DF45A1">
        <w:rPr>
          <w:rFonts w:ascii="Palatino Linotype" w:eastAsia="Times New Roman" w:hAnsi="Palatino Linotype" w:cs="Times New Roman"/>
          <w:color w:val="000000"/>
        </w:rPr>
        <w:t>and a</w:t>
      </w:r>
      <w:r w:rsidR="00DF45A1">
        <w:rPr>
          <w:rFonts w:ascii="Palatino Linotype" w:eastAsia="Times New Roman" w:hAnsi="Palatino Linotype" w:cs="Times New Roman"/>
          <w:color w:val="000000"/>
        </w:rPr>
        <w:t xml:space="preserve"> </w:t>
      </w:r>
      <w:r w:rsidR="00DF45A1" w:rsidRPr="00DF45A1">
        <w:rPr>
          <w:rFonts w:ascii="Palatino Linotype" w:eastAsia="Times New Roman" w:hAnsi="Palatino Linotype" w:cs="Times New Roman"/>
          <w:color w:val="000000"/>
        </w:rPr>
        <w:t xml:space="preserve">strategy learner. The manual strategy involves developing trading </w:t>
      </w:r>
      <w:r w:rsidR="00DF45A1">
        <w:rPr>
          <w:rFonts w:ascii="Palatino Linotype" w:eastAsia="Times New Roman" w:hAnsi="Palatino Linotype" w:cs="Times New Roman"/>
          <w:color w:val="000000"/>
        </w:rPr>
        <w:t>orders</w:t>
      </w:r>
      <w:r w:rsidR="00DF45A1" w:rsidRPr="00DF45A1">
        <w:rPr>
          <w:rFonts w:ascii="Palatino Linotype" w:eastAsia="Times New Roman" w:hAnsi="Palatino Linotype" w:cs="Times New Roman"/>
          <w:color w:val="000000"/>
        </w:rPr>
        <w:t xml:space="preserve"> </w:t>
      </w:r>
      <w:r w:rsidR="00DF45A1">
        <w:rPr>
          <w:rFonts w:ascii="Palatino Linotype" w:eastAsia="Times New Roman" w:hAnsi="Palatino Linotype" w:cs="Times New Roman"/>
          <w:color w:val="000000"/>
        </w:rPr>
        <w:t xml:space="preserve">solely </w:t>
      </w:r>
      <w:r w:rsidR="00DF45A1" w:rsidRPr="00DF45A1">
        <w:rPr>
          <w:rFonts w:ascii="Palatino Linotype" w:eastAsia="Times New Roman" w:hAnsi="Palatino Linotype" w:cs="Times New Roman"/>
          <w:color w:val="000000"/>
        </w:rPr>
        <w:t xml:space="preserve">based </w:t>
      </w:r>
      <w:r w:rsidR="00DF45A1">
        <w:rPr>
          <w:rFonts w:ascii="Palatino Linotype" w:eastAsia="Times New Roman" w:hAnsi="Palatino Linotype" w:cs="Times New Roman"/>
          <w:color w:val="000000"/>
        </w:rPr>
        <w:t>on indicator rules</w:t>
      </w:r>
      <w:r w:rsidR="00DF45A1" w:rsidRPr="00DF45A1">
        <w:rPr>
          <w:rFonts w:ascii="Palatino Linotype" w:eastAsia="Times New Roman" w:hAnsi="Palatino Linotype" w:cs="Times New Roman"/>
          <w:color w:val="000000"/>
        </w:rPr>
        <w:t xml:space="preserve">, while the strategy learner </w:t>
      </w:r>
      <w:r w:rsidR="00DF45A1">
        <w:rPr>
          <w:rFonts w:ascii="Palatino Linotype" w:eastAsia="Times New Roman" w:hAnsi="Palatino Linotype" w:cs="Times New Roman"/>
          <w:color w:val="000000"/>
        </w:rPr>
        <w:t xml:space="preserve">pairs </w:t>
      </w:r>
      <w:r w:rsidR="00855D00">
        <w:rPr>
          <w:rFonts w:ascii="Palatino Linotype" w:eastAsia="Times New Roman" w:hAnsi="Palatino Linotype" w:cs="Times New Roman"/>
          <w:color w:val="000000"/>
        </w:rPr>
        <w:t>a</w:t>
      </w:r>
      <w:r w:rsidR="00DF45A1">
        <w:rPr>
          <w:rFonts w:ascii="Palatino Linotype" w:eastAsia="Times New Roman" w:hAnsi="Palatino Linotype" w:cs="Times New Roman"/>
          <w:color w:val="000000"/>
        </w:rPr>
        <w:t xml:space="preserve"> classification-based</w:t>
      </w:r>
      <w:r w:rsidR="00855D00">
        <w:rPr>
          <w:rFonts w:ascii="Palatino Linotype" w:eastAsia="Times New Roman" w:hAnsi="Palatino Linotype" w:cs="Times New Roman"/>
          <w:color w:val="000000"/>
        </w:rPr>
        <w:t>, reinforcement-based, or optimization-based</w:t>
      </w:r>
      <w:r w:rsidR="00DF45A1">
        <w:rPr>
          <w:rFonts w:ascii="Palatino Linotype" w:eastAsia="Times New Roman" w:hAnsi="Palatino Linotype" w:cs="Times New Roman"/>
          <w:color w:val="000000"/>
        </w:rPr>
        <w:t xml:space="preserve"> </w:t>
      </w:r>
      <w:r w:rsidR="00855D00">
        <w:rPr>
          <w:rFonts w:ascii="Palatino Linotype" w:eastAsia="Times New Roman" w:hAnsi="Palatino Linotype" w:cs="Times New Roman"/>
          <w:color w:val="000000"/>
        </w:rPr>
        <w:t>learner</w:t>
      </w:r>
      <w:r w:rsidR="00DF45A1">
        <w:rPr>
          <w:rFonts w:ascii="Palatino Linotype" w:eastAsia="Times New Roman" w:hAnsi="Palatino Linotype" w:cs="Times New Roman"/>
          <w:color w:val="000000"/>
        </w:rPr>
        <w:t xml:space="preserve"> with indicator rules</w:t>
      </w:r>
      <w:r w:rsidR="00DF45A1" w:rsidRPr="00DF45A1">
        <w:rPr>
          <w:rFonts w:ascii="Palatino Linotype" w:eastAsia="Times New Roman" w:hAnsi="Palatino Linotype" w:cs="Times New Roman"/>
          <w:color w:val="000000"/>
        </w:rPr>
        <w:t xml:space="preserve"> to create trading </w:t>
      </w:r>
      <w:r w:rsidR="00DF45A1">
        <w:rPr>
          <w:rFonts w:ascii="Palatino Linotype" w:eastAsia="Times New Roman" w:hAnsi="Palatino Linotype" w:cs="Times New Roman"/>
          <w:color w:val="000000"/>
        </w:rPr>
        <w:t>orders</w:t>
      </w:r>
      <w:r w:rsidR="00855D00">
        <w:rPr>
          <w:rFonts w:ascii="Palatino Linotype" w:eastAsia="Times New Roman" w:hAnsi="Palatino Linotype" w:cs="Times New Roman"/>
          <w:color w:val="000000"/>
        </w:rPr>
        <w:t>. This</w:t>
      </w:r>
      <w:r w:rsidR="00DF45A1" w:rsidRPr="00DF45A1">
        <w:rPr>
          <w:rFonts w:ascii="Palatino Linotype" w:eastAsia="Times New Roman" w:hAnsi="Palatino Linotype" w:cs="Times New Roman"/>
          <w:color w:val="000000"/>
        </w:rPr>
        <w:t xml:space="preserve"> report analyzes the effectiveness of the strategies using various metrics, </w:t>
      </w:r>
      <w:r w:rsidR="00DF45A1">
        <w:rPr>
          <w:rFonts w:ascii="Palatino Linotype" w:eastAsia="Times New Roman" w:hAnsi="Palatino Linotype" w:cs="Times New Roman"/>
          <w:color w:val="000000"/>
        </w:rPr>
        <w:t>mainly</w:t>
      </w:r>
      <w:r w:rsidR="00DF45A1" w:rsidRPr="00DF45A1">
        <w:rPr>
          <w:rFonts w:ascii="Palatino Linotype" w:eastAsia="Times New Roman" w:hAnsi="Palatino Linotype" w:cs="Times New Roman"/>
          <w:color w:val="000000"/>
        </w:rPr>
        <w:t xml:space="preserve"> profitability.</w:t>
      </w:r>
    </w:p>
    <w:p w14:paraId="11C64037" w14:textId="77777777" w:rsidR="00FA2046" w:rsidRDefault="003A2410" w:rsidP="003A2410">
      <w:pPr>
        <w:rPr>
          <w:rFonts w:ascii="Palatino Linotype" w:eastAsia="Times New Roman" w:hAnsi="Palatino Linotype" w:cs="Times New Roman"/>
          <w:b/>
          <w:color w:val="000000"/>
        </w:rPr>
      </w:pPr>
      <w:r>
        <w:rPr>
          <w:rFonts w:ascii="Palatino Linotype" w:eastAsia="Times New Roman" w:hAnsi="Palatino Linotype" w:cs="Times New Roman"/>
          <w:b/>
          <w:color w:val="000000"/>
        </w:rPr>
        <w:t xml:space="preserve">1 </w:t>
      </w:r>
      <w:r w:rsidR="0031478D" w:rsidRPr="003A2410">
        <w:rPr>
          <w:rFonts w:ascii="Palatino Linotype" w:eastAsia="Times New Roman" w:hAnsi="Palatino Linotype" w:cs="Times New Roman"/>
          <w:b/>
          <w:color w:val="000000"/>
        </w:rPr>
        <w:t>I</w:t>
      </w:r>
      <w:r w:rsidR="00073DA9" w:rsidRPr="003A2410">
        <w:rPr>
          <w:rFonts w:ascii="Palatino Linotype" w:eastAsia="Times New Roman" w:hAnsi="Palatino Linotype" w:cs="Times New Roman"/>
          <w:b/>
          <w:color w:val="000000"/>
        </w:rPr>
        <w:t>NTRODUCTION</w:t>
      </w:r>
    </w:p>
    <w:p w14:paraId="0503277D" w14:textId="73831083" w:rsidR="007E2601" w:rsidRDefault="00213910" w:rsidP="003A2410">
      <w:pPr>
        <w:rPr>
          <w:rFonts w:ascii="Palatino Linotype" w:eastAsia="Times New Roman" w:hAnsi="Palatino Linotype" w:cs="Times New Roman"/>
          <w:bCs/>
          <w:color w:val="000000"/>
        </w:rPr>
      </w:pPr>
      <w:r w:rsidRPr="00213910">
        <w:rPr>
          <w:rFonts w:ascii="Palatino Linotype" w:eastAsia="Times New Roman" w:hAnsi="Palatino Linotype" w:cs="Times New Roman"/>
          <w:bCs/>
          <w:color w:val="000000"/>
        </w:rPr>
        <w:t xml:space="preserve">The objective of this </w:t>
      </w:r>
      <w:r>
        <w:rPr>
          <w:rFonts w:ascii="Palatino Linotype" w:eastAsia="Times New Roman" w:hAnsi="Palatino Linotype" w:cs="Times New Roman"/>
          <w:bCs/>
          <w:color w:val="000000"/>
        </w:rPr>
        <w:t>project</w:t>
      </w:r>
      <w:r w:rsidRPr="00213910">
        <w:rPr>
          <w:rFonts w:ascii="Palatino Linotype" w:eastAsia="Times New Roman" w:hAnsi="Palatino Linotype" w:cs="Times New Roman"/>
          <w:bCs/>
          <w:color w:val="000000"/>
        </w:rPr>
        <w:t xml:space="preserve"> is to compare the performance of a manual strategy and</w:t>
      </w:r>
      <w:r w:rsidR="00740D06">
        <w:rPr>
          <w:rFonts w:ascii="Palatino Linotype" w:eastAsia="Times New Roman" w:hAnsi="Palatino Linotype" w:cs="Times New Roman"/>
          <w:bCs/>
          <w:color w:val="000000"/>
        </w:rPr>
        <w:t xml:space="preserve"> </w:t>
      </w:r>
      <w:r w:rsidR="00740D06" w:rsidRPr="00DF45A1">
        <w:rPr>
          <w:rFonts w:ascii="Palatino Linotype" w:eastAsia="Times New Roman" w:hAnsi="Palatino Linotype" w:cs="Times New Roman"/>
          <w:color w:val="000000"/>
        </w:rPr>
        <w:t>a strategy learner</w:t>
      </w:r>
      <w:r w:rsidR="00463AD1">
        <w:rPr>
          <w:rFonts w:ascii="Palatino Linotype" w:eastAsia="Times New Roman" w:hAnsi="Palatino Linotype" w:cs="Times New Roman"/>
          <w:color w:val="000000"/>
        </w:rPr>
        <w:t xml:space="preserve"> </w:t>
      </w:r>
      <w:r w:rsidR="00740D06">
        <w:rPr>
          <w:rFonts w:ascii="Palatino Linotype" w:eastAsia="Times New Roman" w:hAnsi="Palatino Linotype" w:cs="Times New Roman"/>
          <w:color w:val="000000"/>
        </w:rPr>
        <w:t xml:space="preserve">within </w:t>
      </w:r>
      <w:r w:rsidRPr="00213910">
        <w:rPr>
          <w:rFonts w:ascii="Palatino Linotype" w:eastAsia="Times New Roman" w:hAnsi="Palatino Linotype" w:cs="Times New Roman"/>
          <w:bCs/>
          <w:color w:val="000000"/>
        </w:rPr>
        <w:t>the financial market. The manual strategy combin</w:t>
      </w:r>
      <w:r w:rsidR="00E06A2D">
        <w:rPr>
          <w:rFonts w:ascii="Palatino Linotype" w:eastAsia="Times New Roman" w:hAnsi="Palatino Linotype" w:cs="Times New Roman"/>
          <w:bCs/>
          <w:color w:val="000000"/>
        </w:rPr>
        <w:t>es</w:t>
      </w:r>
      <w:r w:rsidRPr="00213910">
        <w:rPr>
          <w:rFonts w:ascii="Palatino Linotype" w:eastAsia="Times New Roman" w:hAnsi="Palatino Linotype" w:cs="Times New Roman"/>
          <w:bCs/>
          <w:color w:val="000000"/>
        </w:rPr>
        <w:t xml:space="preserve"> a minimum of three out of the five indicators from Project 6, while the strategy learner is based on one of the learners </w:t>
      </w:r>
      <w:r w:rsidR="00E06A2D">
        <w:rPr>
          <w:rFonts w:ascii="Palatino Linotype" w:eastAsia="Times New Roman" w:hAnsi="Palatino Linotype" w:cs="Times New Roman"/>
          <w:bCs/>
          <w:color w:val="000000"/>
        </w:rPr>
        <w:t xml:space="preserve">we’ve used before, </w:t>
      </w:r>
      <w:r w:rsidRPr="00213910">
        <w:rPr>
          <w:rFonts w:ascii="Palatino Linotype" w:eastAsia="Times New Roman" w:hAnsi="Palatino Linotype" w:cs="Times New Roman"/>
          <w:bCs/>
          <w:color w:val="000000"/>
        </w:rPr>
        <w:t>using th</w:t>
      </w:r>
      <w:r w:rsidR="00E06A2D">
        <w:rPr>
          <w:rFonts w:ascii="Palatino Linotype" w:eastAsia="Times New Roman" w:hAnsi="Palatino Linotype" w:cs="Times New Roman"/>
          <w:bCs/>
          <w:color w:val="000000"/>
        </w:rPr>
        <w:t xml:space="preserve">ose </w:t>
      </w:r>
      <w:r w:rsidRPr="00213910">
        <w:rPr>
          <w:rFonts w:ascii="Palatino Linotype" w:eastAsia="Times New Roman" w:hAnsi="Palatino Linotype" w:cs="Times New Roman"/>
          <w:bCs/>
          <w:color w:val="000000"/>
        </w:rPr>
        <w:t>same indicators. The</w:t>
      </w:r>
      <w:r w:rsidR="00E06A2D">
        <w:rPr>
          <w:rFonts w:ascii="Palatino Linotype" w:eastAsia="Times New Roman" w:hAnsi="Palatino Linotype" w:cs="Times New Roman"/>
          <w:bCs/>
          <w:color w:val="000000"/>
        </w:rPr>
        <w:t xml:space="preserve"> overall</w:t>
      </w:r>
      <w:r w:rsidRPr="00213910">
        <w:rPr>
          <w:rFonts w:ascii="Palatino Linotype" w:eastAsia="Times New Roman" w:hAnsi="Palatino Linotype" w:cs="Times New Roman"/>
          <w:bCs/>
          <w:color w:val="000000"/>
        </w:rPr>
        <w:t xml:space="preserve"> approach involves testing</w:t>
      </w:r>
      <w:r w:rsidR="00E06A2D">
        <w:rPr>
          <w:rFonts w:ascii="Palatino Linotype" w:eastAsia="Times New Roman" w:hAnsi="Palatino Linotype" w:cs="Times New Roman"/>
          <w:bCs/>
          <w:color w:val="000000"/>
        </w:rPr>
        <w:t xml:space="preserve"> </w:t>
      </w:r>
      <w:r w:rsidRPr="00213910">
        <w:rPr>
          <w:rFonts w:ascii="Palatino Linotype" w:eastAsia="Times New Roman" w:hAnsi="Palatino Linotype" w:cs="Times New Roman"/>
          <w:bCs/>
          <w:color w:val="000000"/>
        </w:rPr>
        <w:t>both strategies on specific symbol</w:t>
      </w:r>
      <w:r w:rsidR="00E06A2D">
        <w:rPr>
          <w:rFonts w:ascii="Palatino Linotype" w:eastAsia="Times New Roman" w:hAnsi="Palatino Linotype" w:cs="Times New Roman"/>
          <w:bCs/>
          <w:color w:val="000000"/>
        </w:rPr>
        <w:t xml:space="preserve"> and in-sample</w:t>
      </w:r>
      <w:r w:rsidR="00463AD1">
        <w:rPr>
          <w:rFonts w:ascii="Palatino Linotype" w:eastAsia="Times New Roman" w:hAnsi="Palatino Linotype" w:cs="Times New Roman"/>
          <w:bCs/>
          <w:color w:val="000000"/>
        </w:rPr>
        <w:t>/out-of-</w:t>
      </w:r>
      <w:r w:rsidR="00E06A2D">
        <w:rPr>
          <w:rFonts w:ascii="Palatino Linotype" w:eastAsia="Times New Roman" w:hAnsi="Palatino Linotype" w:cs="Times New Roman"/>
          <w:bCs/>
          <w:color w:val="000000"/>
        </w:rPr>
        <w:t>sample time</w:t>
      </w:r>
      <w:r w:rsidRPr="00213910">
        <w:rPr>
          <w:rFonts w:ascii="Palatino Linotype" w:eastAsia="Times New Roman" w:hAnsi="Palatino Linotype" w:cs="Times New Roman"/>
          <w:bCs/>
          <w:color w:val="000000"/>
        </w:rPr>
        <w:t xml:space="preserve"> period</w:t>
      </w:r>
      <w:r w:rsidR="00463AD1">
        <w:rPr>
          <w:rFonts w:ascii="Palatino Linotype" w:eastAsia="Times New Roman" w:hAnsi="Palatino Linotype" w:cs="Times New Roman"/>
          <w:bCs/>
          <w:color w:val="000000"/>
        </w:rPr>
        <w:t>,</w:t>
      </w:r>
      <w:r w:rsidRPr="00213910">
        <w:rPr>
          <w:rFonts w:ascii="Palatino Linotype" w:eastAsia="Times New Roman" w:hAnsi="Palatino Linotype" w:cs="Times New Roman"/>
          <w:bCs/>
          <w:color w:val="000000"/>
        </w:rPr>
        <w:t xml:space="preserve"> and conducting experiments to evaluate their effectiveness.</w:t>
      </w:r>
    </w:p>
    <w:p w14:paraId="7EB08E6C" w14:textId="2AC1606F" w:rsidR="007E2601" w:rsidRPr="0053102B" w:rsidRDefault="000B64B4" w:rsidP="003A2410">
      <w:pPr>
        <w:rPr>
          <w:rFonts w:ascii="Palatino Linotype" w:eastAsia="Times New Roman" w:hAnsi="Palatino Linotype" w:cs="Times New Roman"/>
          <w:bCs/>
          <w:color w:val="000000"/>
        </w:rPr>
      </w:pPr>
      <w:r w:rsidRPr="000B64B4">
        <w:rPr>
          <w:rFonts w:ascii="Palatino Linotype" w:eastAsia="Times New Roman" w:hAnsi="Palatino Linotype" w:cs="Times New Roman"/>
          <w:bCs/>
          <w:color w:val="000000"/>
        </w:rPr>
        <w:t xml:space="preserve">This report will describe the manual strategy, the strategy learner, and the experiments conducted to evaluate their </w:t>
      </w:r>
      <w:r>
        <w:rPr>
          <w:rFonts w:ascii="Palatino Linotype" w:eastAsia="Times New Roman" w:hAnsi="Palatino Linotype" w:cs="Times New Roman"/>
          <w:bCs/>
          <w:color w:val="000000"/>
        </w:rPr>
        <w:t xml:space="preserve">respective </w:t>
      </w:r>
      <w:r w:rsidRPr="000B64B4">
        <w:rPr>
          <w:rFonts w:ascii="Palatino Linotype" w:eastAsia="Times New Roman" w:hAnsi="Palatino Linotype" w:cs="Times New Roman"/>
          <w:bCs/>
          <w:color w:val="000000"/>
        </w:rPr>
        <w:t>performance. The results of the analysis will provide</w:t>
      </w:r>
      <w:r>
        <w:rPr>
          <w:rFonts w:ascii="Palatino Linotype" w:eastAsia="Times New Roman" w:hAnsi="Palatino Linotype" w:cs="Times New Roman"/>
          <w:bCs/>
          <w:color w:val="000000"/>
        </w:rPr>
        <w:t xml:space="preserve"> a deeper </w:t>
      </w:r>
      <w:r w:rsidRPr="000B64B4">
        <w:rPr>
          <w:rFonts w:ascii="Palatino Linotype" w:eastAsia="Times New Roman" w:hAnsi="Palatino Linotype" w:cs="Times New Roman"/>
          <w:bCs/>
          <w:color w:val="000000"/>
        </w:rPr>
        <w:t xml:space="preserve">insight into the strengths and weaknesses of each strategy and </w:t>
      </w:r>
      <w:r>
        <w:rPr>
          <w:rFonts w:ascii="Palatino Linotype" w:eastAsia="Times New Roman" w:hAnsi="Palatino Linotype" w:cs="Times New Roman"/>
          <w:bCs/>
          <w:color w:val="000000"/>
        </w:rPr>
        <w:t xml:space="preserve">will utilize visuals such as charts and </w:t>
      </w:r>
      <w:r w:rsidR="007E79A8">
        <w:rPr>
          <w:rFonts w:ascii="Palatino Linotype" w:eastAsia="Times New Roman" w:hAnsi="Palatino Linotype" w:cs="Times New Roman"/>
          <w:bCs/>
          <w:color w:val="000000"/>
        </w:rPr>
        <w:t>statistics to showcase this</w:t>
      </w:r>
      <w:r w:rsidRPr="000B64B4">
        <w:rPr>
          <w:rFonts w:ascii="Palatino Linotype" w:eastAsia="Times New Roman" w:hAnsi="Palatino Linotype" w:cs="Times New Roman"/>
          <w:bCs/>
          <w:color w:val="000000"/>
        </w:rPr>
        <w:t>.</w:t>
      </w:r>
    </w:p>
    <w:p w14:paraId="3861D979" w14:textId="006BC9B4" w:rsidR="005D41FF" w:rsidRDefault="00E03363" w:rsidP="00E06A2D">
      <w:pPr>
        <w:jc w:val="both"/>
        <w:rPr>
          <w:rFonts w:ascii="Palatino Linotype" w:eastAsia="Times New Roman" w:hAnsi="Palatino Linotype" w:cs="Times New Roman"/>
          <w:b/>
          <w:color w:val="000000"/>
        </w:rPr>
      </w:pPr>
      <w:r w:rsidRPr="0010684E">
        <w:rPr>
          <w:rFonts w:ascii="Palatino Linotype" w:eastAsia="Times New Roman" w:hAnsi="Palatino Linotype" w:cs="Times New Roman"/>
          <w:b/>
          <w:color w:val="000000"/>
        </w:rPr>
        <w:t>2</w:t>
      </w:r>
      <w:r w:rsidR="003A2410" w:rsidRPr="0010684E">
        <w:rPr>
          <w:rFonts w:ascii="Palatino Linotype" w:eastAsia="Times New Roman" w:hAnsi="Palatino Linotype" w:cs="Times New Roman"/>
          <w:b/>
          <w:color w:val="000000"/>
        </w:rPr>
        <w:t xml:space="preserve"> </w:t>
      </w:r>
      <w:r w:rsidRPr="0010684E">
        <w:rPr>
          <w:rFonts w:ascii="Palatino Linotype" w:eastAsia="Times New Roman" w:hAnsi="Palatino Linotype" w:cs="Times New Roman"/>
          <w:b/>
          <w:color w:val="000000"/>
        </w:rPr>
        <w:t>INDICATOR</w:t>
      </w:r>
      <w:r w:rsidR="005D41FF">
        <w:rPr>
          <w:rFonts w:ascii="Palatino Linotype" w:eastAsia="Times New Roman" w:hAnsi="Palatino Linotype" w:cs="Times New Roman"/>
          <w:b/>
          <w:color w:val="000000"/>
        </w:rPr>
        <w:t xml:space="preserve"> OVERVIEW</w:t>
      </w:r>
    </w:p>
    <w:p w14:paraId="3A7A4AB2" w14:textId="099659DB" w:rsidR="00E77651" w:rsidRPr="00E77651" w:rsidRDefault="00D97D64" w:rsidP="00D97D64">
      <w:pPr>
        <w:rPr>
          <w:rFonts w:ascii="Palatino Linotype" w:eastAsia="Times New Roman" w:hAnsi="Palatino Linotype" w:cs="Times New Roman"/>
          <w:bCs/>
          <w:color w:val="000000"/>
        </w:rPr>
      </w:pPr>
      <w:r>
        <w:rPr>
          <w:rFonts w:ascii="Palatino Linotype" w:eastAsia="Times New Roman" w:hAnsi="Palatino Linotype" w:cs="Times New Roman"/>
          <w:bCs/>
          <w:color w:val="000000"/>
        </w:rPr>
        <w:t>The first component of this project was to select three to five technical indicators from Project 6 to utilize in both the manual strategy and strategy leaner. We’ll discuss each</w:t>
      </w:r>
      <w:r w:rsidR="00E77651" w:rsidRPr="00E77651">
        <w:rPr>
          <w:rFonts w:ascii="Palatino Linotype" w:eastAsia="Times New Roman" w:hAnsi="Palatino Linotype" w:cs="Times New Roman"/>
          <w:bCs/>
          <w:color w:val="000000"/>
        </w:rPr>
        <w:t xml:space="preserve"> indicator in terms of </w:t>
      </w:r>
      <w:r>
        <w:rPr>
          <w:rFonts w:ascii="Palatino Linotype" w:eastAsia="Times New Roman" w:hAnsi="Palatino Linotype" w:cs="Times New Roman"/>
          <w:bCs/>
          <w:color w:val="000000"/>
        </w:rPr>
        <w:t xml:space="preserve">their respective </w:t>
      </w:r>
      <w:r w:rsidR="00E77651" w:rsidRPr="00E77651">
        <w:rPr>
          <w:rFonts w:ascii="Palatino Linotype" w:eastAsia="Times New Roman" w:hAnsi="Palatino Linotype" w:cs="Times New Roman"/>
          <w:bCs/>
          <w:color w:val="000000"/>
        </w:rPr>
        <w:t>implementation and the parameters that were optimized in both the manual strategy and the strategy learner.</w:t>
      </w:r>
    </w:p>
    <w:p w14:paraId="195AFA0A" w14:textId="549D8814" w:rsidR="008342EF" w:rsidRDefault="008342EF" w:rsidP="00E06A2D">
      <w:pPr>
        <w:jc w:val="both"/>
        <w:rPr>
          <w:rFonts w:ascii="Palatino Linotype" w:eastAsia="Times New Roman" w:hAnsi="Palatino Linotype" w:cs="Times New Roman"/>
          <w:b/>
          <w:color w:val="000000"/>
        </w:rPr>
      </w:pPr>
      <w:r w:rsidRPr="008342EF">
        <w:rPr>
          <w:rFonts w:ascii="Palatino Linotype" w:eastAsia="Times New Roman" w:hAnsi="Palatino Linotype" w:cs="Times New Roman"/>
          <w:b/>
          <w:color w:val="000000"/>
        </w:rPr>
        <w:t>2.</w:t>
      </w:r>
      <w:r>
        <w:rPr>
          <w:rFonts w:ascii="Palatino Linotype" w:eastAsia="Times New Roman" w:hAnsi="Palatino Linotype" w:cs="Times New Roman"/>
          <w:b/>
          <w:color w:val="000000"/>
        </w:rPr>
        <w:t>1</w:t>
      </w:r>
      <w:r w:rsidRPr="008342EF">
        <w:rPr>
          <w:rFonts w:ascii="Palatino Linotype" w:eastAsia="Times New Roman" w:hAnsi="Palatino Linotype" w:cs="Times New Roman"/>
          <w:b/>
          <w:color w:val="000000"/>
        </w:rPr>
        <w:t xml:space="preserve"> %B Indicator (%B)</w:t>
      </w:r>
    </w:p>
    <w:p w14:paraId="5F588E93" w14:textId="35CD266E" w:rsidR="006D5A91" w:rsidRDefault="00A32360" w:rsidP="006D5A91">
      <w:pPr>
        <w:rPr>
          <w:rFonts w:ascii="Palatino Linotype" w:eastAsia="Times New Roman" w:hAnsi="Palatino Linotype" w:cs="Times New Roman"/>
          <w:bCs/>
          <w:color w:val="000000"/>
        </w:rPr>
      </w:pPr>
      <w:r w:rsidRPr="00A32360">
        <w:rPr>
          <w:rFonts w:ascii="Palatino Linotype" w:eastAsia="Times New Roman" w:hAnsi="Palatino Linotype" w:cs="Times New Roman"/>
          <w:bCs/>
          <w:color w:val="000000"/>
        </w:rPr>
        <w:t>The %B indicator is a technical indicator that measures the position of the current price relative to the upper and lower Bollinger Bands. Bollinger Bands (BB) is a technical indicator that’s used to identify the volatility and potential price movements of an asset.</w:t>
      </w:r>
      <w:r w:rsidR="0018514B">
        <w:rPr>
          <w:rFonts w:ascii="Palatino Linotype" w:eastAsia="Times New Roman" w:hAnsi="Palatino Linotype" w:cs="Times New Roman"/>
          <w:bCs/>
          <w:color w:val="000000"/>
        </w:rPr>
        <w:t xml:space="preserve"> </w:t>
      </w:r>
      <w:r w:rsidR="0018514B">
        <w:rPr>
          <w:rFonts w:ascii="Palatino Linotype" w:eastAsia="Times New Roman" w:hAnsi="Palatino Linotype" w:cs="Times New Roman"/>
          <w:color w:val="000000"/>
        </w:rPr>
        <w:t>The %B indicator is more of a</w:t>
      </w:r>
      <w:r w:rsidR="0018514B" w:rsidRPr="008E5AE5">
        <w:rPr>
          <w:rFonts w:ascii="Palatino Linotype" w:eastAsia="Times New Roman" w:hAnsi="Palatino Linotype" w:cs="Times New Roman"/>
          <w:color w:val="000000"/>
        </w:rPr>
        <w:t xml:space="preserve"> normalized version of the </w:t>
      </w:r>
      <w:r w:rsidR="0018514B">
        <w:rPr>
          <w:rFonts w:ascii="Palatino Linotype" w:eastAsia="Times New Roman" w:hAnsi="Palatino Linotype" w:cs="Times New Roman"/>
          <w:color w:val="000000"/>
        </w:rPr>
        <w:t>BBs that ranges from 0 to 1, indicating</w:t>
      </w:r>
      <w:r w:rsidR="0018514B" w:rsidRPr="008E5AE5">
        <w:rPr>
          <w:rFonts w:ascii="Palatino Linotype" w:eastAsia="Times New Roman" w:hAnsi="Palatino Linotype" w:cs="Times New Roman"/>
          <w:color w:val="000000"/>
        </w:rPr>
        <w:t xml:space="preserve"> where the current price is relative to the upper and lower bands.</w:t>
      </w:r>
      <w:r w:rsidR="0018514B">
        <w:rPr>
          <w:rFonts w:ascii="Palatino Linotype" w:eastAsia="Times New Roman" w:hAnsi="Palatino Linotype" w:cs="Times New Roman"/>
          <w:color w:val="000000"/>
        </w:rPr>
        <w:t xml:space="preserve"> </w:t>
      </w:r>
      <w:r w:rsidR="00300C90">
        <w:rPr>
          <w:rFonts w:ascii="Palatino Linotype" w:eastAsia="Times New Roman" w:hAnsi="Palatino Linotype" w:cs="Times New Roman"/>
          <w:bCs/>
          <w:color w:val="000000"/>
        </w:rPr>
        <w:t xml:space="preserve"> </w:t>
      </w:r>
      <w:r w:rsidR="00300C90" w:rsidRPr="00300C90">
        <w:rPr>
          <w:rFonts w:ascii="Palatino Linotype" w:eastAsia="Times New Roman" w:hAnsi="Palatino Linotype" w:cs="Times New Roman"/>
          <w:bCs/>
          <w:color w:val="000000"/>
        </w:rPr>
        <w:t xml:space="preserve">The formula for the %B indicator is: </w:t>
      </w:r>
      <w:r w:rsidR="00300C90" w:rsidRPr="0018514B">
        <w:rPr>
          <w:rFonts w:ascii="Palatino Linotype" w:eastAsia="Times New Roman" w:hAnsi="Palatino Linotype" w:cs="Times New Roman"/>
          <w:b/>
          <w:bCs/>
          <w:color w:val="000000"/>
        </w:rPr>
        <w:t>%B = (Price - Lower Band) / (Upper Band - Lower Band)</w:t>
      </w:r>
      <w:r w:rsidR="00300C90" w:rsidRPr="00300C90">
        <w:rPr>
          <w:rFonts w:ascii="Palatino Linotype" w:eastAsia="Times New Roman" w:hAnsi="Palatino Linotype" w:cs="Times New Roman"/>
          <w:bCs/>
          <w:color w:val="000000"/>
        </w:rPr>
        <w:t>. This means in order calculate the %B indicator, you must calculate the</w:t>
      </w:r>
      <w:r w:rsidR="00300C90">
        <w:rPr>
          <w:rFonts w:ascii="Palatino Linotype" w:eastAsia="Times New Roman" w:hAnsi="Palatino Linotype" w:cs="Times New Roman"/>
          <w:bCs/>
          <w:color w:val="000000"/>
        </w:rPr>
        <w:t xml:space="preserve"> </w:t>
      </w:r>
      <w:r w:rsidR="004A70F2">
        <w:rPr>
          <w:rFonts w:ascii="Palatino Linotype" w:eastAsia="Times New Roman" w:hAnsi="Palatino Linotype" w:cs="Times New Roman"/>
          <w:bCs/>
          <w:color w:val="000000"/>
        </w:rPr>
        <w:t>upper/lower bands from BB.</w:t>
      </w:r>
    </w:p>
    <w:p w14:paraId="1E88FB32" w14:textId="603BD69F" w:rsidR="006E43DA" w:rsidRPr="00A32360" w:rsidRDefault="003F77FC" w:rsidP="006D5A91">
      <w:pPr>
        <w:rPr>
          <w:rFonts w:ascii="Palatino Linotype" w:eastAsia="Times New Roman" w:hAnsi="Palatino Linotype" w:cs="Times New Roman"/>
          <w:bCs/>
          <w:color w:val="000000"/>
        </w:rPr>
      </w:pPr>
      <w:r>
        <w:rPr>
          <w:rFonts w:ascii="Palatino Linotype" w:eastAsia="Times New Roman" w:hAnsi="Palatino Linotype" w:cs="Times New Roman"/>
          <w:bCs/>
          <w:color w:val="000000"/>
        </w:rPr>
        <w:lastRenderedPageBreak/>
        <w:t>I chose to optimize the parameters by using all %B values less than 20%</w:t>
      </w:r>
      <w:r w:rsidR="006D5A91">
        <w:rPr>
          <w:rFonts w:ascii="Palatino Linotype" w:eastAsia="Times New Roman" w:hAnsi="Palatino Linotype" w:cs="Times New Roman"/>
          <w:bCs/>
          <w:color w:val="000000"/>
        </w:rPr>
        <w:t xml:space="preserve"> to indicate a buy signal, and value</w:t>
      </w:r>
      <w:r w:rsidR="000D6773">
        <w:rPr>
          <w:rFonts w:ascii="Palatino Linotype" w:eastAsia="Times New Roman" w:hAnsi="Palatino Linotype" w:cs="Times New Roman"/>
          <w:bCs/>
          <w:color w:val="000000"/>
        </w:rPr>
        <w:t>s</w:t>
      </w:r>
      <w:r w:rsidR="006D5A91">
        <w:rPr>
          <w:rFonts w:ascii="Palatino Linotype" w:eastAsia="Times New Roman" w:hAnsi="Palatino Linotype" w:cs="Times New Roman"/>
          <w:bCs/>
          <w:color w:val="000000"/>
        </w:rPr>
        <w:t xml:space="preserve"> over 80% to indicate a sell signal. These were also coupled with a 20 day lookback period to provide optimal results for both the manual strategy and strategy learner.</w:t>
      </w:r>
    </w:p>
    <w:p w14:paraId="58B3AF6D" w14:textId="256FFFBA" w:rsidR="008342EF" w:rsidRDefault="008342EF" w:rsidP="00E06A2D">
      <w:pPr>
        <w:jc w:val="both"/>
        <w:rPr>
          <w:rFonts w:ascii="Palatino Linotype" w:eastAsia="Times New Roman" w:hAnsi="Palatino Linotype" w:cs="Times New Roman"/>
          <w:b/>
          <w:color w:val="000000"/>
        </w:rPr>
      </w:pPr>
      <w:r w:rsidRPr="008342EF">
        <w:rPr>
          <w:rFonts w:ascii="Palatino Linotype" w:eastAsia="Times New Roman" w:hAnsi="Palatino Linotype" w:cs="Times New Roman"/>
          <w:b/>
          <w:color w:val="000000"/>
        </w:rPr>
        <w:t>2.</w:t>
      </w:r>
      <w:r>
        <w:rPr>
          <w:rFonts w:ascii="Palatino Linotype" w:eastAsia="Times New Roman" w:hAnsi="Palatino Linotype" w:cs="Times New Roman"/>
          <w:b/>
          <w:color w:val="000000"/>
        </w:rPr>
        <w:t>2</w:t>
      </w:r>
      <w:r w:rsidRPr="008342EF">
        <w:rPr>
          <w:rFonts w:ascii="Palatino Linotype" w:eastAsia="Times New Roman" w:hAnsi="Palatino Linotype" w:cs="Times New Roman"/>
          <w:b/>
          <w:color w:val="000000"/>
        </w:rPr>
        <w:t xml:space="preserve"> Percentage Price Oscillator (PPO)</w:t>
      </w:r>
    </w:p>
    <w:p w14:paraId="79DE670F" w14:textId="55AC38A4" w:rsidR="00291584" w:rsidRPr="00291584" w:rsidRDefault="00291584" w:rsidP="00AA6B5D">
      <w:pPr>
        <w:rPr>
          <w:rFonts w:ascii="Palatino Linotype" w:eastAsia="Times New Roman" w:hAnsi="Palatino Linotype" w:cs="Times New Roman"/>
          <w:color w:val="000000"/>
        </w:rPr>
      </w:pPr>
      <w:r w:rsidRPr="00291584">
        <w:rPr>
          <w:rFonts w:ascii="Palatino Linotype" w:eastAsia="Times New Roman" w:hAnsi="Palatino Linotype" w:cs="Times New Roman"/>
          <w:color w:val="000000"/>
        </w:rPr>
        <w:t xml:space="preserve">The Percentage Price Oscillator (PPO) is a technical indicator used to measure and represent the difference between two EMAs as a percentage. In order to calculate PPO, we take the difference between the long-term 26-day and short-term 12-day EMAs and divide it by the 26-day EMA, then multiply that result by 100. The formula: </w:t>
      </w:r>
      <w:r w:rsidRPr="00291584">
        <w:rPr>
          <w:rFonts w:ascii="Palatino Linotype" w:eastAsia="Times New Roman" w:hAnsi="Palatino Linotype" w:cs="Times New Roman"/>
          <w:b/>
          <w:color w:val="000000"/>
        </w:rPr>
        <w:t>PPO = ((12-day EMA - 26-day EMA) / 26-day EMA) x 100</w:t>
      </w:r>
      <w:r w:rsidRPr="00291584">
        <w:rPr>
          <w:rFonts w:ascii="Palatino Linotype" w:eastAsia="Times New Roman" w:hAnsi="Palatino Linotype" w:cs="Times New Roman"/>
          <w:color w:val="000000"/>
        </w:rPr>
        <w:t xml:space="preserve">. The 9-day EMA of the PPO is used to calculate the signal line and finally, the difference between the PPO and the signal </w:t>
      </w:r>
      <w:r>
        <w:rPr>
          <w:rFonts w:ascii="Palatino Linotype" w:eastAsia="Times New Roman" w:hAnsi="Palatino Linotype" w:cs="Times New Roman"/>
          <w:color w:val="000000"/>
        </w:rPr>
        <w:t>line is plotted as a histogram:</w:t>
      </w:r>
      <w:r w:rsidRPr="00291584">
        <w:rPr>
          <w:rFonts w:ascii="Palatino Linotype" w:eastAsia="Times New Roman" w:hAnsi="Palatino Linotype" w:cs="Times New Roman"/>
          <w:color w:val="000000"/>
        </w:rPr>
        <w:t xml:space="preserve"> </w:t>
      </w:r>
      <w:r w:rsidRPr="00291584">
        <w:rPr>
          <w:rFonts w:ascii="Palatino Linotype" w:eastAsia="Times New Roman" w:hAnsi="Palatino Linotype" w:cs="Times New Roman"/>
          <w:b/>
          <w:color w:val="000000"/>
        </w:rPr>
        <w:t>PPO Histogram: PPO – Signal Line.</w:t>
      </w:r>
    </w:p>
    <w:p w14:paraId="5CE54ACB" w14:textId="029199D5" w:rsidR="000D6773" w:rsidRPr="00291584" w:rsidRDefault="00AA6B5D" w:rsidP="00423368">
      <w:pPr>
        <w:rPr>
          <w:rFonts w:ascii="Palatino Linotype" w:eastAsia="Times New Roman" w:hAnsi="Palatino Linotype" w:cs="Times New Roman"/>
          <w:color w:val="000000"/>
        </w:rPr>
      </w:pPr>
      <w:r>
        <w:rPr>
          <w:rFonts w:ascii="Palatino Linotype" w:eastAsia="Times New Roman" w:hAnsi="Palatino Linotype" w:cs="Times New Roman"/>
          <w:color w:val="000000"/>
        </w:rPr>
        <w:t xml:space="preserve">For the manual strategy and strategy learner, </w:t>
      </w:r>
      <w:r w:rsidR="000D6773">
        <w:rPr>
          <w:rFonts w:ascii="Palatino Linotype" w:eastAsia="Times New Roman" w:hAnsi="Palatino Linotype" w:cs="Times New Roman"/>
          <w:color w:val="000000"/>
        </w:rPr>
        <w:t>I chose to optimize the parameters by using all PPO histogram values less than -5% to indicate an oversold buy signal, and values over 105%</w:t>
      </w:r>
      <w:r>
        <w:rPr>
          <w:rFonts w:ascii="Palatino Linotype" w:eastAsia="Times New Roman" w:hAnsi="Palatino Linotype" w:cs="Times New Roman"/>
          <w:color w:val="000000"/>
        </w:rPr>
        <w:t xml:space="preserve"> indicating overbought sell signal. These parameters provided optimal PPO histogram results for a 12-day and 26-day short/long term EMA with a 9-day signal line.</w:t>
      </w:r>
    </w:p>
    <w:p w14:paraId="7EE30AC7" w14:textId="54790893" w:rsidR="008342EF" w:rsidRDefault="008342EF" w:rsidP="00E06A2D">
      <w:pPr>
        <w:jc w:val="both"/>
        <w:rPr>
          <w:rFonts w:ascii="Palatino Linotype" w:eastAsia="Times New Roman" w:hAnsi="Palatino Linotype" w:cs="Times New Roman"/>
          <w:b/>
          <w:color w:val="000000"/>
        </w:rPr>
      </w:pPr>
      <w:r w:rsidRPr="008342EF">
        <w:rPr>
          <w:rFonts w:ascii="Palatino Linotype" w:eastAsia="Times New Roman" w:hAnsi="Palatino Linotype" w:cs="Times New Roman"/>
          <w:b/>
          <w:color w:val="000000"/>
        </w:rPr>
        <w:t>2.</w:t>
      </w:r>
      <w:r>
        <w:rPr>
          <w:rFonts w:ascii="Palatino Linotype" w:eastAsia="Times New Roman" w:hAnsi="Palatino Linotype" w:cs="Times New Roman"/>
          <w:b/>
          <w:color w:val="000000"/>
        </w:rPr>
        <w:t>3</w:t>
      </w:r>
      <w:r w:rsidRPr="008342EF">
        <w:rPr>
          <w:rFonts w:ascii="Palatino Linotype" w:eastAsia="Times New Roman" w:hAnsi="Palatino Linotype" w:cs="Times New Roman"/>
          <w:b/>
          <w:color w:val="000000"/>
        </w:rPr>
        <w:t xml:space="preserve"> Moving Average Convergence/Divergence Oscillator (M</w:t>
      </w:r>
      <w:r w:rsidR="00BE718B">
        <w:rPr>
          <w:rFonts w:ascii="Palatino Linotype" w:eastAsia="Times New Roman" w:hAnsi="Palatino Linotype" w:cs="Times New Roman"/>
          <w:b/>
          <w:color w:val="000000"/>
        </w:rPr>
        <w:t>ACD</w:t>
      </w:r>
      <w:r w:rsidRPr="008342EF">
        <w:rPr>
          <w:rFonts w:ascii="Palatino Linotype" w:eastAsia="Times New Roman" w:hAnsi="Palatino Linotype" w:cs="Times New Roman"/>
          <w:b/>
          <w:color w:val="000000"/>
        </w:rPr>
        <w:t>)</w:t>
      </w:r>
    </w:p>
    <w:p w14:paraId="29513D29" w14:textId="77777777" w:rsidR="00BE718B" w:rsidRPr="00BE718B" w:rsidRDefault="00BE718B" w:rsidP="00BE718B">
      <w:pPr>
        <w:rPr>
          <w:rFonts w:ascii="Palatino Linotype" w:eastAsia="Times New Roman" w:hAnsi="Palatino Linotype" w:cs="Times New Roman"/>
          <w:color w:val="000000"/>
        </w:rPr>
      </w:pPr>
      <w:r w:rsidRPr="00BE718B">
        <w:rPr>
          <w:rFonts w:ascii="Palatino Linotype" w:eastAsia="Times New Roman" w:hAnsi="Palatino Linotype" w:cs="Times New Roman"/>
          <w:color w:val="000000"/>
        </w:rPr>
        <w:t>The Moving Average Convergence/Divergence (MACD) is a technical indicator that helps traders follow trends and momentum shifts, triggering potential buy or sell signals. MACD is made up of three line indicators: MACD line, signal line, and MACD histogram.</w:t>
      </w:r>
    </w:p>
    <w:p w14:paraId="2CA410CF" w14:textId="77777777" w:rsidR="00BE718B" w:rsidRPr="00BE718B" w:rsidRDefault="00BE718B" w:rsidP="00BE718B">
      <w:pPr>
        <w:rPr>
          <w:rFonts w:ascii="Palatino Linotype" w:eastAsia="Times New Roman" w:hAnsi="Palatino Linotype" w:cs="Times New Roman"/>
          <w:color w:val="000000"/>
        </w:rPr>
      </w:pPr>
      <w:r w:rsidRPr="00BE718B">
        <w:rPr>
          <w:rFonts w:ascii="Palatino Linotype" w:eastAsia="Times New Roman" w:hAnsi="Palatino Linotype" w:cs="Times New Roman"/>
          <w:color w:val="000000"/>
        </w:rPr>
        <w:t xml:space="preserve">Similar to PPO, MACD utilizes 12-day and 26-day EMAs to calculate the MACD line, by subtracting the 26-day EMA from the 12-day EMA: </w:t>
      </w:r>
      <w:r w:rsidRPr="00BE718B">
        <w:rPr>
          <w:rFonts w:ascii="Palatino Linotype" w:eastAsia="Times New Roman" w:hAnsi="Palatino Linotype" w:cs="Times New Roman"/>
          <w:b/>
          <w:color w:val="000000"/>
        </w:rPr>
        <w:t>MACD Line:  12-day EMA – 26-day EMA</w:t>
      </w:r>
      <w:r w:rsidRPr="00BE718B">
        <w:rPr>
          <w:rFonts w:ascii="Palatino Linotype" w:eastAsia="Times New Roman" w:hAnsi="Palatino Linotype" w:cs="Times New Roman"/>
          <w:color w:val="000000"/>
        </w:rPr>
        <w:t xml:space="preserve">. The 9-day EMA of the MACD line is used to calculate the signal line and finally, the difference between the MACD line and the signal line is plotted as a histogram: </w:t>
      </w:r>
      <w:r w:rsidRPr="00BE718B">
        <w:rPr>
          <w:rFonts w:ascii="Palatino Linotype" w:eastAsia="Times New Roman" w:hAnsi="Palatino Linotype" w:cs="Times New Roman"/>
          <w:b/>
          <w:color w:val="000000"/>
        </w:rPr>
        <w:t>MACD Histogram: MACD Line – Signal Line</w:t>
      </w:r>
      <w:r w:rsidRPr="00BE718B">
        <w:rPr>
          <w:rFonts w:ascii="Palatino Linotype" w:eastAsia="Times New Roman" w:hAnsi="Palatino Linotype" w:cs="Times New Roman"/>
          <w:color w:val="000000"/>
        </w:rPr>
        <w:t>.</w:t>
      </w:r>
    </w:p>
    <w:p w14:paraId="6904CB94" w14:textId="05F367B3" w:rsidR="00BE718B" w:rsidRPr="00B87AF6" w:rsidRDefault="00BE718B" w:rsidP="00B87AF6">
      <w:pPr>
        <w:rPr>
          <w:rFonts w:ascii="Palatino Linotype" w:eastAsia="Times New Roman" w:hAnsi="Palatino Linotype" w:cs="Times New Roman"/>
          <w:color w:val="000000"/>
        </w:rPr>
      </w:pPr>
      <w:r>
        <w:rPr>
          <w:rFonts w:ascii="Palatino Linotype" w:eastAsia="Times New Roman" w:hAnsi="Palatino Linotype" w:cs="Times New Roman"/>
          <w:color w:val="000000"/>
        </w:rPr>
        <w:t>T</w:t>
      </w:r>
      <w:r w:rsidRPr="00BE718B">
        <w:rPr>
          <w:rFonts w:ascii="Palatino Linotype" w:eastAsia="Times New Roman" w:hAnsi="Palatino Linotype" w:cs="Times New Roman"/>
          <w:color w:val="000000"/>
        </w:rPr>
        <w:t>o optimize the use of th</w:t>
      </w:r>
      <w:r>
        <w:rPr>
          <w:rFonts w:ascii="Palatino Linotype" w:eastAsia="Times New Roman" w:hAnsi="Palatino Linotype" w:cs="Times New Roman"/>
          <w:color w:val="000000"/>
        </w:rPr>
        <w:t>e MACD histogram in the manual strategy and strategy l</w:t>
      </w:r>
      <w:r w:rsidRPr="00BE718B">
        <w:rPr>
          <w:rFonts w:ascii="Palatino Linotype" w:eastAsia="Times New Roman" w:hAnsi="Palatino Linotype" w:cs="Times New Roman"/>
          <w:color w:val="000000"/>
        </w:rPr>
        <w:t xml:space="preserve">earner, the </w:t>
      </w:r>
      <w:r w:rsidR="00B83E36">
        <w:rPr>
          <w:rFonts w:ascii="Palatino Linotype" w:eastAsia="Times New Roman" w:hAnsi="Palatino Linotype" w:cs="Times New Roman"/>
          <w:color w:val="000000"/>
        </w:rPr>
        <w:t>parameters I chose</w:t>
      </w:r>
      <w:r w:rsidRPr="00BE718B">
        <w:rPr>
          <w:rFonts w:ascii="Palatino Linotype" w:eastAsia="Times New Roman" w:hAnsi="Palatino Linotype" w:cs="Times New Roman"/>
          <w:color w:val="000000"/>
        </w:rPr>
        <w:t xml:space="preserve"> </w:t>
      </w:r>
      <w:r w:rsidR="00B83E36">
        <w:rPr>
          <w:rFonts w:ascii="Palatino Linotype" w:eastAsia="Times New Roman" w:hAnsi="Palatino Linotype" w:cs="Times New Roman"/>
          <w:color w:val="000000"/>
        </w:rPr>
        <w:t>implement were the comparison of</w:t>
      </w:r>
      <w:r w:rsidRPr="00BE718B">
        <w:rPr>
          <w:rFonts w:ascii="Palatino Linotype" w:eastAsia="Times New Roman" w:hAnsi="Palatino Linotype" w:cs="Times New Roman"/>
          <w:color w:val="000000"/>
        </w:rPr>
        <w:t xml:space="preserve"> current </w:t>
      </w:r>
      <w:r w:rsidR="00B83E36">
        <w:rPr>
          <w:rFonts w:ascii="Palatino Linotype" w:eastAsia="Times New Roman" w:hAnsi="Palatino Linotype" w:cs="Times New Roman"/>
          <w:color w:val="000000"/>
        </w:rPr>
        <w:t xml:space="preserve">day’s </w:t>
      </w:r>
      <w:r w:rsidRPr="00BE718B">
        <w:rPr>
          <w:rFonts w:ascii="Palatino Linotype" w:eastAsia="Times New Roman" w:hAnsi="Palatino Linotype" w:cs="Times New Roman"/>
          <w:color w:val="000000"/>
        </w:rPr>
        <w:t xml:space="preserve">MACD histogram result with </w:t>
      </w:r>
      <w:r w:rsidR="00B83E36">
        <w:rPr>
          <w:rFonts w:ascii="Palatino Linotype" w:eastAsia="Times New Roman" w:hAnsi="Palatino Linotype" w:cs="Times New Roman"/>
          <w:color w:val="000000"/>
        </w:rPr>
        <w:t>its respective</w:t>
      </w:r>
      <w:r w:rsidRPr="00BE718B">
        <w:rPr>
          <w:rFonts w:ascii="Palatino Linotype" w:eastAsia="Times New Roman" w:hAnsi="Palatino Linotype" w:cs="Times New Roman"/>
          <w:color w:val="000000"/>
        </w:rPr>
        <w:t xml:space="preserve"> previous day's result</w:t>
      </w:r>
      <w:r w:rsidR="00B83E36">
        <w:rPr>
          <w:rFonts w:ascii="Palatino Linotype" w:eastAsia="Times New Roman" w:hAnsi="Palatino Linotype" w:cs="Times New Roman"/>
          <w:color w:val="000000"/>
        </w:rPr>
        <w:t>. If the current day’s result was greater than the previous day’s result it’d indica</w:t>
      </w:r>
      <w:r w:rsidR="00DA5CF1">
        <w:rPr>
          <w:rFonts w:ascii="Palatino Linotype" w:eastAsia="Times New Roman" w:hAnsi="Palatino Linotype" w:cs="Times New Roman"/>
          <w:color w:val="000000"/>
        </w:rPr>
        <w:t>te a buy signal, whereas if it was</w:t>
      </w:r>
      <w:r w:rsidR="00B83E36">
        <w:rPr>
          <w:rFonts w:ascii="Palatino Linotype" w:eastAsia="Times New Roman" w:hAnsi="Palatino Linotype" w:cs="Times New Roman"/>
          <w:color w:val="000000"/>
        </w:rPr>
        <w:t xml:space="preserve"> less</w:t>
      </w:r>
      <w:r w:rsidR="00DA5CF1">
        <w:rPr>
          <w:rFonts w:ascii="Palatino Linotype" w:eastAsia="Times New Roman" w:hAnsi="Palatino Linotype" w:cs="Times New Roman"/>
          <w:color w:val="000000"/>
        </w:rPr>
        <w:t xml:space="preserve"> than the previous day’s result</w:t>
      </w:r>
      <w:r w:rsidR="00B83E36">
        <w:rPr>
          <w:rFonts w:ascii="Palatino Linotype" w:eastAsia="Times New Roman" w:hAnsi="Palatino Linotype" w:cs="Times New Roman"/>
          <w:color w:val="000000"/>
        </w:rPr>
        <w:t xml:space="preserve">, a sell signal is indicated. These parameters, joined with the same EMA and signal-line days as the PPO histogram provide the most optimal MACD histogram </w:t>
      </w:r>
      <w:r w:rsidR="00A449C3">
        <w:rPr>
          <w:rFonts w:ascii="Palatino Linotype" w:eastAsia="Times New Roman" w:hAnsi="Palatino Linotype" w:cs="Times New Roman"/>
          <w:color w:val="000000"/>
        </w:rPr>
        <w:t xml:space="preserve">and trade signal </w:t>
      </w:r>
      <w:r w:rsidR="00B83E36">
        <w:rPr>
          <w:rFonts w:ascii="Palatino Linotype" w:eastAsia="Times New Roman" w:hAnsi="Palatino Linotype" w:cs="Times New Roman"/>
          <w:color w:val="000000"/>
        </w:rPr>
        <w:t>results.</w:t>
      </w:r>
    </w:p>
    <w:p w14:paraId="7C6C4DC2" w14:textId="42DC3FE8" w:rsidR="000D0029" w:rsidRDefault="00E03363" w:rsidP="00E03363">
      <w:pPr>
        <w:rPr>
          <w:rFonts w:ascii="Palatino Linotype" w:eastAsia="Times New Roman" w:hAnsi="Palatino Linotype" w:cs="Times New Roman"/>
          <w:b/>
          <w:color w:val="000000"/>
        </w:rPr>
      </w:pPr>
      <w:r>
        <w:rPr>
          <w:rFonts w:ascii="Palatino Linotype" w:eastAsia="Times New Roman" w:hAnsi="Palatino Linotype" w:cs="Times New Roman"/>
          <w:b/>
          <w:color w:val="000000"/>
        </w:rPr>
        <w:t>3</w:t>
      </w:r>
      <w:r w:rsidR="00073DA9">
        <w:rPr>
          <w:rFonts w:ascii="Palatino Linotype" w:eastAsia="Times New Roman" w:hAnsi="Palatino Linotype" w:cs="Times New Roman"/>
          <w:b/>
          <w:color w:val="000000"/>
        </w:rPr>
        <w:t xml:space="preserve"> </w:t>
      </w:r>
      <w:r w:rsidR="005D41FF">
        <w:rPr>
          <w:rFonts w:ascii="Palatino Linotype" w:eastAsia="Times New Roman" w:hAnsi="Palatino Linotype" w:cs="Times New Roman"/>
          <w:b/>
          <w:color w:val="000000"/>
        </w:rPr>
        <w:t>MANUAL STRATEGY</w:t>
      </w:r>
    </w:p>
    <w:p w14:paraId="2E4553FA" w14:textId="72F3E7AA" w:rsidR="005D41FF" w:rsidRDefault="005D41FF" w:rsidP="005D41FF">
      <w:pPr>
        <w:rPr>
          <w:rFonts w:ascii="Palatino Linotype" w:eastAsia="Times New Roman" w:hAnsi="Palatino Linotype" w:cs="Times New Roman"/>
          <w:b/>
          <w:color w:val="000000"/>
        </w:rPr>
      </w:pPr>
      <w:r>
        <w:rPr>
          <w:rFonts w:ascii="Palatino Linotype" w:eastAsia="Times New Roman" w:hAnsi="Palatino Linotype" w:cs="Times New Roman"/>
          <w:b/>
          <w:color w:val="000000"/>
        </w:rPr>
        <w:t>3</w:t>
      </w:r>
      <w:r w:rsidRPr="008E5AE5">
        <w:rPr>
          <w:rFonts w:ascii="Palatino Linotype" w:eastAsia="Times New Roman" w:hAnsi="Palatino Linotype" w:cs="Times New Roman"/>
          <w:b/>
          <w:color w:val="000000"/>
        </w:rPr>
        <w:t>.</w:t>
      </w:r>
      <w:r>
        <w:rPr>
          <w:rFonts w:ascii="Palatino Linotype" w:eastAsia="Times New Roman" w:hAnsi="Palatino Linotype" w:cs="Times New Roman"/>
          <w:b/>
          <w:color w:val="000000"/>
        </w:rPr>
        <w:t>1</w:t>
      </w:r>
      <w:r w:rsidRPr="008E5AE5">
        <w:rPr>
          <w:rFonts w:ascii="Palatino Linotype" w:eastAsia="Times New Roman" w:hAnsi="Palatino Linotype" w:cs="Times New Roman"/>
          <w:b/>
          <w:color w:val="000000"/>
        </w:rPr>
        <w:t xml:space="preserve"> </w:t>
      </w:r>
      <w:r>
        <w:rPr>
          <w:rFonts w:ascii="Palatino Linotype" w:eastAsia="Times New Roman" w:hAnsi="Palatino Linotype" w:cs="Times New Roman"/>
          <w:b/>
          <w:color w:val="000000"/>
        </w:rPr>
        <w:t>Describe</w:t>
      </w:r>
    </w:p>
    <w:p w14:paraId="120B5574" w14:textId="01427F9C" w:rsidR="000A3E11" w:rsidRDefault="000A3E11" w:rsidP="005D41FF">
      <w:pPr>
        <w:rPr>
          <w:rFonts w:ascii="Palatino Linotype" w:eastAsia="Times New Roman" w:hAnsi="Palatino Linotype" w:cs="Times New Roman"/>
          <w:color w:val="000000"/>
        </w:rPr>
      </w:pPr>
      <w:r w:rsidRPr="000A3E11">
        <w:rPr>
          <w:rFonts w:ascii="Palatino Linotype" w:eastAsia="Times New Roman" w:hAnsi="Palatino Linotype" w:cs="Times New Roman"/>
          <w:color w:val="000000"/>
        </w:rPr>
        <w:t>In order to create an overall signal for trading, I used a strategy that involved implementing the optimal parameters for each of the three indicators that I</w:t>
      </w:r>
      <w:r>
        <w:rPr>
          <w:rFonts w:ascii="Palatino Linotype" w:eastAsia="Times New Roman" w:hAnsi="Palatino Linotype" w:cs="Times New Roman"/>
          <w:color w:val="000000"/>
        </w:rPr>
        <w:t xml:space="preserve"> explained earlier</w:t>
      </w:r>
      <w:r w:rsidRPr="000A3E11">
        <w:rPr>
          <w:rFonts w:ascii="Palatino Linotype" w:eastAsia="Times New Roman" w:hAnsi="Palatino Linotype" w:cs="Times New Roman"/>
          <w:color w:val="000000"/>
        </w:rPr>
        <w:t xml:space="preserve">. The three indicators </w:t>
      </w:r>
      <w:r w:rsidRPr="000A3E11">
        <w:rPr>
          <w:rFonts w:ascii="Palatino Linotype" w:eastAsia="Times New Roman" w:hAnsi="Palatino Linotype" w:cs="Times New Roman"/>
          <w:color w:val="000000"/>
        </w:rPr>
        <w:lastRenderedPageBreak/>
        <w:t>were then combined to create a buy or sell signal for each trading day. The buy signal was represented by a value of 1, the sell signal was -1, and 0 represented no signal.</w:t>
      </w:r>
    </w:p>
    <w:p w14:paraId="316BA546" w14:textId="77777777" w:rsidR="000A3E11" w:rsidRDefault="000A3E11" w:rsidP="005D41FF">
      <w:pPr>
        <w:rPr>
          <w:rFonts w:ascii="Palatino Linotype" w:eastAsia="Times New Roman" w:hAnsi="Palatino Linotype" w:cs="Times New Roman"/>
          <w:color w:val="000000"/>
        </w:rPr>
      </w:pPr>
      <w:r w:rsidRPr="000A3E11">
        <w:rPr>
          <w:rFonts w:ascii="Palatino Linotype" w:eastAsia="Times New Roman" w:hAnsi="Palatino Linotype" w:cs="Times New Roman"/>
          <w:color w:val="000000"/>
        </w:rPr>
        <w:t xml:space="preserve">To determine an overall buy/sell signal for each trading day, I added the three </w:t>
      </w:r>
      <w:r>
        <w:rPr>
          <w:rFonts w:ascii="Palatino Linotype" w:eastAsia="Times New Roman" w:hAnsi="Palatino Linotype" w:cs="Times New Roman"/>
          <w:color w:val="000000"/>
        </w:rPr>
        <w:t xml:space="preserve">indicator </w:t>
      </w:r>
      <w:r w:rsidRPr="000A3E11">
        <w:rPr>
          <w:rFonts w:ascii="Palatino Linotype" w:eastAsia="Times New Roman" w:hAnsi="Palatino Linotype" w:cs="Times New Roman"/>
          <w:color w:val="000000"/>
        </w:rPr>
        <w:t xml:space="preserve">data frames together and calculated the </w:t>
      </w:r>
      <w:r>
        <w:rPr>
          <w:rFonts w:ascii="Palatino Linotype" w:eastAsia="Times New Roman" w:hAnsi="Palatino Linotype" w:cs="Times New Roman"/>
          <w:color w:val="000000"/>
        </w:rPr>
        <w:t xml:space="preserve">signal </w:t>
      </w:r>
      <w:r w:rsidRPr="000A3E11">
        <w:rPr>
          <w:rFonts w:ascii="Palatino Linotype" w:eastAsia="Times New Roman" w:hAnsi="Palatino Linotype" w:cs="Times New Roman"/>
          <w:color w:val="000000"/>
        </w:rPr>
        <w:t>sum of each trading day. If the sum was 2 or more, a buy signal was triggered, and if the sum was -2 or less, a sell signal was triggered.</w:t>
      </w:r>
      <w:r>
        <w:rPr>
          <w:rFonts w:ascii="Palatino Linotype" w:eastAsia="Times New Roman" w:hAnsi="Palatino Linotype" w:cs="Times New Roman"/>
          <w:color w:val="000000"/>
        </w:rPr>
        <w:t xml:space="preserve"> These bounds gave me the best overall trading table I could use to find the short/long entry points.</w:t>
      </w:r>
    </w:p>
    <w:p w14:paraId="6F263F03" w14:textId="6D2A2E81" w:rsidR="000A3E11" w:rsidRDefault="000A3E11" w:rsidP="005D41FF">
      <w:pPr>
        <w:rPr>
          <w:rFonts w:ascii="Palatino Linotype" w:eastAsia="Times New Roman" w:hAnsi="Palatino Linotype" w:cs="Times New Roman"/>
          <w:color w:val="000000"/>
        </w:rPr>
      </w:pPr>
      <w:r w:rsidRPr="000A3E11">
        <w:rPr>
          <w:rFonts w:ascii="Palatino Linotype" w:eastAsia="Times New Roman" w:hAnsi="Palatino Linotype" w:cs="Times New Roman"/>
          <w:color w:val="000000"/>
        </w:rPr>
        <w:t xml:space="preserve">Once I had the trade table, I was able to use it to determine which dates had buy/sell signals. I then put these </w:t>
      </w:r>
      <w:r>
        <w:rPr>
          <w:rFonts w:ascii="Palatino Linotype" w:eastAsia="Times New Roman" w:hAnsi="Palatino Linotype" w:cs="Times New Roman"/>
          <w:color w:val="000000"/>
        </w:rPr>
        <w:t>results</w:t>
      </w:r>
      <w:r w:rsidRPr="000A3E11">
        <w:rPr>
          <w:rFonts w:ascii="Palatino Linotype" w:eastAsia="Times New Roman" w:hAnsi="Palatino Linotype" w:cs="Times New Roman"/>
          <w:color w:val="000000"/>
        </w:rPr>
        <w:t xml:space="preserve"> into a trading algorithm to identify the "short", "out", or "long" (-1</w:t>
      </w:r>
      <w:r w:rsidR="001243A6">
        <w:rPr>
          <w:rFonts w:ascii="Palatino Linotype" w:eastAsia="Times New Roman" w:hAnsi="Palatino Linotype" w:cs="Times New Roman"/>
          <w:color w:val="000000"/>
        </w:rPr>
        <w:t>,0,1 respectively) trading days</w:t>
      </w:r>
      <w:r w:rsidRPr="000A3E11">
        <w:rPr>
          <w:rFonts w:ascii="Palatino Linotype" w:eastAsia="Times New Roman" w:hAnsi="Palatino Linotype" w:cs="Times New Roman"/>
          <w:color w:val="000000"/>
        </w:rPr>
        <w:t>.</w:t>
      </w:r>
      <w:r>
        <w:rPr>
          <w:rFonts w:ascii="Palatino Linotype" w:eastAsia="Times New Roman" w:hAnsi="Palatino Linotype" w:cs="Times New Roman"/>
          <w:color w:val="000000"/>
        </w:rPr>
        <w:t xml:space="preserve"> </w:t>
      </w:r>
      <w:r w:rsidRPr="000A3E11">
        <w:rPr>
          <w:rFonts w:ascii="Palatino Linotype" w:eastAsia="Times New Roman" w:hAnsi="Palatino Linotype" w:cs="Times New Roman"/>
          <w:color w:val="000000"/>
        </w:rPr>
        <w:t xml:space="preserve">I used the same algorithm that I built for the Theoretically Optimal Strategy in project 6 as a base. </w:t>
      </w:r>
      <w:r w:rsidR="001243A6" w:rsidRPr="000A3E11">
        <w:rPr>
          <w:rFonts w:ascii="Palatino Linotype" w:eastAsia="Times New Roman" w:hAnsi="Palatino Linotype" w:cs="Times New Roman"/>
          <w:color w:val="000000"/>
        </w:rPr>
        <w:t xml:space="preserve">Using this algorithm, </w:t>
      </w:r>
      <w:r w:rsidRPr="000A3E11">
        <w:rPr>
          <w:rFonts w:ascii="Palatino Linotype" w:eastAsia="Times New Roman" w:hAnsi="Palatino Linotype" w:cs="Times New Roman"/>
          <w:color w:val="000000"/>
        </w:rPr>
        <w:t xml:space="preserve">helped me to optimally find the best trading days to trigger a </w:t>
      </w:r>
      <w:r>
        <w:rPr>
          <w:rFonts w:ascii="Palatino Linotype" w:eastAsia="Times New Roman" w:hAnsi="Palatino Linotype" w:cs="Times New Roman"/>
          <w:color w:val="000000"/>
        </w:rPr>
        <w:t>short</w:t>
      </w:r>
      <w:r w:rsidRPr="000A3E11">
        <w:rPr>
          <w:rFonts w:ascii="Palatino Linotype" w:eastAsia="Times New Roman" w:hAnsi="Palatino Linotype" w:cs="Times New Roman"/>
          <w:color w:val="000000"/>
        </w:rPr>
        <w:t>/</w:t>
      </w:r>
      <w:r>
        <w:rPr>
          <w:rFonts w:ascii="Palatino Linotype" w:eastAsia="Times New Roman" w:hAnsi="Palatino Linotype" w:cs="Times New Roman"/>
          <w:color w:val="000000"/>
        </w:rPr>
        <w:t>long</w:t>
      </w:r>
      <w:r w:rsidRPr="000A3E11">
        <w:rPr>
          <w:rFonts w:ascii="Palatino Linotype" w:eastAsia="Times New Roman" w:hAnsi="Palatino Linotype" w:cs="Times New Roman"/>
          <w:color w:val="000000"/>
        </w:rPr>
        <w:t xml:space="preserve"> entry point. I was able to </w:t>
      </w:r>
      <w:r>
        <w:rPr>
          <w:rFonts w:ascii="Palatino Linotype" w:eastAsia="Times New Roman" w:hAnsi="Palatino Linotype" w:cs="Times New Roman"/>
          <w:color w:val="000000"/>
        </w:rPr>
        <w:t>identify the best</w:t>
      </w:r>
      <w:r w:rsidRPr="000A3E11">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entry points</w:t>
      </w:r>
      <w:r w:rsidRPr="000A3E11">
        <w:rPr>
          <w:rFonts w:ascii="Palatino Linotype" w:eastAsia="Times New Roman" w:hAnsi="Palatino Linotype" w:cs="Times New Roman"/>
          <w:color w:val="000000"/>
        </w:rPr>
        <w:t xml:space="preserve"> at the most opportune </w:t>
      </w:r>
      <w:r>
        <w:rPr>
          <w:rFonts w:ascii="Palatino Linotype" w:eastAsia="Times New Roman" w:hAnsi="Palatino Linotype" w:cs="Times New Roman"/>
          <w:color w:val="000000"/>
        </w:rPr>
        <w:t>trading days</w:t>
      </w:r>
      <w:r w:rsidRPr="000A3E11">
        <w:rPr>
          <w:rFonts w:ascii="Palatino Linotype" w:eastAsia="Times New Roman" w:hAnsi="Palatino Linotype" w:cs="Times New Roman"/>
          <w:color w:val="000000"/>
        </w:rPr>
        <w:t>, which helped maximize profit</w:t>
      </w:r>
      <w:r>
        <w:rPr>
          <w:rFonts w:ascii="Palatino Linotype" w:eastAsia="Times New Roman" w:hAnsi="Palatino Linotype" w:cs="Times New Roman"/>
          <w:color w:val="000000"/>
        </w:rPr>
        <w:t xml:space="preserve"> for this strategy</w:t>
      </w:r>
      <w:r w:rsidRPr="000A3E11">
        <w:rPr>
          <w:rFonts w:ascii="Palatino Linotype" w:eastAsia="Times New Roman" w:hAnsi="Palatino Linotype" w:cs="Times New Roman"/>
          <w:color w:val="000000"/>
        </w:rPr>
        <w:t>.</w:t>
      </w:r>
    </w:p>
    <w:p w14:paraId="7A5327B0" w14:textId="4B9A7137" w:rsidR="000A3E11" w:rsidRPr="000A3E11" w:rsidRDefault="00953061" w:rsidP="005D41FF">
      <w:pPr>
        <w:rPr>
          <w:rFonts w:ascii="Palatino Linotype" w:eastAsia="Times New Roman" w:hAnsi="Palatino Linotype" w:cs="Times New Roman"/>
          <w:color w:val="000000"/>
        </w:rPr>
      </w:pPr>
      <w:r w:rsidRPr="00953061">
        <w:rPr>
          <w:rFonts w:ascii="Palatino Linotype" w:eastAsia="Times New Roman" w:hAnsi="Palatino Linotype" w:cs="Times New Roman"/>
          <w:color w:val="000000"/>
        </w:rPr>
        <w:t>Overall, I believe that this is an effective trading strategy because it takes into account multiple indicators and combines them to create an overall signal.</w:t>
      </w:r>
      <w:r>
        <w:rPr>
          <w:rFonts w:ascii="Palatino Linotype" w:eastAsia="Times New Roman" w:hAnsi="Palatino Linotype" w:cs="Times New Roman"/>
          <w:color w:val="000000"/>
        </w:rPr>
        <w:t xml:space="preserve"> </w:t>
      </w:r>
      <w:r w:rsidRPr="00953061">
        <w:rPr>
          <w:rFonts w:ascii="Palatino Linotype" w:eastAsia="Times New Roman" w:hAnsi="Palatino Linotype" w:cs="Times New Roman"/>
          <w:color w:val="000000"/>
        </w:rPr>
        <w:t>Additionally, by utilizing the Theoretically Optimal Strategy</w:t>
      </w:r>
      <w:r>
        <w:rPr>
          <w:rFonts w:ascii="Palatino Linotype" w:eastAsia="Times New Roman" w:hAnsi="Palatino Linotype" w:cs="Times New Roman"/>
          <w:color w:val="000000"/>
        </w:rPr>
        <w:t xml:space="preserve"> algorithm</w:t>
      </w:r>
      <w:r w:rsidRPr="00953061">
        <w:rPr>
          <w:rFonts w:ascii="Palatino Linotype" w:eastAsia="Times New Roman" w:hAnsi="Palatino Linotype" w:cs="Times New Roman"/>
          <w:color w:val="000000"/>
        </w:rPr>
        <w:t xml:space="preserve"> as a base, I was able to create a</w:t>
      </w:r>
      <w:r>
        <w:rPr>
          <w:rFonts w:ascii="Palatino Linotype" w:eastAsia="Times New Roman" w:hAnsi="Palatino Linotype" w:cs="Times New Roman"/>
          <w:color w:val="000000"/>
        </w:rPr>
        <w:t>n effective</w:t>
      </w:r>
      <w:r w:rsidRPr="00953061">
        <w:rPr>
          <w:rFonts w:ascii="Palatino Linotype" w:eastAsia="Times New Roman" w:hAnsi="Palatino Linotype" w:cs="Times New Roman"/>
          <w:color w:val="000000"/>
        </w:rPr>
        <w:t xml:space="preserve"> trading </w:t>
      </w:r>
      <w:r>
        <w:rPr>
          <w:rFonts w:ascii="Palatino Linotype" w:eastAsia="Times New Roman" w:hAnsi="Palatino Linotype" w:cs="Times New Roman"/>
          <w:color w:val="000000"/>
        </w:rPr>
        <w:t>function</w:t>
      </w:r>
      <w:r w:rsidRPr="00953061">
        <w:rPr>
          <w:rFonts w:ascii="Palatino Linotype" w:eastAsia="Times New Roman" w:hAnsi="Palatino Linotype" w:cs="Times New Roman"/>
          <w:color w:val="000000"/>
        </w:rPr>
        <w:t xml:space="preserve"> that optimally identified the best </w:t>
      </w:r>
      <w:r>
        <w:rPr>
          <w:rFonts w:ascii="Palatino Linotype" w:eastAsia="Times New Roman" w:hAnsi="Palatino Linotype" w:cs="Times New Roman"/>
          <w:color w:val="000000"/>
        </w:rPr>
        <w:t>short/long entry points</w:t>
      </w:r>
      <w:r w:rsidRPr="00953061">
        <w:rPr>
          <w:rFonts w:ascii="Palatino Linotype" w:eastAsia="Times New Roman" w:hAnsi="Palatino Linotype" w:cs="Times New Roman"/>
          <w:color w:val="000000"/>
        </w:rPr>
        <w:t xml:space="preserve">. By using </w:t>
      </w:r>
      <w:r>
        <w:rPr>
          <w:rFonts w:ascii="Palatino Linotype" w:eastAsia="Times New Roman" w:hAnsi="Palatino Linotype" w:cs="Times New Roman"/>
          <w:color w:val="000000"/>
        </w:rPr>
        <w:t>this,</w:t>
      </w:r>
      <w:r w:rsidRPr="00953061">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more</w:t>
      </w:r>
      <w:r w:rsidRPr="00953061">
        <w:rPr>
          <w:rFonts w:ascii="Palatino Linotype" w:eastAsia="Times New Roman" w:hAnsi="Palatino Linotype" w:cs="Times New Roman"/>
          <w:color w:val="000000"/>
        </w:rPr>
        <w:t xml:space="preserve"> informed trading decisions </w:t>
      </w:r>
      <w:r>
        <w:rPr>
          <w:rFonts w:ascii="Palatino Linotype" w:eastAsia="Times New Roman" w:hAnsi="Palatino Linotype" w:cs="Times New Roman"/>
          <w:color w:val="000000"/>
        </w:rPr>
        <w:t>were made.</w:t>
      </w:r>
    </w:p>
    <w:p w14:paraId="34B36ED2" w14:textId="2C55448F" w:rsidR="005D41FF" w:rsidRDefault="005D41FF" w:rsidP="005D41FF">
      <w:pPr>
        <w:rPr>
          <w:rFonts w:ascii="Palatino Linotype" w:eastAsia="Times New Roman" w:hAnsi="Palatino Linotype" w:cs="Times New Roman"/>
          <w:b/>
          <w:color w:val="000000"/>
        </w:rPr>
      </w:pPr>
      <w:r>
        <w:rPr>
          <w:rFonts w:ascii="Palatino Linotype" w:eastAsia="Times New Roman" w:hAnsi="Palatino Linotype" w:cs="Times New Roman"/>
          <w:b/>
          <w:color w:val="000000"/>
        </w:rPr>
        <w:t>3.2 Compare</w:t>
      </w:r>
    </w:p>
    <w:p w14:paraId="5E33F604" w14:textId="1A931847" w:rsidR="006E3BAF" w:rsidRDefault="006E3BAF" w:rsidP="005D41FF">
      <w:pPr>
        <w:rPr>
          <w:rFonts w:ascii="Palatino Linotype" w:eastAsia="Times New Roman" w:hAnsi="Palatino Linotype" w:cs="Times New Roman"/>
          <w:color w:val="000000"/>
        </w:rPr>
      </w:pPr>
      <w:r>
        <w:rPr>
          <w:rFonts w:ascii="Palatino Linotype" w:eastAsia="Times New Roman" w:hAnsi="Palatino Linotype" w:cs="Times New Roman"/>
          <w:color w:val="000000"/>
        </w:rPr>
        <w:t>After building the strategy the next step was to</w:t>
      </w:r>
      <w:r w:rsidRPr="006E3BAF">
        <w:rPr>
          <w:rFonts w:ascii="Palatino Linotype" w:eastAsia="Times New Roman" w:hAnsi="Palatino Linotype" w:cs="Times New Roman"/>
          <w:color w:val="000000"/>
        </w:rPr>
        <w:t xml:space="preserve"> analyze and compare the performance of </w:t>
      </w:r>
      <w:r>
        <w:rPr>
          <w:rFonts w:ascii="Palatino Linotype" w:eastAsia="Times New Roman" w:hAnsi="Palatino Linotype" w:cs="Times New Roman"/>
          <w:color w:val="000000"/>
        </w:rPr>
        <w:t>my</w:t>
      </w:r>
      <w:r w:rsidRPr="006E3BAF">
        <w:rPr>
          <w:rFonts w:ascii="Palatino Linotype" w:eastAsia="Times New Roman" w:hAnsi="Palatino Linotype" w:cs="Times New Roman"/>
          <w:color w:val="000000"/>
        </w:rPr>
        <w:t xml:space="preserve"> Manual Strategy against the benchmark for both the in-sample and out-of-sample time periods. The benchmark strategy involves making one $1</w:t>
      </w:r>
      <w:r w:rsidR="00671063">
        <w:rPr>
          <w:rFonts w:ascii="Palatino Linotype" w:eastAsia="Times New Roman" w:hAnsi="Palatino Linotype" w:cs="Times New Roman"/>
          <w:color w:val="000000"/>
        </w:rPr>
        <w:t>,</w:t>
      </w:r>
      <w:r w:rsidRPr="006E3BAF">
        <w:rPr>
          <w:rFonts w:ascii="Palatino Linotype" w:eastAsia="Times New Roman" w:hAnsi="Palatino Linotype" w:cs="Times New Roman"/>
          <w:color w:val="000000"/>
        </w:rPr>
        <w:t>000 trade on the first day and holding that position until the last trading day of the time period.</w:t>
      </w:r>
    </w:p>
    <w:p w14:paraId="2FC0455F" w14:textId="2BBF151E" w:rsidR="006E3BAF" w:rsidRDefault="006E3BAF" w:rsidP="006E3BAF">
      <w:pPr>
        <w:rPr>
          <w:rFonts w:ascii="Palatino Linotype" w:eastAsia="Times New Roman" w:hAnsi="Palatino Linotype" w:cs="Times New Roman"/>
          <w:color w:val="000000"/>
        </w:rPr>
      </w:pPr>
      <w:r w:rsidRPr="006E3BAF">
        <w:rPr>
          <w:rFonts w:ascii="Palatino Linotype" w:eastAsia="Times New Roman" w:hAnsi="Palatino Linotype" w:cs="Times New Roman"/>
          <w:color w:val="000000"/>
        </w:rPr>
        <w:t xml:space="preserve">Based on the figures below, we can observe that our Manual Strategy outperformed the benchmark for the majority </w:t>
      </w:r>
      <w:r>
        <w:rPr>
          <w:rFonts w:ascii="Palatino Linotype" w:eastAsia="Times New Roman" w:hAnsi="Palatino Linotype" w:cs="Times New Roman"/>
          <w:color w:val="000000"/>
        </w:rPr>
        <w:t>of the in-sample time period. Figure 1 shows</w:t>
      </w:r>
      <w:r w:rsidRPr="006E3BAF">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the in-sample</w:t>
      </w:r>
      <w:r w:rsidRPr="006E3BAF">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 xml:space="preserve">results </w:t>
      </w:r>
      <w:r w:rsidRPr="006E3BAF">
        <w:rPr>
          <w:rFonts w:ascii="Palatino Linotype" w:eastAsia="Times New Roman" w:hAnsi="Palatino Linotype" w:cs="Times New Roman"/>
          <w:color w:val="000000"/>
        </w:rPr>
        <w:t xml:space="preserve">consistently outperformed the benchmark </w:t>
      </w:r>
      <w:r>
        <w:rPr>
          <w:rFonts w:ascii="Palatino Linotype" w:eastAsia="Times New Roman" w:hAnsi="Palatino Linotype" w:cs="Times New Roman"/>
          <w:color w:val="000000"/>
        </w:rPr>
        <w:t xml:space="preserve">for the majority of the </w:t>
      </w:r>
      <w:r w:rsidRPr="006E3BAF">
        <w:rPr>
          <w:rFonts w:ascii="Palatino Linotype" w:eastAsia="Times New Roman" w:hAnsi="Palatino Linotype" w:cs="Times New Roman"/>
          <w:color w:val="000000"/>
        </w:rPr>
        <w:t>time period. On the other hand,</w:t>
      </w:r>
      <w:r>
        <w:rPr>
          <w:rFonts w:ascii="Palatino Linotype" w:eastAsia="Times New Roman" w:hAnsi="Palatino Linotype" w:cs="Times New Roman"/>
          <w:color w:val="000000"/>
        </w:rPr>
        <w:t xml:space="preserve"> Figure 2 shows that</w:t>
      </w:r>
      <w:r w:rsidRPr="006E3BAF">
        <w:rPr>
          <w:rFonts w:ascii="Palatino Linotype" w:eastAsia="Times New Roman" w:hAnsi="Palatino Linotype" w:cs="Times New Roman"/>
          <w:color w:val="000000"/>
        </w:rPr>
        <w:t xml:space="preserve"> the out-of-sample results performed slightly worse than the benchmark u</w:t>
      </w:r>
      <w:r>
        <w:rPr>
          <w:rFonts w:ascii="Palatino Linotype" w:eastAsia="Times New Roman" w:hAnsi="Palatino Linotype" w:cs="Times New Roman"/>
          <w:color w:val="000000"/>
        </w:rPr>
        <w:t xml:space="preserve">p until September/October 2010. </w:t>
      </w:r>
      <w:r w:rsidRPr="006E3BAF">
        <w:rPr>
          <w:rFonts w:ascii="Palatino Linotype" w:eastAsia="Times New Roman" w:hAnsi="Palatino Linotype" w:cs="Times New Roman"/>
          <w:color w:val="000000"/>
        </w:rPr>
        <w:t>Additionally, by referencing the statistics tables</w:t>
      </w:r>
      <w:r>
        <w:rPr>
          <w:rFonts w:ascii="Palatino Linotype" w:eastAsia="Times New Roman" w:hAnsi="Palatino Linotype" w:cs="Times New Roman"/>
          <w:color w:val="000000"/>
        </w:rPr>
        <w:t xml:space="preserve"> </w:t>
      </w:r>
      <w:r w:rsidRPr="006E3BAF">
        <w:rPr>
          <w:rFonts w:ascii="Palatino Linotype" w:eastAsia="Times New Roman" w:hAnsi="Palatino Linotype" w:cs="Times New Roman"/>
          <w:color w:val="000000"/>
        </w:rPr>
        <w:t xml:space="preserve">calculated for both time periods, </w:t>
      </w:r>
      <w:r>
        <w:rPr>
          <w:rFonts w:ascii="Palatino Linotype" w:eastAsia="Times New Roman" w:hAnsi="Palatino Linotype" w:cs="Times New Roman"/>
          <w:color w:val="000000"/>
        </w:rPr>
        <w:t>Table 1 and Table 2,</w:t>
      </w:r>
      <w:r w:rsidRPr="006E3BAF">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we can see that our manual s</w:t>
      </w:r>
      <w:r w:rsidRPr="006E3BAF">
        <w:rPr>
          <w:rFonts w:ascii="Palatino Linotype" w:eastAsia="Times New Roman" w:hAnsi="Palatino Linotype" w:cs="Times New Roman"/>
          <w:color w:val="000000"/>
        </w:rPr>
        <w:t xml:space="preserve">trategy had higher cumulative returns </w:t>
      </w:r>
      <w:r>
        <w:rPr>
          <w:rFonts w:ascii="Palatino Linotype" w:eastAsia="Times New Roman" w:hAnsi="Palatino Linotype" w:cs="Times New Roman"/>
          <w:color w:val="000000"/>
        </w:rPr>
        <w:t xml:space="preserve">and means, </w:t>
      </w:r>
      <w:r w:rsidRPr="006E3BAF">
        <w:rPr>
          <w:rFonts w:ascii="Palatino Linotype" w:eastAsia="Times New Roman" w:hAnsi="Palatino Linotype" w:cs="Times New Roman"/>
          <w:color w:val="000000"/>
        </w:rPr>
        <w:t>and lower standard deviation</w:t>
      </w:r>
      <w:r>
        <w:rPr>
          <w:rFonts w:ascii="Palatino Linotype" w:eastAsia="Times New Roman" w:hAnsi="Palatino Linotype" w:cs="Times New Roman"/>
          <w:color w:val="000000"/>
        </w:rPr>
        <w:t xml:space="preserve"> </w:t>
      </w:r>
      <w:r w:rsidRPr="006E3BAF">
        <w:rPr>
          <w:rFonts w:ascii="Palatino Linotype" w:eastAsia="Times New Roman" w:hAnsi="Palatino Linotype" w:cs="Times New Roman"/>
          <w:color w:val="000000"/>
        </w:rPr>
        <w:t>amounts</w:t>
      </w:r>
      <w:r>
        <w:rPr>
          <w:rFonts w:ascii="Palatino Linotype" w:eastAsia="Times New Roman" w:hAnsi="Palatino Linotype" w:cs="Times New Roman"/>
          <w:color w:val="000000"/>
        </w:rPr>
        <w:t>, meaning less volatility,</w:t>
      </w:r>
      <w:r w:rsidRPr="006E3BAF">
        <w:rPr>
          <w:rFonts w:ascii="Palatino Linotype" w:eastAsia="Times New Roman" w:hAnsi="Palatino Linotype" w:cs="Times New Roman"/>
          <w:color w:val="000000"/>
        </w:rPr>
        <w:t xml:space="preserve"> compared to the benchmark.</w:t>
      </w:r>
    </w:p>
    <w:p w14:paraId="3B574B59" w14:textId="22C24EF2" w:rsidR="004E5247" w:rsidRPr="004E5247" w:rsidRDefault="004E5247" w:rsidP="004E5247">
      <w:pPr>
        <w:ind w:left="720"/>
        <w:rPr>
          <w:rFonts w:ascii="Palatino Linotype" w:eastAsia="Times New Roman" w:hAnsi="Palatino Linotype" w:cs="Times New Roman"/>
          <w:bCs/>
          <w:color w:val="000000"/>
        </w:rPr>
      </w:pPr>
      <w:r>
        <w:rPr>
          <w:rFonts w:ascii="Palatino Linotype" w:eastAsia="Times New Roman" w:hAnsi="Palatino Linotype" w:cs="Times New Roman"/>
          <w:bCs/>
          <w:noProof/>
          <w:color w:val="000000"/>
        </w:rPr>
        <w:lastRenderedPageBreak/>
        <w:drawing>
          <wp:inline distT="0" distB="0" distL="0" distR="0" wp14:anchorId="135B4C1E" wp14:editId="0AC907C1">
            <wp:extent cx="4668252" cy="350118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ual_strategy_in_sample.png"/>
                    <pic:cNvPicPr/>
                  </pic:nvPicPr>
                  <pic:blipFill>
                    <a:blip r:embed="rId8">
                      <a:extLst>
                        <a:ext uri="{28A0092B-C50C-407E-A947-70E740481C1C}">
                          <a14:useLocalDpi xmlns:a14="http://schemas.microsoft.com/office/drawing/2010/main" val="0"/>
                        </a:ext>
                      </a:extLst>
                    </a:blip>
                    <a:stretch>
                      <a:fillRect/>
                    </a:stretch>
                  </pic:blipFill>
                  <pic:spPr>
                    <a:xfrm>
                      <a:off x="0" y="0"/>
                      <a:ext cx="4723662" cy="3542745"/>
                    </a:xfrm>
                    <a:prstGeom prst="rect">
                      <a:avLst/>
                    </a:prstGeom>
                  </pic:spPr>
                </pic:pic>
              </a:graphicData>
            </a:graphic>
          </wp:inline>
        </w:drawing>
      </w:r>
    </w:p>
    <w:p w14:paraId="74537487" w14:textId="7A172B5B" w:rsidR="004E5247" w:rsidRDefault="004E5247" w:rsidP="004E5247">
      <w:pPr>
        <w:ind w:left="720"/>
        <w:rPr>
          <w:rFonts w:ascii="Palatino Linotype" w:eastAsia="Times New Roman" w:hAnsi="Palatino Linotype" w:cs="Times New Roman"/>
          <w:i/>
          <w:color w:val="000000"/>
          <w:sz w:val="16"/>
        </w:rPr>
      </w:pPr>
      <w:r>
        <w:rPr>
          <w:rFonts w:ascii="Palatino Linotype" w:eastAsia="Times New Roman" w:hAnsi="Palatino Linotype" w:cs="Times New Roman"/>
          <w:i/>
          <w:color w:val="000000"/>
          <w:sz w:val="16"/>
        </w:rPr>
        <w:t>Figure 1—</w:t>
      </w:r>
      <w:r w:rsidR="00FA4254" w:rsidRPr="00FA4254">
        <w:t xml:space="preserve"> </w:t>
      </w:r>
      <w:proofErr w:type="gramStart"/>
      <w:r w:rsidR="00FA4254" w:rsidRPr="00FA4254">
        <w:rPr>
          <w:rFonts w:ascii="Palatino Linotype" w:eastAsia="Times New Roman" w:hAnsi="Palatino Linotype" w:cs="Times New Roman"/>
          <w:i/>
          <w:color w:val="000000"/>
          <w:sz w:val="16"/>
        </w:rPr>
        <w:t>This</w:t>
      </w:r>
      <w:proofErr w:type="gramEnd"/>
      <w:r w:rsidR="00FA4254" w:rsidRPr="00FA4254">
        <w:rPr>
          <w:rFonts w:ascii="Palatino Linotype" w:eastAsia="Times New Roman" w:hAnsi="Palatino Linotype" w:cs="Times New Roman"/>
          <w:i/>
          <w:color w:val="000000"/>
          <w:sz w:val="16"/>
        </w:rPr>
        <w:t xml:space="preserve"> graph shows the comparison of the manual strategy </w:t>
      </w:r>
      <w:r w:rsidR="00B32CC4">
        <w:rPr>
          <w:rFonts w:ascii="Palatino Linotype" w:eastAsia="Times New Roman" w:hAnsi="Palatino Linotype" w:cs="Times New Roman"/>
          <w:i/>
          <w:color w:val="000000"/>
          <w:sz w:val="16"/>
        </w:rPr>
        <w:t>and</w:t>
      </w:r>
      <w:r w:rsidR="00FA4254" w:rsidRPr="00FA4254">
        <w:rPr>
          <w:rFonts w:ascii="Palatino Linotype" w:eastAsia="Times New Roman" w:hAnsi="Palatino Linotype" w:cs="Times New Roman"/>
          <w:i/>
          <w:color w:val="000000"/>
          <w:sz w:val="16"/>
        </w:rPr>
        <w:t xml:space="preserve"> benchmark results in regard</w:t>
      </w:r>
      <w:r w:rsidR="00FA4254">
        <w:rPr>
          <w:rFonts w:ascii="Palatino Linotype" w:eastAsia="Times New Roman" w:hAnsi="Palatino Linotype" w:cs="Times New Roman"/>
          <w:i/>
          <w:color w:val="000000"/>
          <w:sz w:val="16"/>
        </w:rPr>
        <w:t xml:space="preserve">s to JPM prices during </w:t>
      </w:r>
      <w:r w:rsidR="00545BBC">
        <w:rPr>
          <w:rFonts w:ascii="Palatino Linotype" w:eastAsia="Times New Roman" w:hAnsi="Palatino Linotype" w:cs="Times New Roman"/>
          <w:i/>
          <w:color w:val="000000"/>
          <w:sz w:val="16"/>
        </w:rPr>
        <w:t>an</w:t>
      </w:r>
      <w:r w:rsidR="00FA4254">
        <w:rPr>
          <w:rFonts w:ascii="Palatino Linotype" w:eastAsia="Times New Roman" w:hAnsi="Palatino Linotype" w:cs="Times New Roman"/>
          <w:i/>
          <w:color w:val="000000"/>
          <w:sz w:val="16"/>
        </w:rPr>
        <w:t xml:space="preserve"> in</w:t>
      </w:r>
      <w:r w:rsidR="00FA4254" w:rsidRPr="00FA4254">
        <w:rPr>
          <w:rFonts w:ascii="Palatino Linotype" w:eastAsia="Times New Roman" w:hAnsi="Palatino Linotype" w:cs="Times New Roman"/>
          <w:i/>
          <w:color w:val="000000"/>
          <w:sz w:val="16"/>
        </w:rPr>
        <w:t>-sample time period.</w:t>
      </w:r>
    </w:p>
    <w:p w14:paraId="7DB7C84B" w14:textId="7F5E330E" w:rsidR="004E5247" w:rsidRDefault="004E5247" w:rsidP="004E5247">
      <w:pPr>
        <w:ind w:left="720"/>
        <w:rPr>
          <w:rFonts w:ascii="Palatino Linotype" w:eastAsia="Times New Roman" w:hAnsi="Palatino Linotype" w:cs="Times New Roman"/>
          <w:i/>
          <w:color w:val="000000"/>
          <w:sz w:val="16"/>
        </w:rPr>
      </w:pPr>
      <w:r>
        <w:rPr>
          <w:rFonts w:ascii="Palatino Linotype" w:eastAsia="Times New Roman" w:hAnsi="Palatino Linotype" w:cs="Times New Roman"/>
          <w:i/>
          <w:noProof/>
          <w:color w:val="000000"/>
          <w:sz w:val="16"/>
        </w:rPr>
        <w:drawing>
          <wp:inline distT="0" distB="0" distL="0" distR="0" wp14:anchorId="351A9E91" wp14:editId="76EFAA10">
            <wp:extent cx="4889633" cy="36672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manual_strategy_out_of_sample.png"/>
                    <pic:cNvPicPr/>
                  </pic:nvPicPr>
                  <pic:blipFill>
                    <a:blip r:embed="rId9">
                      <a:extLst>
                        <a:ext uri="{28A0092B-C50C-407E-A947-70E740481C1C}">
                          <a14:useLocalDpi xmlns:a14="http://schemas.microsoft.com/office/drawing/2010/main" val="0"/>
                        </a:ext>
                      </a:extLst>
                    </a:blip>
                    <a:stretch>
                      <a:fillRect/>
                    </a:stretch>
                  </pic:blipFill>
                  <pic:spPr>
                    <a:xfrm>
                      <a:off x="0" y="0"/>
                      <a:ext cx="4949454" cy="3712090"/>
                    </a:xfrm>
                    <a:prstGeom prst="rect">
                      <a:avLst/>
                    </a:prstGeom>
                  </pic:spPr>
                </pic:pic>
              </a:graphicData>
            </a:graphic>
          </wp:inline>
        </w:drawing>
      </w:r>
    </w:p>
    <w:p w14:paraId="21BDABC4" w14:textId="0E01A6FA" w:rsidR="004E5247" w:rsidRPr="004E5247" w:rsidRDefault="004E5247" w:rsidP="004E5247">
      <w:pPr>
        <w:ind w:left="720"/>
        <w:rPr>
          <w:rFonts w:ascii="Palatino Linotype" w:eastAsia="Times New Roman" w:hAnsi="Palatino Linotype" w:cs="Times New Roman"/>
          <w:i/>
          <w:color w:val="000000"/>
          <w:sz w:val="16"/>
        </w:rPr>
      </w:pPr>
      <w:r>
        <w:rPr>
          <w:rFonts w:ascii="Palatino Linotype" w:eastAsia="Times New Roman" w:hAnsi="Palatino Linotype" w:cs="Times New Roman"/>
          <w:i/>
          <w:color w:val="000000"/>
          <w:sz w:val="16"/>
        </w:rPr>
        <w:t>Figure 2</w:t>
      </w:r>
      <w:r w:rsidRPr="004E5247">
        <w:rPr>
          <w:rFonts w:ascii="Palatino Linotype" w:eastAsia="Times New Roman" w:hAnsi="Palatino Linotype" w:cs="Times New Roman"/>
          <w:i/>
          <w:color w:val="000000"/>
          <w:sz w:val="16"/>
        </w:rPr>
        <w:t>—</w:t>
      </w:r>
      <w:proofErr w:type="gramStart"/>
      <w:r>
        <w:rPr>
          <w:rFonts w:ascii="Palatino Linotype" w:eastAsia="Times New Roman" w:hAnsi="Palatino Linotype" w:cs="Times New Roman"/>
          <w:i/>
          <w:color w:val="000000"/>
          <w:sz w:val="16"/>
        </w:rPr>
        <w:t>This</w:t>
      </w:r>
      <w:proofErr w:type="gramEnd"/>
      <w:r>
        <w:rPr>
          <w:rFonts w:ascii="Palatino Linotype" w:eastAsia="Times New Roman" w:hAnsi="Palatino Linotype" w:cs="Times New Roman"/>
          <w:i/>
          <w:color w:val="000000"/>
          <w:sz w:val="16"/>
        </w:rPr>
        <w:t xml:space="preserve"> graph shows </w:t>
      </w:r>
      <w:r w:rsidR="00FA4254">
        <w:rPr>
          <w:rFonts w:ascii="Palatino Linotype" w:eastAsia="Times New Roman" w:hAnsi="Palatino Linotype" w:cs="Times New Roman"/>
          <w:i/>
          <w:color w:val="000000"/>
          <w:sz w:val="16"/>
        </w:rPr>
        <w:t>the comparison of</w:t>
      </w:r>
      <w:r>
        <w:rPr>
          <w:rFonts w:ascii="Palatino Linotype" w:eastAsia="Times New Roman" w:hAnsi="Palatino Linotype" w:cs="Times New Roman"/>
          <w:i/>
          <w:color w:val="000000"/>
          <w:sz w:val="16"/>
        </w:rPr>
        <w:t xml:space="preserve"> the </w:t>
      </w:r>
      <w:r w:rsidR="00FA4254">
        <w:rPr>
          <w:rFonts w:ascii="Palatino Linotype" w:eastAsia="Times New Roman" w:hAnsi="Palatino Linotype" w:cs="Times New Roman"/>
          <w:i/>
          <w:color w:val="000000"/>
          <w:sz w:val="16"/>
        </w:rPr>
        <w:t xml:space="preserve">manual strategy </w:t>
      </w:r>
      <w:r w:rsidR="00B32CC4">
        <w:rPr>
          <w:rFonts w:ascii="Palatino Linotype" w:eastAsia="Times New Roman" w:hAnsi="Palatino Linotype" w:cs="Times New Roman"/>
          <w:i/>
          <w:color w:val="000000"/>
          <w:sz w:val="16"/>
        </w:rPr>
        <w:t>and</w:t>
      </w:r>
      <w:r w:rsidRPr="004E5247">
        <w:rPr>
          <w:rFonts w:ascii="Palatino Linotype" w:eastAsia="Times New Roman" w:hAnsi="Palatino Linotype" w:cs="Times New Roman"/>
          <w:i/>
          <w:color w:val="000000"/>
          <w:sz w:val="16"/>
        </w:rPr>
        <w:t xml:space="preserve"> benchmark results in regards to JPM prices</w:t>
      </w:r>
      <w:r w:rsidR="00FA4254">
        <w:rPr>
          <w:rFonts w:ascii="Palatino Linotype" w:eastAsia="Times New Roman" w:hAnsi="Palatino Linotype" w:cs="Times New Roman"/>
          <w:i/>
          <w:color w:val="000000"/>
          <w:sz w:val="16"/>
        </w:rPr>
        <w:t xml:space="preserve"> during </w:t>
      </w:r>
      <w:r w:rsidR="00545BBC">
        <w:rPr>
          <w:rFonts w:ascii="Palatino Linotype" w:eastAsia="Times New Roman" w:hAnsi="Palatino Linotype" w:cs="Times New Roman"/>
          <w:i/>
          <w:color w:val="000000"/>
          <w:sz w:val="16"/>
        </w:rPr>
        <w:t>an</w:t>
      </w:r>
      <w:r w:rsidR="00FA4254">
        <w:rPr>
          <w:rFonts w:ascii="Palatino Linotype" w:eastAsia="Times New Roman" w:hAnsi="Palatino Linotype" w:cs="Times New Roman"/>
          <w:i/>
          <w:color w:val="000000"/>
          <w:sz w:val="16"/>
        </w:rPr>
        <w:t xml:space="preserve"> out-of</w:t>
      </w:r>
      <w:r w:rsidR="00FA4254" w:rsidRPr="004E5247">
        <w:rPr>
          <w:rFonts w:ascii="Palatino Linotype" w:eastAsia="Times New Roman" w:hAnsi="Palatino Linotype" w:cs="Times New Roman"/>
          <w:i/>
          <w:color w:val="000000"/>
          <w:sz w:val="16"/>
        </w:rPr>
        <w:t>-sample time period</w:t>
      </w:r>
      <w:r w:rsidRPr="004E5247">
        <w:rPr>
          <w:rFonts w:ascii="Palatino Linotype" w:eastAsia="Times New Roman" w:hAnsi="Palatino Linotype" w:cs="Times New Roman"/>
          <w:i/>
          <w:color w:val="000000"/>
          <w:sz w:val="16"/>
        </w:rPr>
        <w:t>.</w:t>
      </w:r>
    </w:p>
    <w:p w14:paraId="7CFE80A7" w14:textId="65812E70" w:rsidR="004E5247" w:rsidRDefault="004E5247" w:rsidP="004E5247">
      <w:pPr>
        <w:ind w:left="720"/>
        <w:rPr>
          <w:rFonts w:ascii="Palatino Linotype" w:eastAsia="Times New Roman" w:hAnsi="Palatino Linotype" w:cs="Times New Roman"/>
          <w:i/>
          <w:color w:val="000000"/>
          <w:sz w:val="16"/>
        </w:rPr>
      </w:pPr>
    </w:p>
    <w:tbl>
      <w:tblPr>
        <w:tblStyle w:val="TableGrid"/>
        <w:tblW w:w="8920" w:type="dxa"/>
        <w:tblInd w:w="525" w:type="dxa"/>
        <w:tblLook w:val="04A0" w:firstRow="1" w:lastRow="0" w:firstColumn="1" w:lastColumn="0" w:noHBand="0" w:noVBand="1"/>
      </w:tblPr>
      <w:tblGrid>
        <w:gridCol w:w="2336"/>
        <w:gridCol w:w="2337"/>
        <w:gridCol w:w="2337"/>
        <w:gridCol w:w="1910"/>
      </w:tblGrid>
      <w:tr w:rsidR="00CC624D" w14:paraId="14FC38BE" w14:textId="77777777" w:rsidTr="00CC624D">
        <w:tc>
          <w:tcPr>
            <w:tcW w:w="2336" w:type="dxa"/>
          </w:tcPr>
          <w:p w14:paraId="2CF24C8F" w14:textId="06BF87DD" w:rsidR="00CC624D" w:rsidRDefault="00CC624D" w:rsidP="00CC624D">
            <w:pPr>
              <w:rPr>
                <w:rFonts w:ascii="Palatino Linotype" w:eastAsia="Times New Roman" w:hAnsi="Palatino Linotype" w:cs="Times New Roman"/>
                <w:color w:val="000000"/>
                <w:sz w:val="16"/>
              </w:rPr>
            </w:pPr>
            <w:r w:rsidRPr="004E5247">
              <w:rPr>
                <w:rFonts w:ascii="Palatino Linotype" w:eastAsia="Times New Roman" w:hAnsi="Palatino Linotype" w:cs="Times New Roman"/>
                <w:b/>
                <w:color w:val="000000"/>
              </w:rPr>
              <w:t>Portfolio Type</w:t>
            </w:r>
          </w:p>
        </w:tc>
        <w:tc>
          <w:tcPr>
            <w:tcW w:w="2337" w:type="dxa"/>
          </w:tcPr>
          <w:p w14:paraId="666FD1E1" w14:textId="7CCBCD66" w:rsidR="00CC624D" w:rsidRDefault="00CC624D" w:rsidP="00CC624D">
            <w:pPr>
              <w:rPr>
                <w:rFonts w:ascii="Palatino Linotype" w:eastAsia="Times New Roman" w:hAnsi="Palatino Linotype" w:cs="Times New Roman"/>
                <w:color w:val="000000"/>
                <w:sz w:val="16"/>
              </w:rPr>
            </w:pPr>
            <w:r w:rsidRPr="004E5247">
              <w:rPr>
                <w:rFonts w:ascii="Palatino Linotype" w:eastAsia="Times New Roman" w:hAnsi="Palatino Linotype" w:cs="Times New Roman"/>
                <w:b/>
                <w:color w:val="000000"/>
              </w:rPr>
              <w:t>Cumulative return</w:t>
            </w:r>
          </w:p>
        </w:tc>
        <w:tc>
          <w:tcPr>
            <w:tcW w:w="2337" w:type="dxa"/>
          </w:tcPr>
          <w:p w14:paraId="6AD38CF6" w14:textId="3193B106" w:rsidR="00CC624D" w:rsidRDefault="00CC624D" w:rsidP="00CC624D">
            <w:pPr>
              <w:rPr>
                <w:rFonts w:ascii="Palatino Linotype" w:eastAsia="Times New Roman" w:hAnsi="Palatino Linotype" w:cs="Times New Roman"/>
                <w:color w:val="000000"/>
                <w:sz w:val="16"/>
              </w:rPr>
            </w:pPr>
            <w:r w:rsidRPr="004E5247">
              <w:rPr>
                <w:rFonts w:ascii="Palatino Linotype" w:eastAsia="Times New Roman" w:hAnsi="Palatino Linotype" w:cs="Times New Roman"/>
                <w:b/>
                <w:color w:val="000000"/>
              </w:rPr>
              <w:t>Standard Deviation</w:t>
            </w:r>
          </w:p>
        </w:tc>
        <w:tc>
          <w:tcPr>
            <w:tcW w:w="1910" w:type="dxa"/>
          </w:tcPr>
          <w:p w14:paraId="50D3AC9B" w14:textId="09FB0D79" w:rsidR="00CC624D" w:rsidRDefault="00CC624D" w:rsidP="00CC624D">
            <w:pPr>
              <w:rPr>
                <w:rFonts w:ascii="Palatino Linotype" w:eastAsia="Times New Roman" w:hAnsi="Palatino Linotype" w:cs="Times New Roman"/>
                <w:color w:val="000000"/>
                <w:sz w:val="16"/>
              </w:rPr>
            </w:pPr>
            <w:r w:rsidRPr="004E5247">
              <w:rPr>
                <w:rFonts w:ascii="Palatino Linotype" w:eastAsia="Times New Roman" w:hAnsi="Palatino Linotype" w:cs="Times New Roman"/>
                <w:b/>
                <w:color w:val="000000"/>
              </w:rPr>
              <w:t>Mean</w:t>
            </w:r>
          </w:p>
        </w:tc>
      </w:tr>
      <w:tr w:rsidR="00CC624D" w14:paraId="3B14B679" w14:textId="77777777" w:rsidTr="00CC624D">
        <w:tc>
          <w:tcPr>
            <w:tcW w:w="2336" w:type="dxa"/>
          </w:tcPr>
          <w:p w14:paraId="64703B29" w14:textId="7F4089B5" w:rsidR="00CC624D" w:rsidRDefault="00CC624D" w:rsidP="00CC624D">
            <w:pPr>
              <w:rPr>
                <w:rFonts w:ascii="Palatino Linotype" w:eastAsia="Times New Roman" w:hAnsi="Palatino Linotype" w:cs="Times New Roman"/>
                <w:color w:val="000000"/>
                <w:sz w:val="16"/>
              </w:rPr>
            </w:pPr>
            <w:r w:rsidRPr="004E5247">
              <w:rPr>
                <w:rFonts w:ascii="Palatino Linotype" w:eastAsia="Times New Roman" w:hAnsi="Palatino Linotype" w:cs="Times New Roman"/>
                <w:color w:val="000000"/>
              </w:rPr>
              <w:t>Benchmark</w:t>
            </w:r>
          </w:p>
        </w:tc>
        <w:tc>
          <w:tcPr>
            <w:tcW w:w="2337" w:type="dxa"/>
          </w:tcPr>
          <w:p w14:paraId="409A8C28" w14:textId="69B147C6" w:rsidR="00CC624D" w:rsidRPr="00CC624D" w:rsidRDefault="00CC624D" w:rsidP="00CC624D">
            <w:pPr>
              <w:rPr>
                <w:rFonts w:ascii="Palatino Linotype" w:eastAsia="Times New Roman" w:hAnsi="Palatino Linotype" w:cs="Times New Roman"/>
                <w:color w:val="000000"/>
              </w:rPr>
            </w:pPr>
            <w:r w:rsidRPr="00CC624D">
              <w:rPr>
                <w:rFonts w:ascii="Palatino Linotype" w:eastAsia="Times New Roman" w:hAnsi="Palatino Linotype" w:cs="Times New Roman"/>
                <w:color w:val="000000"/>
              </w:rPr>
              <w:t>-0.037924</w:t>
            </w:r>
          </w:p>
        </w:tc>
        <w:tc>
          <w:tcPr>
            <w:tcW w:w="2337" w:type="dxa"/>
          </w:tcPr>
          <w:p w14:paraId="03FFA277" w14:textId="5EC82CF9" w:rsidR="00CC624D" w:rsidRPr="00CC624D" w:rsidRDefault="00CC624D" w:rsidP="00CC624D">
            <w:pPr>
              <w:rPr>
                <w:rFonts w:ascii="Palatino Linotype" w:eastAsia="Times New Roman" w:hAnsi="Palatino Linotype" w:cs="Times New Roman"/>
                <w:color w:val="000000"/>
              </w:rPr>
            </w:pPr>
            <w:r w:rsidRPr="00CC624D">
              <w:rPr>
                <w:rFonts w:ascii="Palatino Linotype" w:eastAsia="Times New Roman" w:hAnsi="Palatino Linotype" w:cs="Times New Roman"/>
                <w:color w:val="000000"/>
              </w:rPr>
              <w:t>0.017468</w:t>
            </w:r>
          </w:p>
        </w:tc>
        <w:tc>
          <w:tcPr>
            <w:tcW w:w="1910" w:type="dxa"/>
          </w:tcPr>
          <w:p w14:paraId="01087119" w14:textId="2CFD0731" w:rsidR="00CC624D" w:rsidRPr="00CC624D" w:rsidRDefault="00CC624D" w:rsidP="00CC624D">
            <w:pPr>
              <w:rPr>
                <w:rFonts w:ascii="Palatino Linotype" w:eastAsia="Times New Roman" w:hAnsi="Palatino Linotype" w:cs="Times New Roman"/>
                <w:color w:val="000000"/>
              </w:rPr>
            </w:pPr>
            <w:r w:rsidRPr="00CC624D">
              <w:rPr>
                <w:rFonts w:ascii="Palatino Linotype" w:eastAsia="Times New Roman" w:hAnsi="Palatino Linotype" w:cs="Times New Roman"/>
                <w:color w:val="000000"/>
              </w:rPr>
              <w:t>7.507884</w:t>
            </w:r>
            <w:r>
              <w:rPr>
                <w:rFonts w:ascii="Palatino Linotype" w:eastAsia="Times New Roman" w:hAnsi="Palatino Linotype" w:cs="Times New Roman"/>
                <w:color w:val="000000"/>
              </w:rPr>
              <w:t>e-05</w:t>
            </w:r>
          </w:p>
        </w:tc>
      </w:tr>
      <w:tr w:rsidR="00CC624D" w14:paraId="2C1BFFD7" w14:textId="77777777" w:rsidTr="00CC624D">
        <w:tc>
          <w:tcPr>
            <w:tcW w:w="2336" w:type="dxa"/>
          </w:tcPr>
          <w:p w14:paraId="392418FF" w14:textId="03BF721B" w:rsidR="00CC624D" w:rsidRDefault="00CC624D" w:rsidP="00CC624D">
            <w:pPr>
              <w:rPr>
                <w:rFonts w:ascii="Palatino Linotype" w:eastAsia="Times New Roman" w:hAnsi="Palatino Linotype" w:cs="Times New Roman"/>
                <w:color w:val="000000"/>
                <w:sz w:val="16"/>
              </w:rPr>
            </w:pPr>
            <w:r>
              <w:rPr>
                <w:rFonts w:ascii="Palatino Linotype" w:eastAsia="Times New Roman" w:hAnsi="Palatino Linotype" w:cs="Times New Roman"/>
                <w:color w:val="000000"/>
              </w:rPr>
              <w:t>Manual Strategy</w:t>
            </w:r>
          </w:p>
        </w:tc>
        <w:tc>
          <w:tcPr>
            <w:tcW w:w="2337" w:type="dxa"/>
          </w:tcPr>
          <w:p w14:paraId="38DFC388" w14:textId="0AD7CBCD" w:rsidR="00CC624D" w:rsidRPr="00CC624D" w:rsidRDefault="00CC624D" w:rsidP="00CC624D">
            <w:pPr>
              <w:rPr>
                <w:rFonts w:ascii="Palatino Linotype" w:eastAsia="Times New Roman" w:hAnsi="Palatino Linotype" w:cs="Times New Roman"/>
                <w:color w:val="000000"/>
              </w:rPr>
            </w:pPr>
            <w:r w:rsidRPr="00CC624D">
              <w:rPr>
                <w:rFonts w:ascii="Palatino Linotype" w:eastAsia="Times New Roman" w:hAnsi="Palatino Linotype" w:cs="Times New Roman"/>
                <w:color w:val="000000"/>
              </w:rPr>
              <w:t>0.029792</w:t>
            </w:r>
          </w:p>
        </w:tc>
        <w:tc>
          <w:tcPr>
            <w:tcW w:w="2337" w:type="dxa"/>
          </w:tcPr>
          <w:p w14:paraId="7B5D0A86" w14:textId="52ECDA5E" w:rsidR="00CC624D" w:rsidRPr="00CC624D" w:rsidRDefault="00CC624D" w:rsidP="00CC624D">
            <w:pPr>
              <w:rPr>
                <w:rFonts w:ascii="Palatino Linotype" w:eastAsia="Times New Roman" w:hAnsi="Palatino Linotype" w:cs="Times New Roman"/>
                <w:color w:val="000000"/>
              </w:rPr>
            </w:pPr>
            <w:r w:rsidRPr="00CC624D">
              <w:rPr>
                <w:rFonts w:ascii="Palatino Linotype" w:eastAsia="Times New Roman" w:hAnsi="Palatino Linotype" w:cs="Times New Roman"/>
                <w:color w:val="000000"/>
              </w:rPr>
              <w:t>0.015251</w:t>
            </w:r>
          </w:p>
        </w:tc>
        <w:tc>
          <w:tcPr>
            <w:tcW w:w="1910" w:type="dxa"/>
          </w:tcPr>
          <w:p w14:paraId="3B69B9E1" w14:textId="25097784" w:rsidR="00CC624D" w:rsidRPr="00CC624D" w:rsidRDefault="00CC624D" w:rsidP="00CC624D">
            <w:pPr>
              <w:rPr>
                <w:rFonts w:ascii="Palatino Linotype" w:eastAsia="Times New Roman" w:hAnsi="Palatino Linotype" w:cs="Times New Roman"/>
                <w:color w:val="000000"/>
              </w:rPr>
            </w:pPr>
            <w:r w:rsidRPr="00CC624D">
              <w:rPr>
                <w:rFonts w:ascii="Palatino Linotype" w:eastAsia="Times New Roman" w:hAnsi="Palatino Linotype" w:cs="Times New Roman"/>
                <w:color w:val="000000"/>
              </w:rPr>
              <w:t>0.000174</w:t>
            </w:r>
          </w:p>
        </w:tc>
      </w:tr>
    </w:tbl>
    <w:p w14:paraId="4A1C1C2A" w14:textId="7E54D5B5" w:rsidR="004E5247" w:rsidRPr="004E5247" w:rsidRDefault="004E5247" w:rsidP="004E5247">
      <w:pPr>
        <w:rPr>
          <w:rFonts w:ascii="Palatino Linotype" w:eastAsia="Times New Roman" w:hAnsi="Palatino Linotype" w:cs="Times New Roman"/>
          <w:color w:val="000000"/>
          <w:sz w:val="16"/>
        </w:rPr>
      </w:pPr>
    </w:p>
    <w:p w14:paraId="0C71291C" w14:textId="32E9DCD2" w:rsidR="004E5247" w:rsidRPr="004E5247" w:rsidRDefault="004E5247" w:rsidP="004E5247">
      <w:pPr>
        <w:ind w:left="720"/>
        <w:rPr>
          <w:rFonts w:ascii="Palatino Linotype" w:eastAsia="Times New Roman" w:hAnsi="Palatino Linotype" w:cs="Times New Roman"/>
          <w:i/>
          <w:color w:val="000000"/>
          <w:sz w:val="16"/>
        </w:rPr>
      </w:pPr>
      <w:r>
        <w:rPr>
          <w:rFonts w:ascii="Palatino Linotype" w:eastAsia="Times New Roman" w:hAnsi="Palatino Linotype" w:cs="Times New Roman"/>
          <w:i/>
          <w:color w:val="000000"/>
          <w:sz w:val="16"/>
        </w:rPr>
        <w:t>Table 1</w:t>
      </w:r>
      <w:r w:rsidRPr="004E5247">
        <w:rPr>
          <w:rFonts w:ascii="Palatino Linotype" w:eastAsia="Times New Roman" w:hAnsi="Palatino Linotype" w:cs="Times New Roman"/>
          <w:i/>
          <w:color w:val="000000"/>
          <w:sz w:val="16"/>
        </w:rPr>
        <w:t>—</w:t>
      </w:r>
      <w:r>
        <w:rPr>
          <w:rFonts w:ascii="Palatino Linotype" w:eastAsia="Times New Roman" w:hAnsi="Palatino Linotype" w:cs="Times New Roman"/>
          <w:i/>
          <w:color w:val="000000"/>
          <w:sz w:val="16"/>
        </w:rPr>
        <w:t>This table compares the</w:t>
      </w:r>
      <w:r w:rsidR="00CC624D" w:rsidRPr="00CC624D">
        <w:rPr>
          <w:rFonts w:ascii="Palatino Linotype" w:eastAsia="Times New Roman" w:hAnsi="Palatino Linotype" w:cs="Times New Roman"/>
          <w:i/>
          <w:color w:val="000000"/>
          <w:sz w:val="16"/>
          <w:szCs w:val="16"/>
        </w:rPr>
        <w:t xml:space="preserve"> </w:t>
      </w:r>
      <w:r w:rsidR="00CC624D">
        <w:rPr>
          <w:rFonts w:ascii="Palatino Linotype" w:eastAsia="Times New Roman" w:hAnsi="Palatino Linotype" w:cs="Times New Roman"/>
          <w:i/>
          <w:color w:val="000000"/>
          <w:sz w:val="16"/>
          <w:szCs w:val="16"/>
        </w:rPr>
        <w:t>cumulative return, standard deviation, and mean calculations of the</w:t>
      </w:r>
      <w:r>
        <w:rPr>
          <w:rFonts w:ascii="Palatino Linotype" w:eastAsia="Times New Roman" w:hAnsi="Palatino Linotype" w:cs="Times New Roman"/>
          <w:i/>
          <w:color w:val="000000"/>
          <w:sz w:val="16"/>
        </w:rPr>
        <w:t xml:space="preserve"> </w:t>
      </w:r>
      <w:r w:rsidR="001B7314">
        <w:rPr>
          <w:rFonts w:ascii="Palatino Linotype" w:eastAsia="Times New Roman" w:hAnsi="Palatino Linotype" w:cs="Times New Roman"/>
          <w:i/>
          <w:color w:val="000000"/>
          <w:sz w:val="16"/>
        </w:rPr>
        <w:t xml:space="preserve">manual strategy </w:t>
      </w:r>
      <w:r w:rsidR="00B32CC4">
        <w:rPr>
          <w:rFonts w:ascii="Palatino Linotype" w:eastAsia="Times New Roman" w:hAnsi="Palatino Linotype" w:cs="Times New Roman"/>
          <w:i/>
          <w:color w:val="000000"/>
          <w:sz w:val="16"/>
        </w:rPr>
        <w:t>and b</w:t>
      </w:r>
      <w:r w:rsidRPr="004E5247">
        <w:rPr>
          <w:rFonts w:ascii="Palatino Linotype" w:eastAsia="Times New Roman" w:hAnsi="Palatino Linotype" w:cs="Times New Roman"/>
          <w:i/>
          <w:color w:val="000000"/>
          <w:sz w:val="16"/>
        </w:rPr>
        <w:t>enchmark results in regards to JPM prices</w:t>
      </w:r>
      <w:r w:rsidR="001B7314">
        <w:rPr>
          <w:rFonts w:ascii="Palatino Linotype" w:eastAsia="Times New Roman" w:hAnsi="Palatino Linotype" w:cs="Times New Roman"/>
          <w:i/>
          <w:color w:val="000000"/>
          <w:sz w:val="16"/>
        </w:rPr>
        <w:t xml:space="preserve"> during an  </w:t>
      </w:r>
      <w:r w:rsidR="001B7314">
        <w:rPr>
          <w:rFonts w:ascii="Palatino Linotype" w:eastAsia="Times New Roman" w:hAnsi="Palatino Linotype" w:cs="Times New Roman"/>
          <w:i/>
          <w:color w:val="000000"/>
          <w:sz w:val="16"/>
        </w:rPr>
        <w:t>in</w:t>
      </w:r>
      <w:r w:rsidR="001B7314" w:rsidRPr="004E5247">
        <w:rPr>
          <w:rFonts w:ascii="Palatino Linotype" w:eastAsia="Times New Roman" w:hAnsi="Palatino Linotype" w:cs="Times New Roman"/>
          <w:i/>
          <w:color w:val="000000"/>
          <w:sz w:val="16"/>
        </w:rPr>
        <w:t>-sample time period</w:t>
      </w:r>
      <w:r w:rsidRPr="004E5247">
        <w:rPr>
          <w:rFonts w:ascii="Palatino Linotype" w:eastAsia="Times New Roman" w:hAnsi="Palatino Linotype" w:cs="Times New Roman"/>
          <w:i/>
          <w:color w:val="000000"/>
          <w:sz w:val="16"/>
        </w:rPr>
        <w:t>.</w:t>
      </w:r>
    </w:p>
    <w:tbl>
      <w:tblPr>
        <w:tblStyle w:val="TableGrid"/>
        <w:tblW w:w="8920" w:type="dxa"/>
        <w:tblInd w:w="525" w:type="dxa"/>
        <w:tblLook w:val="04A0" w:firstRow="1" w:lastRow="0" w:firstColumn="1" w:lastColumn="0" w:noHBand="0" w:noVBand="1"/>
      </w:tblPr>
      <w:tblGrid>
        <w:gridCol w:w="2336"/>
        <w:gridCol w:w="2337"/>
        <w:gridCol w:w="2337"/>
        <w:gridCol w:w="1910"/>
      </w:tblGrid>
      <w:tr w:rsidR="000305FE" w14:paraId="0870CBB6" w14:textId="77777777" w:rsidTr="00F810C1">
        <w:tc>
          <w:tcPr>
            <w:tcW w:w="2336" w:type="dxa"/>
          </w:tcPr>
          <w:p w14:paraId="01D48680" w14:textId="77777777" w:rsidR="000305FE" w:rsidRDefault="000305FE" w:rsidP="00F810C1">
            <w:pPr>
              <w:rPr>
                <w:rFonts w:ascii="Palatino Linotype" w:eastAsia="Times New Roman" w:hAnsi="Palatino Linotype" w:cs="Times New Roman"/>
                <w:color w:val="000000"/>
                <w:sz w:val="16"/>
              </w:rPr>
            </w:pPr>
            <w:r w:rsidRPr="004E5247">
              <w:rPr>
                <w:rFonts w:ascii="Palatino Linotype" w:eastAsia="Times New Roman" w:hAnsi="Palatino Linotype" w:cs="Times New Roman"/>
                <w:b/>
                <w:color w:val="000000"/>
              </w:rPr>
              <w:t>Portfolio Type</w:t>
            </w:r>
          </w:p>
        </w:tc>
        <w:tc>
          <w:tcPr>
            <w:tcW w:w="2337" w:type="dxa"/>
          </w:tcPr>
          <w:p w14:paraId="513898D1" w14:textId="77777777" w:rsidR="000305FE" w:rsidRDefault="000305FE" w:rsidP="00F810C1">
            <w:pPr>
              <w:rPr>
                <w:rFonts w:ascii="Palatino Linotype" w:eastAsia="Times New Roman" w:hAnsi="Palatino Linotype" w:cs="Times New Roman"/>
                <w:color w:val="000000"/>
                <w:sz w:val="16"/>
              </w:rPr>
            </w:pPr>
            <w:r w:rsidRPr="004E5247">
              <w:rPr>
                <w:rFonts w:ascii="Palatino Linotype" w:eastAsia="Times New Roman" w:hAnsi="Palatino Linotype" w:cs="Times New Roman"/>
                <w:b/>
                <w:color w:val="000000"/>
              </w:rPr>
              <w:t>Cumulative return</w:t>
            </w:r>
          </w:p>
        </w:tc>
        <w:tc>
          <w:tcPr>
            <w:tcW w:w="2337" w:type="dxa"/>
          </w:tcPr>
          <w:p w14:paraId="034B6C3D" w14:textId="77777777" w:rsidR="000305FE" w:rsidRDefault="000305FE" w:rsidP="00F810C1">
            <w:pPr>
              <w:rPr>
                <w:rFonts w:ascii="Palatino Linotype" w:eastAsia="Times New Roman" w:hAnsi="Palatino Linotype" w:cs="Times New Roman"/>
                <w:color w:val="000000"/>
                <w:sz w:val="16"/>
              </w:rPr>
            </w:pPr>
            <w:r w:rsidRPr="004E5247">
              <w:rPr>
                <w:rFonts w:ascii="Palatino Linotype" w:eastAsia="Times New Roman" w:hAnsi="Palatino Linotype" w:cs="Times New Roman"/>
                <w:b/>
                <w:color w:val="000000"/>
              </w:rPr>
              <w:t>Standard Deviation</w:t>
            </w:r>
          </w:p>
        </w:tc>
        <w:tc>
          <w:tcPr>
            <w:tcW w:w="1910" w:type="dxa"/>
          </w:tcPr>
          <w:p w14:paraId="7F841043" w14:textId="77777777" w:rsidR="000305FE" w:rsidRDefault="000305FE" w:rsidP="00F810C1">
            <w:pPr>
              <w:rPr>
                <w:rFonts w:ascii="Palatino Linotype" w:eastAsia="Times New Roman" w:hAnsi="Palatino Linotype" w:cs="Times New Roman"/>
                <w:color w:val="000000"/>
                <w:sz w:val="16"/>
              </w:rPr>
            </w:pPr>
            <w:r w:rsidRPr="004E5247">
              <w:rPr>
                <w:rFonts w:ascii="Palatino Linotype" w:eastAsia="Times New Roman" w:hAnsi="Palatino Linotype" w:cs="Times New Roman"/>
                <w:b/>
                <w:color w:val="000000"/>
              </w:rPr>
              <w:t>Mean</w:t>
            </w:r>
          </w:p>
        </w:tc>
      </w:tr>
      <w:tr w:rsidR="000305FE" w14:paraId="5798E27F" w14:textId="77777777" w:rsidTr="00F810C1">
        <w:tc>
          <w:tcPr>
            <w:tcW w:w="2336" w:type="dxa"/>
          </w:tcPr>
          <w:p w14:paraId="6A43C8C6" w14:textId="77777777" w:rsidR="000305FE" w:rsidRDefault="000305FE" w:rsidP="00F810C1">
            <w:pPr>
              <w:rPr>
                <w:rFonts w:ascii="Palatino Linotype" w:eastAsia="Times New Roman" w:hAnsi="Palatino Linotype" w:cs="Times New Roman"/>
                <w:color w:val="000000"/>
                <w:sz w:val="16"/>
              </w:rPr>
            </w:pPr>
            <w:r w:rsidRPr="004E5247">
              <w:rPr>
                <w:rFonts w:ascii="Palatino Linotype" w:eastAsia="Times New Roman" w:hAnsi="Palatino Linotype" w:cs="Times New Roman"/>
                <w:color w:val="000000"/>
              </w:rPr>
              <w:t>Benchmark</w:t>
            </w:r>
          </w:p>
        </w:tc>
        <w:tc>
          <w:tcPr>
            <w:tcW w:w="2337" w:type="dxa"/>
          </w:tcPr>
          <w:p w14:paraId="457A54F5" w14:textId="4F536B46" w:rsidR="000305FE" w:rsidRPr="00CC624D" w:rsidRDefault="000305FE" w:rsidP="00F810C1">
            <w:pPr>
              <w:rPr>
                <w:rFonts w:ascii="Palatino Linotype" w:eastAsia="Times New Roman" w:hAnsi="Palatino Linotype" w:cs="Times New Roman"/>
                <w:color w:val="000000"/>
              </w:rPr>
            </w:pPr>
            <w:r w:rsidRPr="000305FE">
              <w:rPr>
                <w:rFonts w:ascii="Palatino Linotype" w:eastAsia="Times New Roman" w:hAnsi="Palatino Linotype" w:cs="Times New Roman"/>
                <w:color w:val="000000"/>
              </w:rPr>
              <w:t>-0.133735</w:t>
            </w:r>
          </w:p>
        </w:tc>
        <w:tc>
          <w:tcPr>
            <w:tcW w:w="2337" w:type="dxa"/>
          </w:tcPr>
          <w:p w14:paraId="011A0C9B" w14:textId="2AE9D96A" w:rsidR="000305FE" w:rsidRPr="00CC624D" w:rsidRDefault="000305FE" w:rsidP="00F810C1">
            <w:pPr>
              <w:rPr>
                <w:rFonts w:ascii="Palatino Linotype" w:eastAsia="Times New Roman" w:hAnsi="Palatino Linotype" w:cs="Times New Roman"/>
                <w:color w:val="000000"/>
              </w:rPr>
            </w:pPr>
            <w:r w:rsidRPr="000305FE">
              <w:rPr>
                <w:rFonts w:ascii="Palatino Linotype" w:eastAsia="Times New Roman" w:hAnsi="Palatino Linotype" w:cs="Times New Roman"/>
                <w:color w:val="000000"/>
              </w:rPr>
              <w:t>0.008780</w:t>
            </w:r>
          </w:p>
        </w:tc>
        <w:tc>
          <w:tcPr>
            <w:tcW w:w="1910" w:type="dxa"/>
          </w:tcPr>
          <w:p w14:paraId="5F62425D" w14:textId="1F2BA66A" w:rsidR="000305FE" w:rsidRPr="00CC624D" w:rsidRDefault="000305FE" w:rsidP="00F810C1">
            <w:pPr>
              <w:rPr>
                <w:rFonts w:ascii="Palatino Linotype" w:eastAsia="Times New Roman" w:hAnsi="Palatino Linotype" w:cs="Times New Roman"/>
                <w:color w:val="000000"/>
              </w:rPr>
            </w:pPr>
            <w:r w:rsidRPr="000305FE">
              <w:rPr>
                <w:rFonts w:ascii="Palatino Linotype" w:eastAsia="Times New Roman" w:hAnsi="Palatino Linotype" w:cs="Times New Roman"/>
                <w:color w:val="000000"/>
              </w:rPr>
              <w:t>-0.000246</w:t>
            </w:r>
          </w:p>
        </w:tc>
      </w:tr>
      <w:tr w:rsidR="000305FE" w14:paraId="36E9D4E9" w14:textId="77777777" w:rsidTr="00F810C1">
        <w:tc>
          <w:tcPr>
            <w:tcW w:w="2336" w:type="dxa"/>
          </w:tcPr>
          <w:p w14:paraId="1F35F8FB" w14:textId="77777777" w:rsidR="000305FE" w:rsidRDefault="000305FE" w:rsidP="00F810C1">
            <w:pPr>
              <w:rPr>
                <w:rFonts w:ascii="Palatino Linotype" w:eastAsia="Times New Roman" w:hAnsi="Palatino Linotype" w:cs="Times New Roman"/>
                <w:color w:val="000000"/>
                <w:sz w:val="16"/>
              </w:rPr>
            </w:pPr>
            <w:r>
              <w:rPr>
                <w:rFonts w:ascii="Palatino Linotype" w:eastAsia="Times New Roman" w:hAnsi="Palatino Linotype" w:cs="Times New Roman"/>
                <w:color w:val="000000"/>
              </w:rPr>
              <w:t>Manual Strategy</w:t>
            </w:r>
          </w:p>
        </w:tc>
        <w:tc>
          <w:tcPr>
            <w:tcW w:w="2337" w:type="dxa"/>
          </w:tcPr>
          <w:p w14:paraId="749D7CAA" w14:textId="540D0D3D" w:rsidR="000305FE" w:rsidRPr="00CC624D" w:rsidRDefault="000305FE" w:rsidP="00F810C1">
            <w:pPr>
              <w:rPr>
                <w:rFonts w:ascii="Palatino Linotype" w:eastAsia="Times New Roman" w:hAnsi="Palatino Linotype" w:cs="Times New Roman"/>
                <w:color w:val="000000"/>
              </w:rPr>
            </w:pPr>
            <w:r w:rsidRPr="000305FE">
              <w:rPr>
                <w:rFonts w:ascii="Palatino Linotype" w:eastAsia="Times New Roman" w:hAnsi="Palatino Linotype" w:cs="Times New Roman"/>
                <w:color w:val="000000"/>
              </w:rPr>
              <w:t>0.046545</w:t>
            </w:r>
          </w:p>
        </w:tc>
        <w:tc>
          <w:tcPr>
            <w:tcW w:w="2337" w:type="dxa"/>
          </w:tcPr>
          <w:p w14:paraId="58C46A89" w14:textId="417BBDE5" w:rsidR="000305FE" w:rsidRPr="00CC624D" w:rsidRDefault="000305FE" w:rsidP="00F810C1">
            <w:pPr>
              <w:rPr>
                <w:rFonts w:ascii="Palatino Linotype" w:eastAsia="Times New Roman" w:hAnsi="Palatino Linotype" w:cs="Times New Roman"/>
                <w:color w:val="000000"/>
              </w:rPr>
            </w:pPr>
            <w:r w:rsidRPr="000305FE">
              <w:rPr>
                <w:rFonts w:ascii="Palatino Linotype" w:eastAsia="Times New Roman" w:hAnsi="Palatino Linotype" w:cs="Times New Roman"/>
                <w:color w:val="000000"/>
              </w:rPr>
              <w:t>0.007999</w:t>
            </w:r>
          </w:p>
        </w:tc>
        <w:tc>
          <w:tcPr>
            <w:tcW w:w="1910" w:type="dxa"/>
          </w:tcPr>
          <w:p w14:paraId="0237EF74" w14:textId="1D7D625B" w:rsidR="000305FE" w:rsidRPr="00CC624D" w:rsidRDefault="000305FE" w:rsidP="00F810C1">
            <w:pPr>
              <w:rPr>
                <w:rFonts w:ascii="Palatino Linotype" w:eastAsia="Times New Roman" w:hAnsi="Palatino Linotype" w:cs="Times New Roman"/>
                <w:color w:val="000000"/>
              </w:rPr>
            </w:pPr>
            <w:r w:rsidRPr="000305FE">
              <w:rPr>
                <w:rFonts w:ascii="Palatino Linotype" w:eastAsia="Times New Roman" w:hAnsi="Palatino Linotype" w:cs="Times New Roman"/>
                <w:color w:val="000000"/>
              </w:rPr>
              <w:t>0.000122</w:t>
            </w:r>
          </w:p>
        </w:tc>
      </w:tr>
    </w:tbl>
    <w:p w14:paraId="27AF9DD4" w14:textId="2E578246" w:rsidR="004E5247" w:rsidRDefault="004E5247" w:rsidP="000305FE">
      <w:pPr>
        <w:rPr>
          <w:rFonts w:ascii="Palatino Linotype" w:eastAsia="Times New Roman" w:hAnsi="Palatino Linotype" w:cs="Times New Roman"/>
          <w:i/>
          <w:color w:val="000000"/>
          <w:sz w:val="16"/>
        </w:rPr>
      </w:pPr>
    </w:p>
    <w:p w14:paraId="375A6C17" w14:textId="7D7C22B6" w:rsidR="0035349F" w:rsidRPr="00B07802" w:rsidRDefault="000305FE" w:rsidP="00B07802">
      <w:pPr>
        <w:ind w:left="720"/>
        <w:rPr>
          <w:rFonts w:ascii="Palatino Linotype" w:eastAsia="Times New Roman" w:hAnsi="Palatino Linotype" w:cs="Times New Roman"/>
          <w:i/>
          <w:color w:val="000000"/>
          <w:sz w:val="16"/>
        </w:rPr>
      </w:pPr>
      <w:r>
        <w:rPr>
          <w:rFonts w:ascii="Palatino Linotype" w:eastAsia="Times New Roman" w:hAnsi="Palatino Linotype" w:cs="Times New Roman"/>
          <w:i/>
          <w:color w:val="000000"/>
          <w:sz w:val="16"/>
        </w:rPr>
        <w:t>Table 2</w:t>
      </w:r>
      <w:r w:rsidRPr="004E5247">
        <w:rPr>
          <w:rFonts w:ascii="Palatino Linotype" w:eastAsia="Times New Roman" w:hAnsi="Palatino Linotype" w:cs="Times New Roman"/>
          <w:i/>
          <w:color w:val="000000"/>
          <w:sz w:val="16"/>
        </w:rPr>
        <w:t>—</w:t>
      </w:r>
      <w:r w:rsidRPr="00CC624D">
        <w:rPr>
          <w:rFonts w:ascii="Palatino Linotype" w:eastAsia="Times New Roman" w:hAnsi="Palatino Linotype" w:cs="Times New Roman"/>
          <w:i/>
          <w:color w:val="000000"/>
          <w:sz w:val="16"/>
        </w:rPr>
        <w:t xml:space="preserve"> </w:t>
      </w:r>
      <w:r>
        <w:rPr>
          <w:rFonts w:ascii="Palatino Linotype" w:eastAsia="Times New Roman" w:hAnsi="Palatino Linotype" w:cs="Times New Roman"/>
          <w:i/>
          <w:color w:val="000000"/>
          <w:sz w:val="16"/>
        </w:rPr>
        <w:t>This table compares the</w:t>
      </w:r>
      <w:r w:rsidRPr="00CC624D">
        <w:rPr>
          <w:rFonts w:ascii="Palatino Linotype" w:eastAsia="Times New Roman" w:hAnsi="Palatino Linotype" w:cs="Times New Roman"/>
          <w:i/>
          <w:color w:val="000000"/>
          <w:sz w:val="16"/>
          <w:szCs w:val="16"/>
        </w:rPr>
        <w:t xml:space="preserve"> </w:t>
      </w:r>
      <w:r>
        <w:rPr>
          <w:rFonts w:ascii="Palatino Linotype" w:eastAsia="Times New Roman" w:hAnsi="Palatino Linotype" w:cs="Times New Roman"/>
          <w:i/>
          <w:color w:val="000000"/>
          <w:sz w:val="16"/>
          <w:szCs w:val="16"/>
        </w:rPr>
        <w:t>cumulative return, standard deviation, and mean calculations of the</w:t>
      </w:r>
      <w:r>
        <w:rPr>
          <w:rFonts w:ascii="Palatino Linotype" w:eastAsia="Times New Roman" w:hAnsi="Palatino Linotype" w:cs="Times New Roman"/>
          <w:i/>
          <w:color w:val="000000"/>
          <w:sz w:val="16"/>
        </w:rPr>
        <w:t xml:space="preserve"> </w:t>
      </w:r>
      <w:r w:rsidR="001B7314">
        <w:rPr>
          <w:rFonts w:ascii="Palatino Linotype" w:eastAsia="Times New Roman" w:hAnsi="Palatino Linotype" w:cs="Times New Roman"/>
          <w:i/>
          <w:color w:val="000000"/>
          <w:sz w:val="16"/>
        </w:rPr>
        <w:t>manual strategy</w:t>
      </w:r>
      <w:r w:rsidR="00B32CC4">
        <w:rPr>
          <w:rFonts w:ascii="Palatino Linotype" w:eastAsia="Times New Roman" w:hAnsi="Palatino Linotype" w:cs="Times New Roman"/>
          <w:i/>
          <w:color w:val="000000"/>
          <w:sz w:val="16"/>
        </w:rPr>
        <w:t xml:space="preserve"> and b</w:t>
      </w:r>
      <w:r w:rsidRPr="004E5247">
        <w:rPr>
          <w:rFonts w:ascii="Palatino Linotype" w:eastAsia="Times New Roman" w:hAnsi="Palatino Linotype" w:cs="Times New Roman"/>
          <w:i/>
          <w:color w:val="000000"/>
          <w:sz w:val="16"/>
        </w:rPr>
        <w:t>enchmark results in regards to JPM prices</w:t>
      </w:r>
      <w:r w:rsidR="001B7314">
        <w:rPr>
          <w:rFonts w:ascii="Palatino Linotype" w:eastAsia="Times New Roman" w:hAnsi="Palatino Linotype" w:cs="Times New Roman"/>
          <w:i/>
          <w:color w:val="000000"/>
          <w:sz w:val="16"/>
        </w:rPr>
        <w:t xml:space="preserve"> </w:t>
      </w:r>
      <w:r w:rsidR="001B7314">
        <w:rPr>
          <w:rFonts w:ascii="Palatino Linotype" w:eastAsia="Times New Roman" w:hAnsi="Palatino Linotype" w:cs="Times New Roman"/>
          <w:i/>
          <w:color w:val="000000"/>
          <w:sz w:val="16"/>
        </w:rPr>
        <w:t xml:space="preserve">during </w:t>
      </w:r>
      <w:r w:rsidR="001B7314">
        <w:rPr>
          <w:rFonts w:ascii="Palatino Linotype" w:eastAsia="Times New Roman" w:hAnsi="Palatino Linotype" w:cs="Times New Roman"/>
          <w:i/>
          <w:color w:val="000000"/>
          <w:sz w:val="16"/>
        </w:rPr>
        <w:t>an</w:t>
      </w:r>
      <w:r w:rsidR="001B7314">
        <w:rPr>
          <w:rFonts w:ascii="Palatino Linotype" w:eastAsia="Times New Roman" w:hAnsi="Palatino Linotype" w:cs="Times New Roman"/>
          <w:i/>
          <w:color w:val="000000"/>
          <w:sz w:val="16"/>
        </w:rPr>
        <w:t xml:space="preserve"> </w:t>
      </w:r>
      <w:r w:rsidR="001B7314">
        <w:rPr>
          <w:rFonts w:ascii="Palatino Linotype" w:eastAsia="Times New Roman" w:hAnsi="Palatino Linotype" w:cs="Times New Roman"/>
          <w:i/>
          <w:color w:val="000000"/>
          <w:sz w:val="16"/>
        </w:rPr>
        <w:t>out-of</w:t>
      </w:r>
      <w:r w:rsidR="001B7314" w:rsidRPr="004E5247">
        <w:rPr>
          <w:rFonts w:ascii="Palatino Linotype" w:eastAsia="Times New Roman" w:hAnsi="Palatino Linotype" w:cs="Times New Roman"/>
          <w:i/>
          <w:color w:val="000000"/>
          <w:sz w:val="16"/>
        </w:rPr>
        <w:t>-sample time period</w:t>
      </w:r>
      <w:r w:rsidR="008B4FB4">
        <w:rPr>
          <w:rFonts w:ascii="Palatino Linotype" w:eastAsia="Times New Roman" w:hAnsi="Palatino Linotype" w:cs="Times New Roman"/>
          <w:i/>
          <w:color w:val="000000"/>
          <w:sz w:val="16"/>
        </w:rPr>
        <w:t>.</w:t>
      </w:r>
    </w:p>
    <w:p w14:paraId="4B02DD60" w14:textId="74EF093F" w:rsidR="0035349F" w:rsidRDefault="005D41FF" w:rsidP="00E03363">
      <w:pPr>
        <w:rPr>
          <w:rFonts w:ascii="Palatino Linotype" w:eastAsia="Times New Roman" w:hAnsi="Palatino Linotype" w:cs="Times New Roman"/>
          <w:b/>
          <w:color w:val="000000"/>
        </w:rPr>
      </w:pPr>
      <w:r>
        <w:rPr>
          <w:rFonts w:ascii="Palatino Linotype" w:eastAsia="Times New Roman" w:hAnsi="Palatino Linotype" w:cs="Times New Roman"/>
          <w:b/>
          <w:color w:val="000000"/>
        </w:rPr>
        <w:t>3.3 Evaluate</w:t>
      </w:r>
    </w:p>
    <w:p w14:paraId="3E281DD8" w14:textId="604B6E02" w:rsidR="00425CDE" w:rsidRPr="00425CDE" w:rsidRDefault="00425CDE" w:rsidP="00E03363">
      <w:pPr>
        <w:rPr>
          <w:rFonts w:ascii="Palatino Linotype" w:eastAsia="Times New Roman" w:hAnsi="Palatino Linotype" w:cs="Times New Roman"/>
          <w:color w:val="000000"/>
        </w:rPr>
      </w:pPr>
      <w:r w:rsidRPr="00425CDE">
        <w:rPr>
          <w:rFonts w:ascii="Palatino Linotype" w:eastAsia="Times New Roman" w:hAnsi="Palatino Linotype" w:cs="Times New Roman"/>
          <w:color w:val="000000"/>
        </w:rPr>
        <w:t xml:space="preserve">The out-of-sample period provides an important test of the </w:t>
      </w:r>
      <w:r w:rsidR="00B311B1">
        <w:rPr>
          <w:rFonts w:ascii="Palatino Linotype" w:eastAsia="Times New Roman" w:hAnsi="Palatino Linotype" w:cs="Times New Roman"/>
          <w:color w:val="000000"/>
        </w:rPr>
        <w:t>performance</w:t>
      </w:r>
      <w:r w:rsidRPr="00425CDE">
        <w:rPr>
          <w:rFonts w:ascii="Palatino Linotype" w:eastAsia="Times New Roman" w:hAnsi="Palatino Linotype" w:cs="Times New Roman"/>
          <w:color w:val="000000"/>
        </w:rPr>
        <w:t xml:space="preserve"> of </w:t>
      </w:r>
      <w:r w:rsidR="00B311B1">
        <w:rPr>
          <w:rFonts w:ascii="Palatino Linotype" w:eastAsia="Times New Roman" w:hAnsi="Palatino Linotype" w:cs="Times New Roman"/>
          <w:color w:val="000000"/>
        </w:rPr>
        <w:t>the manual s</w:t>
      </w:r>
      <w:r w:rsidRPr="00425CDE">
        <w:rPr>
          <w:rFonts w:ascii="Palatino Linotype" w:eastAsia="Times New Roman" w:hAnsi="Palatino Linotype" w:cs="Times New Roman"/>
          <w:color w:val="000000"/>
        </w:rPr>
        <w:t>trategy,</w:t>
      </w:r>
      <w:r w:rsidR="00B311B1">
        <w:rPr>
          <w:rFonts w:ascii="Palatino Linotype" w:eastAsia="Times New Roman" w:hAnsi="Palatino Linotype" w:cs="Times New Roman"/>
          <w:color w:val="000000"/>
        </w:rPr>
        <w:t xml:space="preserve"> as it allows </w:t>
      </w:r>
      <w:r w:rsidRPr="00425CDE">
        <w:rPr>
          <w:rFonts w:ascii="Palatino Linotype" w:eastAsia="Times New Roman" w:hAnsi="Palatino Linotype" w:cs="Times New Roman"/>
          <w:color w:val="000000"/>
        </w:rPr>
        <w:t xml:space="preserve">performance </w:t>
      </w:r>
      <w:r w:rsidR="00B311B1">
        <w:rPr>
          <w:rFonts w:ascii="Palatino Linotype" w:eastAsia="Times New Roman" w:hAnsi="Palatino Linotype" w:cs="Times New Roman"/>
          <w:color w:val="000000"/>
        </w:rPr>
        <w:t>evaluati</w:t>
      </w:r>
      <w:r w:rsidRPr="00425CDE">
        <w:rPr>
          <w:rFonts w:ascii="Palatino Linotype" w:eastAsia="Times New Roman" w:hAnsi="Palatino Linotype" w:cs="Times New Roman"/>
          <w:color w:val="000000"/>
        </w:rPr>
        <w:t xml:space="preserve">on </w:t>
      </w:r>
      <w:r w:rsidR="00B311B1">
        <w:rPr>
          <w:rFonts w:ascii="Palatino Linotype" w:eastAsia="Times New Roman" w:hAnsi="Palatino Linotype" w:cs="Times New Roman"/>
          <w:color w:val="000000"/>
        </w:rPr>
        <w:t xml:space="preserve">on </w:t>
      </w:r>
      <w:r w:rsidRPr="00425CDE">
        <w:rPr>
          <w:rFonts w:ascii="Palatino Linotype" w:eastAsia="Times New Roman" w:hAnsi="Palatino Linotype" w:cs="Times New Roman"/>
          <w:color w:val="000000"/>
        </w:rPr>
        <w:t xml:space="preserve">new and unseen data. As mentioned </w:t>
      </w:r>
      <w:r w:rsidR="00B311B1" w:rsidRPr="00425CDE">
        <w:rPr>
          <w:rFonts w:ascii="Palatino Linotype" w:eastAsia="Times New Roman" w:hAnsi="Palatino Linotype" w:cs="Times New Roman"/>
          <w:color w:val="000000"/>
        </w:rPr>
        <w:t>e</w:t>
      </w:r>
      <w:r w:rsidR="00B311B1">
        <w:rPr>
          <w:rFonts w:ascii="Palatino Linotype" w:eastAsia="Times New Roman" w:hAnsi="Palatino Linotype" w:cs="Times New Roman"/>
          <w:color w:val="000000"/>
        </w:rPr>
        <w:t>arlier</w:t>
      </w:r>
      <w:r w:rsidRPr="00425CDE">
        <w:rPr>
          <w:rFonts w:ascii="Palatino Linotype" w:eastAsia="Times New Roman" w:hAnsi="Palatino Linotype" w:cs="Times New Roman"/>
          <w:color w:val="000000"/>
        </w:rPr>
        <w:t xml:space="preserve">, </w:t>
      </w:r>
      <w:r w:rsidR="00B311B1">
        <w:rPr>
          <w:rFonts w:ascii="Palatino Linotype" w:eastAsia="Times New Roman" w:hAnsi="Palatino Linotype" w:cs="Times New Roman"/>
          <w:color w:val="000000"/>
        </w:rPr>
        <w:t>the manual s</w:t>
      </w:r>
      <w:r w:rsidRPr="00425CDE">
        <w:rPr>
          <w:rFonts w:ascii="Palatino Linotype" w:eastAsia="Times New Roman" w:hAnsi="Palatino Linotype" w:cs="Times New Roman"/>
          <w:color w:val="000000"/>
        </w:rPr>
        <w:t>trategy performed slightly worse than the benchmark up until September/October 2010 during the out-of-sample period.</w:t>
      </w:r>
      <w:r w:rsidR="00B311B1">
        <w:rPr>
          <w:rFonts w:ascii="Palatino Linotype" w:eastAsia="Times New Roman" w:hAnsi="Palatino Linotype" w:cs="Times New Roman"/>
          <w:color w:val="000000"/>
        </w:rPr>
        <w:t xml:space="preserve"> </w:t>
      </w:r>
      <w:r w:rsidR="00B311B1" w:rsidRPr="00B311B1">
        <w:rPr>
          <w:rFonts w:ascii="Palatino Linotype" w:eastAsia="Times New Roman" w:hAnsi="Palatino Linotype" w:cs="Times New Roman"/>
          <w:color w:val="000000"/>
        </w:rPr>
        <w:t xml:space="preserve">There could be several reasons </w:t>
      </w:r>
      <w:r w:rsidR="00B311B1">
        <w:rPr>
          <w:rFonts w:ascii="Palatino Linotype" w:eastAsia="Times New Roman" w:hAnsi="Palatino Linotype" w:cs="Times New Roman"/>
          <w:color w:val="000000"/>
        </w:rPr>
        <w:t xml:space="preserve">for the cause of the underperformance </w:t>
      </w:r>
      <w:r w:rsidR="00B311B1" w:rsidRPr="00B311B1">
        <w:rPr>
          <w:rFonts w:ascii="Palatino Linotype" w:eastAsia="Times New Roman" w:hAnsi="Palatino Linotype" w:cs="Times New Roman"/>
          <w:color w:val="000000"/>
        </w:rPr>
        <w:t xml:space="preserve">during this period. One possible </w:t>
      </w:r>
      <w:r w:rsidR="00B311B1">
        <w:rPr>
          <w:rFonts w:ascii="Palatino Linotype" w:eastAsia="Times New Roman" w:hAnsi="Palatino Linotype" w:cs="Times New Roman"/>
          <w:color w:val="000000"/>
        </w:rPr>
        <w:t>reason could be overfitting during the in-sample time period, which we can see occurs around March/April 2008</w:t>
      </w:r>
      <w:r w:rsidR="00A154E8">
        <w:rPr>
          <w:rFonts w:ascii="Palatino Linotype" w:eastAsia="Times New Roman" w:hAnsi="Palatino Linotype" w:cs="Times New Roman"/>
          <w:color w:val="000000"/>
        </w:rPr>
        <w:t xml:space="preserve"> in Figure 1</w:t>
      </w:r>
      <w:r w:rsidR="00B311B1">
        <w:rPr>
          <w:rFonts w:ascii="Palatino Linotype" w:eastAsia="Times New Roman" w:hAnsi="Palatino Linotype" w:cs="Times New Roman"/>
          <w:color w:val="000000"/>
        </w:rPr>
        <w:t xml:space="preserve"> right at the beginning. The algorithm used for this strategy performs well using historical data</w:t>
      </w:r>
      <w:r w:rsidR="00A154E8">
        <w:rPr>
          <w:rFonts w:ascii="Palatino Linotype" w:eastAsia="Times New Roman" w:hAnsi="Palatino Linotype" w:cs="Times New Roman"/>
          <w:color w:val="000000"/>
        </w:rPr>
        <w:t xml:space="preserve">. So using a whole new time period, a whole year in between the in-sample and out-of-sample time periods to be exact, may cause some variation. Even though the out-of-sample results did not have a strong start, it still out performed the benchmark results </w:t>
      </w:r>
      <w:r w:rsidR="00B93605">
        <w:rPr>
          <w:rFonts w:ascii="Palatino Linotype" w:eastAsia="Times New Roman" w:hAnsi="Palatino Linotype" w:cs="Times New Roman"/>
          <w:color w:val="000000"/>
        </w:rPr>
        <w:t>overall</w:t>
      </w:r>
      <w:r w:rsidR="00A154E8">
        <w:rPr>
          <w:rFonts w:ascii="Palatino Linotype" w:eastAsia="Times New Roman" w:hAnsi="Palatino Linotype" w:cs="Times New Roman"/>
          <w:color w:val="000000"/>
        </w:rPr>
        <w:t>.</w:t>
      </w:r>
    </w:p>
    <w:p w14:paraId="4A9CD920" w14:textId="5A68DAA6" w:rsidR="00425CDE" w:rsidRDefault="00E03363" w:rsidP="005D41FF">
      <w:pPr>
        <w:rPr>
          <w:rFonts w:ascii="Palatino Linotype" w:eastAsia="Times New Roman" w:hAnsi="Palatino Linotype" w:cs="Times New Roman"/>
          <w:b/>
          <w:color w:val="000000"/>
        </w:rPr>
      </w:pPr>
      <w:r>
        <w:rPr>
          <w:rFonts w:ascii="Palatino Linotype" w:eastAsia="Times New Roman" w:hAnsi="Palatino Linotype" w:cs="Times New Roman"/>
          <w:b/>
          <w:color w:val="000000"/>
        </w:rPr>
        <w:t xml:space="preserve">4 </w:t>
      </w:r>
      <w:r w:rsidR="005D41FF">
        <w:rPr>
          <w:rFonts w:ascii="Palatino Linotype" w:eastAsia="Times New Roman" w:hAnsi="Palatino Linotype" w:cs="Times New Roman"/>
          <w:b/>
          <w:color w:val="000000"/>
        </w:rPr>
        <w:t>STRATEGY LEARNER</w:t>
      </w:r>
    </w:p>
    <w:p w14:paraId="1A0D1435" w14:textId="65A3959C" w:rsidR="00C72A79" w:rsidRDefault="00C72A79" w:rsidP="00C72A79">
      <w:pPr>
        <w:rPr>
          <w:rFonts w:ascii="Palatino Linotype" w:eastAsia="Times New Roman" w:hAnsi="Palatino Linotype" w:cs="Times New Roman"/>
          <w:b/>
          <w:color w:val="000000"/>
        </w:rPr>
      </w:pPr>
      <w:r>
        <w:rPr>
          <w:rFonts w:ascii="Palatino Linotype" w:eastAsia="Times New Roman" w:hAnsi="Palatino Linotype" w:cs="Times New Roman"/>
          <w:b/>
          <w:color w:val="000000"/>
        </w:rPr>
        <w:t>4</w:t>
      </w:r>
      <w:r w:rsidRPr="008E5AE5">
        <w:rPr>
          <w:rFonts w:ascii="Palatino Linotype" w:eastAsia="Times New Roman" w:hAnsi="Palatino Linotype" w:cs="Times New Roman"/>
          <w:b/>
          <w:color w:val="000000"/>
        </w:rPr>
        <w:t>.</w:t>
      </w:r>
      <w:r>
        <w:rPr>
          <w:rFonts w:ascii="Palatino Linotype" w:eastAsia="Times New Roman" w:hAnsi="Palatino Linotype" w:cs="Times New Roman"/>
          <w:b/>
          <w:color w:val="000000"/>
        </w:rPr>
        <w:t>1</w:t>
      </w:r>
      <w:r w:rsidRPr="008E5AE5">
        <w:rPr>
          <w:rFonts w:ascii="Palatino Linotype" w:eastAsia="Times New Roman" w:hAnsi="Palatino Linotype" w:cs="Times New Roman"/>
          <w:b/>
          <w:color w:val="000000"/>
        </w:rPr>
        <w:t xml:space="preserve"> </w:t>
      </w:r>
      <w:r>
        <w:rPr>
          <w:rFonts w:ascii="Palatino Linotype" w:eastAsia="Times New Roman" w:hAnsi="Palatino Linotype" w:cs="Times New Roman"/>
          <w:b/>
          <w:color w:val="000000"/>
        </w:rPr>
        <w:t>Describe</w:t>
      </w:r>
    </w:p>
    <w:p w14:paraId="4FAF7E94" w14:textId="3E3C51FF" w:rsidR="001C7417" w:rsidRDefault="001C7417" w:rsidP="00C72A79">
      <w:pPr>
        <w:rPr>
          <w:rFonts w:ascii="Palatino Linotype" w:eastAsia="Times New Roman" w:hAnsi="Palatino Linotype" w:cs="Times New Roman"/>
          <w:color w:val="000000"/>
        </w:rPr>
      </w:pPr>
      <w:r w:rsidRPr="001C7417">
        <w:rPr>
          <w:rFonts w:ascii="Palatino Linotype" w:eastAsia="Times New Roman" w:hAnsi="Palatino Linotype" w:cs="Times New Roman"/>
          <w:color w:val="000000"/>
        </w:rPr>
        <w:t xml:space="preserve">To frame the trading problem as a learning problem for </w:t>
      </w:r>
      <w:r w:rsidR="00CB305F">
        <w:rPr>
          <w:rFonts w:ascii="Palatino Linotype" w:eastAsia="Times New Roman" w:hAnsi="Palatino Linotype" w:cs="Times New Roman"/>
          <w:color w:val="000000"/>
        </w:rPr>
        <w:t>my</w:t>
      </w:r>
      <w:r w:rsidRPr="001C7417">
        <w:rPr>
          <w:rFonts w:ascii="Palatino Linotype" w:eastAsia="Times New Roman" w:hAnsi="Palatino Linotype" w:cs="Times New Roman"/>
          <w:color w:val="000000"/>
        </w:rPr>
        <w:t xml:space="preserve"> Random </w:t>
      </w:r>
      <w:r w:rsidR="00CB305F">
        <w:rPr>
          <w:rFonts w:ascii="Palatino Linotype" w:eastAsia="Times New Roman" w:hAnsi="Palatino Linotype" w:cs="Times New Roman"/>
          <w:color w:val="000000"/>
        </w:rPr>
        <w:t xml:space="preserve">Forest Learner, Random </w:t>
      </w:r>
      <w:r w:rsidRPr="001C7417">
        <w:rPr>
          <w:rFonts w:ascii="Palatino Linotype" w:eastAsia="Times New Roman" w:hAnsi="Palatino Linotype" w:cs="Times New Roman"/>
          <w:color w:val="000000"/>
        </w:rPr>
        <w:t>Tree Learner (</w:t>
      </w:r>
      <w:proofErr w:type="spellStart"/>
      <w:r w:rsidRPr="001C7417">
        <w:rPr>
          <w:rFonts w:ascii="Palatino Linotype" w:eastAsia="Times New Roman" w:hAnsi="Palatino Linotype" w:cs="Times New Roman"/>
          <w:color w:val="000000"/>
        </w:rPr>
        <w:t>RTLearner</w:t>
      </w:r>
      <w:proofErr w:type="spellEnd"/>
      <w:r w:rsidRPr="001C7417">
        <w:rPr>
          <w:rFonts w:ascii="Palatino Linotype" w:eastAsia="Times New Roman" w:hAnsi="Palatino Linotype" w:cs="Times New Roman"/>
          <w:color w:val="000000"/>
        </w:rPr>
        <w:t xml:space="preserve">) coupled with the </w:t>
      </w:r>
      <w:proofErr w:type="spellStart"/>
      <w:r w:rsidRPr="001C7417">
        <w:rPr>
          <w:rFonts w:ascii="Palatino Linotype" w:eastAsia="Times New Roman" w:hAnsi="Palatino Linotype" w:cs="Times New Roman"/>
          <w:color w:val="000000"/>
        </w:rPr>
        <w:t>BagLearner</w:t>
      </w:r>
      <w:proofErr w:type="spellEnd"/>
      <w:r w:rsidRPr="001C7417">
        <w:rPr>
          <w:rFonts w:ascii="Palatino Linotype" w:eastAsia="Times New Roman" w:hAnsi="Palatino Linotype" w:cs="Times New Roman"/>
          <w:color w:val="000000"/>
        </w:rPr>
        <w:t xml:space="preserve">, </w:t>
      </w:r>
      <w:r w:rsidR="00CB305F">
        <w:rPr>
          <w:rFonts w:ascii="Palatino Linotype" w:eastAsia="Times New Roman" w:hAnsi="Palatino Linotype" w:cs="Times New Roman"/>
          <w:color w:val="000000"/>
        </w:rPr>
        <w:t>I used the following steps</w:t>
      </w:r>
      <w:r w:rsidRPr="001C7417">
        <w:rPr>
          <w:rFonts w:ascii="Palatino Linotype" w:eastAsia="Times New Roman" w:hAnsi="Palatino Linotype" w:cs="Times New Roman"/>
          <w:color w:val="000000"/>
        </w:rPr>
        <w:t>.</w:t>
      </w:r>
    </w:p>
    <w:p w14:paraId="2B226C18" w14:textId="20C7E32D" w:rsidR="00CB305F" w:rsidRDefault="00CB305F" w:rsidP="00C72A79">
      <w:pPr>
        <w:rPr>
          <w:rFonts w:ascii="Palatino Linotype" w:eastAsia="Times New Roman" w:hAnsi="Palatino Linotype" w:cs="Times New Roman"/>
          <w:color w:val="000000"/>
        </w:rPr>
      </w:pPr>
      <w:r w:rsidRPr="00CB305F">
        <w:rPr>
          <w:rFonts w:ascii="Palatino Linotype" w:eastAsia="Times New Roman" w:hAnsi="Palatino Linotype" w:cs="Times New Roman"/>
          <w:color w:val="000000"/>
        </w:rPr>
        <w:t xml:space="preserve">First, </w:t>
      </w:r>
      <w:r w:rsidR="00836CCD">
        <w:rPr>
          <w:rFonts w:ascii="Palatino Linotype" w:eastAsia="Times New Roman" w:hAnsi="Palatino Linotype" w:cs="Times New Roman"/>
          <w:color w:val="000000"/>
        </w:rPr>
        <w:t>I</w:t>
      </w:r>
      <w:r w:rsidRPr="00CB305F">
        <w:rPr>
          <w:rFonts w:ascii="Palatino Linotype" w:eastAsia="Times New Roman" w:hAnsi="Palatino Linotype" w:cs="Times New Roman"/>
          <w:color w:val="000000"/>
        </w:rPr>
        <w:t xml:space="preserve"> </w:t>
      </w:r>
      <w:r w:rsidR="00836CCD">
        <w:rPr>
          <w:rFonts w:ascii="Palatino Linotype" w:eastAsia="Times New Roman" w:hAnsi="Palatino Linotype" w:cs="Times New Roman"/>
          <w:color w:val="000000"/>
        </w:rPr>
        <w:t>used the same three indicators</w:t>
      </w:r>
      <w:r>
        <w:rPr>
          <w:rFonts w:ascii="Palatino Linotype" w:eastAsia="Times New Roman" w:hAnsi="Palatino Linotype" w:cs="Times New Roman"/>
          <w:color w:val="000000"/>
        </w:rPr>
        <w:t xml:space="preserve"> </w:t>
      </w:r>
      <w:r w:rsidR="00836CCD">
        <w:rPr>
          <w:rFonts w:ascii="Palatino Linotype" w:eastAsia="Times New Roman" w:hAnsi="Palatino Linotype" w:cs="Times New Roman"/>
          <w:color w:val="000000"/>
        </w:rPr>
        <w:t>(</w:t>
      </w:r>
      <w:r>
        <w:rPr>
          <w:rFonts w:ascii="Palatino Linotype" w:eastAsia="Times New Roman" w:hAnsi="Palatino Linotype" w:cs="Times New Roman"/>
          <w:color w:val="000000"/>
        </w:rPr>
        <w:t>%B, PPO, and MACD</w:t>
      </w:r>
      <w:r w:rsidR="00836CCD">
        <w:rPr>
          <w:rFonts w:ascii="Palatino Linotype" w:eastAsia="Times New Roman" w:hAnsi="Palatino Linotype" w:cs="Times New Roman"/>
          <w:color w:val="000000"/>
        </w:rPr>
        <w:t>)</w:t>
      </w:r>
      <w:r>
        <w:rPr>
          <w:rFonts w:ascii="Palatino Linotype" w:eastAsia="Times New Roman" w:hAnsi="Palatino Linotype" w:cs="Times New Roman"/>
          <w:color w:val="000000"/>
        </w:rPr>
        <w:t xml:space="preserve"> </w:t>
      </w:r>
      <w:r w:rsidRPr="00CB305F">
        <w:rPr>
          <w:rFonts w:ascii="Palatino Linotype" w:eastAsia="Times New Roman" w:hAnsi="Palatino Linotype" w:cs="Times New Roman"/>
          <w:color w:val="000000"/>
        </w:rPr>
        <w:t xml:space="preserve">as in </w:t>
      </w:r>
      <w:r>
        <w:rPr>
          <w:rFonts w:ascii="Palatino Linotype" w:eastAsia="Times New Roman" w:hAnsi="Palatino Linotype" w:cs="Times New Roman"/>
          <w:color w:val="000000"/>
        </w:rPr>
        <w:t>the</w:t>
      </w:r>
      <w:r w:rsidRPr="00CB305F">
        <w:rPr>
          <w:rFonts w:ascii="Palatino Linotype" w:eastAsia="Times New Roman" w:hAnsi="Palatino Linotype" w:cs="Times New Roman"/>
          <w:color w:val="000000"/>
        </w:rPr>
        <w:t xml:space="preserve"> manual strategy. However, instead of returning training signals, </w:t>
      </w:r>
      <w:r>
        <w:rPr>
          <w:rFonts w:ascii="Palatino Linotype" w:eastAsia="Times New Roman" w:hAnsi="Palatino Linotype" w:cs="Times New Roman"/>
          <w:color w:val="000000"/>
        </w:rPr>
        <w:t>I</w:t>
      </w:r>
      <w:r w:rsidRPr="00CB305F">
        <w:rPr>
          <w:rFonts w:ascii="Palatino Linotype" w:eastAsia="Times New Roman" w:hAnsi="Palatino Linotype" w:cs="Times New Roman"/>
          <w:color w:val="000000"/>
        </w:rPr>
        <w:t xml:space="preserve"> simply returned the raw results from these indicators.</w:t>
      </w:r>
      <w:r>
        <w:rPr>
          <w:rFonts w:ascii="Palatino Linotype" w:eastAsia="Times New Roman" w:hAnsi="Palatino Linotype" w:cs="Times New Roman"/>
          <w:color w:val="000000"/>
        </w:rPr>
        <w:t xml:space="preserve"> Using the</w:t>
      </w:r>
      <w:r w:rsidRPr="00CB305F">
        <w:rPr>
          <w:rFonts w:ascii="Palatino Linotype" w:eastAsia="Times New Roman" w:hAnsi="Palatino Linotype" w:cs="Times New Roman"/>
          <w:color w:val="000000"/>
        </w:rPr>
        <w:t xml:space="preserve"> raw results</w:t>
      </w:r>
      <w:r>
        <w:rPr>
          <w:rFonts w:ascii="Palatino Linotype" w:eastAsia="Times New Roman" w:hAnsi="Palatino Linotype" w:cs="Times New Roman"/>
          <w:color w:val="000000"/>
        </w:rPr>
        <w:t xml:space="preserve">, I </w:t>
      </w:r>
      <w:r w:rsidRPr="00CB305F">
        <w:rPr>
          <w:rFonts w:ascii="Palatino Linotype" w:eastAsia="Times New Roman" w:hAnsi="Palatino Linotype" w:cs="Times New Roman"/>
          <w:color w:val="000000"/>
        </w:rPr>
        <w:t>generate</w:t>
      </w:r>
      <w:r>
        <w:rPr>
          <w:rFonts w:ascii="Palatino Linotype" w:eastAsia="Times New Roman" w:hAnsi="Palatino Linotype" w:cs="Times New Roman"/>
          <w:color w:val="000000"/>
        </w:rPr>
        <w:t>d</w:t>
      </w:r>
      <w:r w:rsidRPr="00CB305F">
        <w:rPr>
          <w:rFonts w:ascii="Palatino Linotype" w:eastAsia="Times New Roman" w:hAnsi="Palatino Linotype" w:cs="Times New Roman"/>
          <w:color w:val="000000"/>
        </w:rPr>
        <w:t xml:space="preserve"> three </w:t>
      </w:r>
      <w:r>
        <w:rPr>
          <w:rFonts w:ascii="Palatino Linotype" w:eastAsia="Times New Roman" w:hAnsi="Palatino Linotype" w:cs="Times New Roman"/>
          <w:color w:val="000000"/>
        </w:rPr>
        <w:t xml:space="preserve">new </w:t>
      </w:r>
      <w:r w:rsidRPr="00CB305F">
        <w:rPr>
          <w:rFonts w:ascii="Palatino Linotype" w:eastAsia="Times New Roman" w:hAnsi="Palatino Linotype" w:cs="Times New Roman"/>
          <w:color w:val="000000"/>
        </w:rPr>
        <w:t xml:space="preserve">data frames, which were used as the train/test x data for </w:t>
      </w:r>
      <w:r>
        <w:rPr>
          <w:rFonts w:ascii="Palatino Linotype" w:eastAsia="Times New Roman" w:hAnsi="Palatino Linotype" w:cs="Times New Roman"/>
          <w:color w:val="000000"/>
        </w:rPr>
        <w:t>my</w:t>
      </w:r>
      <w:r w:rsidRPr="00CB305F">
        <w:rPr>
          <w:rFonts w:ascii="Palatino Linotype" w:eastAsia="Times New Roman" w:hAnsi="Palatino Linotype" w:cs="Times New Roman"/>
          <w:color w:val="000000"/>
        </w:rPr>
        <w:t xml:space="preserve"> learner. To generate the train y data, </w:t>
      </w:r>
      <w:r>
        <w:rPr>
          <w:rFonts w:ascii="Palatino Linotype" w:eastAsia="Times New Roman" w:hAnsi="Palatino Linotype" w:cs="Times New Roman"/>
          <w:color w:val="000000"/>
        </w:rPr>
        <w:t>I</w:t>
      </w:r>
      <w:r w:rsidRPr="00CB305F">
        <w:rPr>
          <w:rFonts w:ascii="Palatino Linotype" w:eastAsia="Times New Roman" w:hAnsi="Palatino Linotype" w:cs="Times New Roman"/>
          <w:color w:val="000000"/>
        </w:rPr>
        <w:t xml:space="preserve"> utilized a classification trader algorithm that </w:t>
      </w:r>
      <w:r>
        <w:rPr>
          <w:rFonts w:ascii="Palatino Linotype" w:eastAsia="Times New Roman" w:hAnsi="Palatino Linotype" w:cs="Times New Roman"/>
          <w:color w:val="000000"/>
        </w:rPr>
        <w:t>used</w:t>
      </w:r>
      <w:r w:rsidRPr="00CB305F">
        <w:rPr>
          <w:rFonts w:ascii="Palatino Linotype" w:eastAsia="Times New Roman" w:hAnsi="Palatino Linotype" w:cs="Times New Roman"/>
          <w:color w:val="000000"/>
        </w:rPr>
        <w:t xml:space="preserve"> JPM prices </w:t>
      </w:r>
      <w:r>
        <w:rPr>
          <w:rFonts w:ascii="Palatino Linotype" w:eastAsia="Times New Roman" w:hAnsi="Palatino Linotype" w:cs="Times New Roman"/>
          <w:color w:val="000000"/>
        </w:rPr>
        <w:t>to calculate</w:t>
      </w:r>
      <w:r w:rsidRPr="00CB305F">
        <w:rPr>
          <w:rFonts w:ascii="Palatino Linotype" w:eastAsia="Times New Roman" w:hAnsi="Palatino Linotype" w:cs="Times New Roman"/>
          <w:color w:val="000000"/>
        </w:rPr>
        <w:t xml:space="preserve"> YBUY and YSELL values determined by a lookback period, N day returns, and a </w:t>
      </w:r>
      <w:r w:rsidR="00836CCD">
        <w:rPr>
          <w:rFonts w:ascii="Palatino Linotype" w:eastAsia="Times New Roman" w:hAnsi="Palatino Linotype" w:cs="Times New Roman"/>
          <w:color w:val="000000"/>
        </w:rPr>
        <w:t>y-</w:t>
      </w:r>
      <w:r w:rsidRPr="00CB305F">
        <w:rPr>
          <w:rFonts w:ascii="Palatino Linotype" w:eastAsia="Times New Roman" w:hAnsi="Palatino Linotype" w:cs="Times New Roman"/>
          <w:color w:val="000000"/>
        </w:rPr>
        <w:t>threshold value.</w:t>
      </w:r>
      <w:r w:rsidR="00E462B1">
        <w:rPr>
          <w:rFonts w:ascii="Palatino Linotype" w:eastAsia="Times New Roman" w:hAnsi="Palatino Linotype" w:cs="Times New Roman"/>
          <w:color w:val="000000"/>
        </w:rPr>
        <w:t xml:space="preserve"> The lookback period was set to 19, since the window size used for the %B calculation was set at 20 days, meaning index 19 was the first trading day that </w:t>
      </w:r>
      <w:r w:rsidR="00836CCD">
        <w:rPr>
          <w:rFonts w:ascii="Palatino Linotype" w:eastAsia="Times New Roman" w:hAnsi="Palatino Linotype" w:cs="Times New Roman"/>
          <w:color w:val="000000"/>
        </w:rPr>
        <w:t>had price</w:t>
      </w:r>
      <w:r w:rsidR="00E462B1">
        <w:rPr>
          <w:rFonts w:ascii="Palatino Linotype" w:eastAsia="Times New Roman" w:hAnsi="Palatino Linotype" w:cs="Times New Roman"/>
          <w:color w:val="000000"/>
        </w:rPr>
        <w:t xml:space="preserve"> data. I made the N</w:t>
      </w:r>
      <w:r w:rsidR="00836CCD">
        <w:rPr>
          <w:rFonts w:ascii="Palatino Linotype" w:eastAsia="Times New Roman" w:hAnsi="Palatino Linotype" w:cs="Times New Roman"/>
          <w:color w:val="000000"/>
        </w:rPr>
        <w:t>-day value set to 10 which played</w:t>
      </w:r>
      <w:r w:rsidR="00E462B1">
        <w:rPr>
          <w:rFonts w:ascii="Palatino Linotype" w:eastAsia="Times New Roman" w:hAnsi="Palatino Linotype" w:cs="Times New Roman"/>
          <w:color w:val="000000"/>
        </w:rPr>
        <w:t xml:space="preserve"> a part in calculating the return price of the respective JPM price per trading day. Lastly, the </w:t>
      </w:r>
      <w:r w:rsidR="00836CCD">
        <w:rPr>
          <w:rFonts w:ascii="Palatino Linotype" w:eastAsia="Times New Roman" w:hAnsi="Palatino Linotype" w:cs="Times New Roman"/>
          <w:color w:val="000000"/>
        </w:rPr>
        <w:t>y-</w:t>
      </w:r>
      <w:r w:rsidR="00E462B1">
        <w:rPr>
          <w:rFonts w:ascii="Palatino Linotype" w:eastAsia="Times New Roman" w:hAnsi="Palatino Linotype" w:cs="Times New Roman"/>
          <w:color w:val="000000"/>
        </w:rPr>
        <w:t xml:space="preserve">threshold </w:t>
      </w:r>
      <w:r w:rsidR="00836CCD">
        <w:rPr>
          <w:rFonts w:ascii="Palatino Linotype" w:eastAsia="Times New Roman" w:hAnsi="Palatino Linotype" w:cs="Times New Roman"/>
          <w:color w:val="000000"/>
        </w:rPr>
        <w:lastRenderedPageBreak/>
        <w:t>was</w:t>
      </w:r>
      <w:r w:rsidR="00E462B1">
        <w:rPr>
          <w:rFonts w:ascii="Palatino Linotype" w:eastAsia="Times New Roman" w:hAnsi="Palatino Linotype" w:cs="Times New Roman"/>
          <w:color w:val="000000"/>
        </w:rPr>
        <w:t xml:space="preserve"> calculated by multiplying the inputted impact value by 2, which is </w:t>
      </w:r>
      <w:r w:rsidR="00836CCD">
        <w:rPr>
          <w:rFonts w:ascii="Palatino Linotype" w:eastAsia="Times New Roman" w:hAnsi="Palatino Linotype" w:cs="Times New Roman"/>
          <w:color w:val="000000"/>
        </w:rPr>
        <w:t xml:space="preserve">then </w:t>
      </w:r>
      <w:r w:rsidR="00E462B1">
        <w:rPr>
          <w:rFonts w:ascii="Palatino Linotype" w:eastAsia="Times New Roman" w:hAnsi="Palatino Linotype" w:cs="Times New Roman"/>
          <w:color w:val="000000"/>
        </w:rPr>
        <w:t>compared with the return price to determine if the y-value will be a YBUY (1) or a YSELL (-1).</w:t>
      </w:r>
    </w:p>
    <w:p w14:paraId="1CD00081" w14:textId="1BDB6352" w:rsidR="00E462B1" w:rsidRDefault="00CB305F" w:rsidP="005D41FF">
      <w:pPr>
        <w:rPr>
          <w:rFonts w:ascii="Palatino Linotype" w:eastAsia="Times New Roman" w:hAnsi="Palatino Linotype" w:cs="Times New Roman"/>
          <w:color w:val="000000"/>
        </w:rPr>
      </w:pPr>
      <w:r>
        <w:rPr>
          <w:rFonts w:ascii="Palatino Linotype" w:eastAsia="Times New Roman" w:hAnsi="Palatino Linotype" w:cs="Times New Roman"/>
          <w:color w:val="000000"/>
        </w:rPr>
        <w:t xml:space="preserve">Once </w:t>
      </w:r>
      <w:r w:rsidRPr="00CB305F">
        <w:rPr>
          <w:rFonts w:ascii="Palatino Linotype" w:eastAsia="Times New Roman" w:hAnsi="Palatino Linotype" w:cs="Times New Roman"/>
          <w:color w:val="000000"/>
        </w:rPr>
        <w:t>the evidence</w:t>
      </w:r>
      <w:r>
        <w:rPr>
          <w:rFonts w:ascii="Palatino Linotype" w:eastAsia="Times New Roman" w:hAnsi="Palatino Linotype" w:cs="Times New Roman"/>
          <w:color w:val="000000"/>
        </w:rPr>
        <w:t xml:space="preserve"> was collected</w:t>
      </w:r>
      <w:r w:rsidRPr="00CB305F">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I</w:t>
      </w:r>
      <w:r w:rsidRPr="00CB305F">
        <w:rPr>
          <w:rFonts w:ascii="Palatino Linotype" w:eastAsia="Times New Roman" w:hAnsi="Palatino Linotype" w:cs="Times New Roman"/>
          <w:color w:val="000000"/>
        </w:rPr>
        <w:t xml:space="preserve"> tested the data by querying the test x data and using those predicted results to indicate buy/sell signals.</w:t>
      </w:r>
      <w:r w:rsidR="00E462B1">
        <w:rPr>
          <w:rFonts w:ascii="Palatino Linotype" w:eastAsia="Times New Roman" w:hAnsi="Palatino Linotype" w:cs="Times New Roman"/>
          <w:color w:val="000000"/>
        </w:rPr>
        <w:t xml:space="preserve"> </w:t>
      </w:r>
      <w:r w:rsidR="000744C9">
        <w:rPr>
          <w:rFonts w:ascii="Palatino Linotype" w:eastAsia="Times New Roman" w:hAnsi="Palatino Linotype" w:cs="Times New Roman"/>
          <w:color w:val="000000"/>
        </w:rPr>
        <w:t>If the trading day result was</w:t>
      </w:r>
      <w:r w:rsidR="00836CCD">
        <w:rPr>
          <w:rFonts w:ascii="Palatino Linotype" w:eastAsia="Times New Roman" w:hAnsi="Palatino Linotype" w:cs="Times New Roman"/>
          <w:color w:val="000000"/>
        </w:rPr>
        <w:t xml:space="preserve"> greater than 0.5, it was </w:t>
      </w:r>
      <w:r w:rsidR="000744C9">
        <w:rPr>
          <w:rFonts w:ascii="Palatino Linotype" w:eastAsia="Times New Roman" w:hAnsi="Palatino Linotype" w:cs="Times New Roman"/>
          <w:color w:val="000000"/>
        </w:rPr>
        <w:t xml:space="preserve">a buy </w:t>
      </w:r>
      <w:r w:rsidR="00836CCD">
        <w:rPr>
          <w:rFonts w:ascii="Palatino Linotype" w:eastAsia="Times New Roman" w:hAnsi="Palatino Linotype" w:cs="Times New Roman"/>
          <w:color w:val="000000"/>
        </w:rPr>
        <w:t>signal, if lower than -0.5, it was</w:t>
      </w:r>
      <w:r w:rsidR="000744C9">
        <w:rPr>
          <w:rFonts w:ascii="Palatino Linotype" w:eastAsia="Times New Roman" w:hAnsi="Palatino Linotype" w:cs="Times New Roman"/>
          <w:color w:val="000000"/>
        </w:rPr>
        <w:t xml:space="preserve"> a sell signal.</w:t>
      </w:r>
      <w:r w:rsidRPr="00CB305F">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I</w:t>
      </w:r>
      <w:r w:rsidRPr="00CB305F">
        <w:rPr>
          <w:rFonts w:ascii="Palatino Linotype" w:eastAsia="Times New Roman" w:hAnsi="Palatino Linotype" w:cs="Times New Roman"/>
          <w:color w:val="000000"/>
        </w:rPr>
        <w:t xml:space="preserve"> then used these signals to build a trade order table and applied those trade orders into the same algorithm used in </w:t>
      </w:r>
      <w:r>
        <w:rPr>
          <w:rFonts w:ascii="Palatino Linotype" w:eastAsia="Times New Roman" w:hAnsi="Palatino Linotype" w:cs="Times New Roman"/>
          <w:color w:val="000000"/>
        </w:rPr>
        <w:t>the</w:t>
      </w:r>
      <w:r w:rsidRPr="00CB305F">
        <w:rPr>
          <w:rFonts w:ascii="Palatino Linotype" w:eastAsia="Times New Roman" w:hAnsi="Palatino Linotype" w:cs="Times New Roman"/>
          <w:color w:val="000000"/>
        </w:rPr>
        <w:t xml:space="preserve"> manual strategy.</w:t>
      </w:r>
    </w:p>
    <w:p w14:paraId="5C7874A5" w14:textId="736545C4" w:rsidR="001C7417" w:rsidRDefault="00E462B1" w:rsidP="005D41FF">
      <w:pPr>
        <w:rPr>
          <w:rFonts w:ascii="Palatino Linotype" w:eastAsia="Times New Roman" w:hAnsi="Palatino Linotype" w:cs="Times New Roman"/>
          <w:b/>
          <w:color w:val="000000"/>
        </w:rPr>
      </w:pPr>
      <w:r>
        <w:rPr>
          <w:rFonts w:ascii="Palatino Linotype" w:eastAsia="Times New Roman" w:hAnsi="Palatino Linotype" w:cs="Times New Roman"/>
          <w:b/>
          <w:color w:val="000000"/>
        </w:rPr>
        <w:t>4.2</w:t>
      </w:r>
      <w:r w:rsidR="00C72A79">
        <w:rPr>
          <w:rFonts w:ascii="Palatino Linotype" w:eastAsia="Times New Roman" w:hAnsi="Palatino Linotype" w:cs="Times New Roman"/>
          <w:b/>
          <w:color w:val="000000"/>
        </w:rPr>
        <w:t xml:space="preserve"> Data Adjustment</w:t>
      </w:r>
    </w:p>
    <w:p w14:paraId="0F325E34" w14:textId="501ACCD2" w:rsidR="00E30005" w:rsidRDefault="00E30005" w:rsidP="00E30005">
      <w:pPr>
        <w:rPr>
          <w:rFonts w:ascii="Palatino Linotype" w:eastAsia="Times New Roman" w:hAnsi="Palatino Linotype" w:cs="Times New Roman"/>
          <w:color w:val="000000"/>
        </w:rPr>
      </w:pPr>
      <w:r>
        <w:rPr>
          <w:rFonts w:ascii="Palatino Linotype" w:eastAsia="Times New Roman" w:hAnsi="Palatino Linotype" w:cs="Times New Roman"/>
          <w:color w:val="000000"/>
        </w:rPr>
        <w:t xml:space="preserve">I </w:t>
      </w:r>
      <w:r w:rsidRPr="00E30005">
        <w:rPr>
          <w:rFonts w:ascii="Palatino Linotype" w:eastAsia="Times New Roman" w:hAnsi="Palatino Linotype" w:cs="Times New Roman"/>
          <w:color w:val="000000"/>
        </w:rPr>
        <w:t xml:space="preserve">focused on adjusting the parameters of </w:t>
      </w:r>
      <w:r>
        <w:rPr>
          <w:rFonts w:ascii="Palatino Linotype" w:eastAsia="Times New Roman" w:hAnsi="Palatino Linotype" w:cs="Times New Roman"/>
          <w:color w:val="000000"/>
        </w:rPr>
        <w:t>my</w:t>
      </w:r>
      <w:r w:rsidRPr="00E30005">
        <w:rPr>
          <w:rFonts w:ascii="Palatino Linotype" w:eastAsia="Times New Roman" w:hAnsi="Palatino Linotype" w:cs="Times New Roman"/>
          <w:color w:val="000000"/>
        </w:rPr>
        <w:t xml:space="preserve"> strategy learner in order to optimize its performance. Specifically, </w:t>
      </w:r>
      <w:r>
        <w:rPr>
          <w:rFonts w:ascii="Palatino Linotype" w:eastAsia="Times New Roman" w:hAnsi="Palatino Linotype" w:cs="Times New Roman"/>
          <w:color w:val="000000"/>
        </w:rPr>
        <w:t>I</w:t>
      </w:r>
      <w:r w:rsidRPr="00E30005">
        <w:rPr>
          <w:rFonts w:ascii="Palatino Linotype" w:eastAsia="Times New Roman" w:hAnsi="Palatino Linotype" w:cs="Times New Roman"/>
          <w:color w:val="000000"/>
        </w:rPr>
        <w:t xml:space="preserve"> adjusted</w:t>
      </w:r>
      <w:r w:rsidR="00926580">
        <w:rPr>
          <w:rFonts w:ascii="Palatino Linotype" w:eastAsia="Times New Roman" w:hAnsi="Palatino Linotype" w:cs="Times New Roman"/>
          <w:color w:val="000000"/>
        </w:rPr>
        <w:t xml:space="preserve"> the leaf size, bag size, and the y-</w:t>
      </w:r>
      <w:r w:rsidRPr="00E30005">
        <w:rPr>
          <w:rFonts w:ascii="Palatino Linotype" w:eastAsia="Times New Roman" w:hAnsi="Palatino Linotype" w:cs="Times New Roman"/>
          <w:color w:val="000000"/>
        </w:rPr>
        <w:t>threshold calculation to obtain results that beat out both th</w:t>
      </w:r>
      <w:r w:rsidR="00306568">
        <w:rPr>
          <w:rFonts w:ascii="Palatino Linotype" w:eastAsia="Times New Roman" w:hAnsi="Palatino Linotype" w:cs="Times New Roman"/>
          <w:color w:val="000000"/>
        </w:rPr>
        <w:t>e manual strategy and benchmark performances.</w:t>
      </w:r>
    </w:p>
    <w:p w14:paraId="4944EFE6" w14:textId="78C1BAC4" w:rsidR="00306568" w:rsidRPr="00E30005" w:rsidRDefault="00306568" w:rsidP="00E30005">
      <w:pPr>
        <w:rPr>
          <w:rFonts w:ascii="Palatino Linotype" w:eastAsia="Times New Roman" w:hAnsi="Palatino Linotype" w:cs="Times New Roman"/>
          <w:color w:val="000000"/>
        </w:rPr>
      </w:pPr>
      <w:r w:rsidRPr="00306568">
        <w:rPr>
          <w:rFonts w:ascii="Palatino Linotype" w:eastAsia="Times New Roman" w:hAnsi="Palatino Linotype" w:cs="Times New Roman"/>
          <w:color w:val="000000"/>
        </w:rPr>
        <w:t xml:space="preserve">While </w:t>
      </w:r>
      <w:r>
        <w:rPr>
          <w:rFonts w:ascii="Palatino Linotype" w:eastAsia="Times New Roman" w:hAnsi="Palatino Linotype" w:cs="Times New Roman"/>
          <w:color w:val="000000"/>
        </w:rPr>
        <w:t>I</w:t>
      </w:r>
      <w:r w:rsidRPr="00306568">
        <w:rPr>
          <w:rFonts w:ascii="Palatino Linotype" w:eastAsia="Times New Roman" w:hAnsi="Palatino Linotype" w:cs="Times New Roman"/>
          <w:color w:val="000000"/>
        </w:rPr>
        <w:t xml:space="preserve"> kept the leaf size and bag size at their </w:t>
      </w:r>
      <w:r>
        <w:rPr>
          <w:rFonts w:ascii="Palatino Linotype" w:eastAsia="Times New Roman" w:hAnsi="Palatino Linotype" w:cs="Times New Roman"/>
          <w:color w:val="000000"/>
        </w:rPr>
        <w:t xml:space="preserve">“default” </w:t>
      </w:r>
      <w:r w:rsidRPr="00306568">
        <w:rPr>
          <w:rFonts w:ascii="Palatino Linotype" w:eastAsia="Times New Roman" w:hAnsi="Palatino Linotype" w:cs="Times New Roman"/>
          <w:color w:val="000000"/>
        </w:rPr>
        <w:t xml:space="preserve">values of 5 and 20 respectively, </w:t>
      </w:r>
      <w:r>
        <w:rPr>
          <w:rFonts w:ascii="Palatino Linotype" w:eastAsia="Times New Roman" w:hAnsi="Palatino Linotype" w:cs="Times New Roman"/>
          <w:color w:val="000000"/>
        </w:rPr>
        <w:t>I</w:t>
      </w:r>
      <w:r w:rsidRPr="00306568">
        <w:rPr>
          <w:rFonts w:ascii="Palatino Linotype" w:eastAsia="Times New Roman" w:hAnsi="Palatino Linotype" w:cs="Times New Roman"/>
          <w:color w:val="000000"/>
        </w:rPr>
        <w:t xml:space="preserve"> did need to tweak the y-threshold calculation in order to obtain the desired results. The y-threshold is responsible for determining the outcome of the train y data used in the add evidence portion of </w:t>
      </w:r>
      <w:r>
        <w:rPr>
          <w:rFonts w:ascii="Palatino Linotype" w:eastAsia="Times New Roman" w:hAnsi="Palatino Linotype" w:cs="Times New Roman"/>
          <w:color w:val="000000"/>
        </w:rPr>
        <w:t>the</w:t>
      </w:r>
      <w:r w:rsidRPr="00306568">
        <w:rPr>
          <w:rFonts w:ascii="Palatino Linotype" w:eastAsia="Times New Roman" w:hAnsi="Palatino Linotype" w:cs="Times New Roman"/>
          <w:color w:val="000000"/>
        </w:rPr>
        <w:t xml:space="preserve"> strategy learner. By adjusting this parameter to 2 times the impact</w:t>
      </w:r>
      <w:r>
        <w:rPr>
          <w:rFonts w:ascii="Palatino Linotype" w:eastAsia="Times New Roman" w:hAnsi="Palatino Linotype" w:cs="Times New Roman"/>
          <w:color w:val="000000"/>
        </w:rPr>
        <w:t xml:space="preserve"> input value</w:t>
      </w:r>
      <w:r w:rsidRPr="00306568">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 xml:space="preserve">I was </w:t>
      </w:r>
      <w:r w:rsidRPr="00306568">
        <w:rPr>
          <w:rFonts w:ascii="Palatino Linotype" w:eastAsia="Times New Roman" w:hAnsi="Palatino Linotype" w:cs="Times New Roman"/>
          <w:color w:val="000000"/>
        </w:rPr>
        <w:t>able to obtain better performance results</w:t>
      </w:r>
      <w:r>
        <w:rPr>
          <w:rFonts w:ascii="Palatino Linotype" w:eastAsia="Times New Roman" w:hAnsi="Palatino Linotype" w:cs="Times New Roman"/>
          <w:color w:val="000000"/>
        </w:rPr>
        <w:t xml:space="preserve"> overall.</w:t>
      </w:r>
    </w:p>
    <w:p w14:paraId="6A27268C" w14:textId="41A11A3D" w:rsidR="005D41FF" w:rsidRDefault="005D41FF" w:rsidP="005D41FF">
      <w:pPr>
        <w:rPr>
          <w:rFonts w:ascii="Palatino Linotype" w:eastAsia="Times New Roman" w:hAnsi="Palatino Linotype" w:cs="Times New Roman"/>
          <w:b/>
          <w:color w:val="000000"/>
        </w:rPr>
      </w:pPr>
      <w:r>
        <w:rPr>
          <w:rFonts w:ascii="Palatino Linotype" w:eastAsia="Times New Roman" w:hAnsi="Palatino Linotype" w:cs="Times New Roman"/>
          <w:b/>
          <w:color w:val="000000"/>
        </w:rPr>
        <w:t>5 EXPERIMENT 1</w:t>
      </w:r>
    </w:p>
    <w:p w14:paraId="669CEFA2" w14:textId="2CA8ADC0" w:rsidR="005D41FF" w:rsidRDefault="005D41FF" w:rsidP="005D41FF">
      <w:pPr>
        <w:rPr>
          <w:rFonts w:ascii="Palatino Linotype" w:eastAsia="Times New Roman" w:hAnsi="Palatino Linotype" w:cs="Times New Roman"/>
          <w:b/>
          <w:color w:val="000000"/>
        </w:rPr>
      </w:pPr>
      <w:r>
        <w:rPr>
          <w:rFonts w:ascii="Palatino Linotype" w:eastAsia="Times New Roman" w:hAnsi="Palatino Linotype" w:cs="Times New Roman"/>
          <w:b/>
          <w:color w:val="000000"/>
        </w:rPr>
        <w:t>5</w:t>
      </w:r>
      <w:r w:rsidRPr="008E5AE5">
        <w:rPr>
          <w:rFonts w:ascii="Palatino Linotype" w:eastAsia="Times New Roman" w:hAnsi="Palatino Linotype" w:cs="Times New Roman"/>
          <w:b/>
          <w:color w:val="000000"/>
        </w:rPr>
        <w:t>.</w:t>
      </w:r>
      <w:r>
        <w:rPr>
          <w:rFonts w:ascii="Palatino Linotype" w:eastAsia="Times New Roman" w:hAnsi="Palatino Linotype" w:cs="Times New Roman"/>
          <w:b/>
          <w:color w:val="000000"/>
        </w:rPr>
        <w:t>1</w:t>
      </w:r>
      <w:r w:rsidRPr="008E5AE5">
        <w:rPr>
          <w:rFonts w:ascii="Palatino Linotype" w:eastAsia="Times New Roman" w:hAnsi="Palatino Linotype" w:cs="Times New Roman"/>
          <w:b/>
          <w:color w:val="000000"/>
        </w:rPr>
        <w:t xml:space="preserve"> </w:t>
      </w:r>
      <w:r>
        <w:rPr>
          <w:rFonts w:ascii="Palatino Linotype" w:eastAsia="Times New Roman" w:hAnsi="Palatino Linotype" w:cs="Times New Roman"/>
          <w:b/>
          <w:color w:val="000000"/>
        </w:rPr>
        <w:t>Describe</w:t>
      </w:r>
    </w:p>
    <w:p w14:paraId="5E1E75E4" w14:textId="0DC4334A" w:rsidR="00671063" w:rsidRDefault="00671063" w:rsidP="005D41FF">
      <w:pPr>
        <w:rPr>
          <w:rFonts w:ascii="Palatino Linotype" w:eastAsia="Times New Roman" w:hAnsi="Palatino Linotype" w:cs="Times New Roman"/>
          <w:color w:val="000000"/>
        </w:rPr>
      </w:pPr>
      <w:r w:rsidRPr="00671063">
        <w:rPr>
          <w:rFonts w:ascii="Palatino Linotype" w:eastAsia="Times New Roman" w:hAnsi="Palatino Linotype" w:cs="Times New Roman"/>
          <w:color w:val="000000"/>
        </w:rPr>
        <w:t>In this experiment, the initial hypothesis was that the strategy learner would outperform both the manual strategy and benchmark, as the strategy learner is an AI classification-based algorithm. To test this hypothesis, I set up a trading simulator using JPM prices for the in-sample date ranges.</w:t>
      </w:r>
    </w:p>
    <w:p w14:paraId="3AF04CCA" w14:textId="1DFAE2F1" w:rsidR="00671063" w:rsidRDefault="00F4515F" w:rsidP="005D41FF">
      <w:pPr>
        <w:rPr>
          <w:rFonts w:ascii="Palatino Linotype" w:eastAsia="Times New Roman" w:hAnsi="Palatino Linotype" w:cs="Times New Roman"/>
          <w:color w:val="000000"/>
        </w:rPr>
      </w:pPr>
      <w:r w:rsidRPr="00F4515F">
        <w:rPr>
          <w:rFonts w:ascii="Palatino Linotype" w:eastAsia="Times New Roman" w:hAnsi="Palatino Linotype" w:cs="Times New Roman"/>
          <w:color w:val="000000"/>
        </w:rPr>
        <w:t>First, I obtained the trade orders calculated for both my manual strategy and the strategy learner. Then, I put the respective trade orders in the trading simulator with a starting value of $100,000, commission of $9.95, and impact value of 0.005. T</w:t>
      </w:r>
      <w:r>
        <w:rPr>
          <w:rFonts w:ascii="Palatino Linotype" w:eastAsia="Times New Roman" w:hAnsi="Palatino Linotype" w:cs="Times New Roman"/>
          <w:color w:val="000000"/>
        </w:rPr>
        <w:t xml:space="preserve">he trading simulator returned the </w:t>
      </w:r>
      <w:r w:rsidRPr="00F4515F">
        <w:rPr>
          <w:rFonts w:ascii="Palatino Linotype" w:eastAsia="Times New Roman" w:hAnsi="Palatino Linotype" w:cs="Times New Roman"/>
          <w:color w:val="000000"/>
        </w:rPr>
        <w:t>portfolio data frame for</w:t>
      </w:r>
      <w:r>
        <w:rPr>
          <w:rFonts w:ascii="Palatino Linotype" w:eastAsia="Times New Roman" w:hAnsi="Palatino Linotype" w:cs="Times New Roman"/>
          <w:color w:val="000000"/>
        </w:rPr>
        <w:t xml:space="preserve"> both respective strategies</w:t>
      </w:r>
      <w:r w:rsidRPr="00F4515F">
        <w:rPr>
          <w:rFonts w:ascii="Palatino Linotype" w:eastAsia="Times New Roman" w:hAnsi="Palatino Linotype" w:cs="Times New Roman"/>
          <w:color w:val="000000"/>
        </w:rPr>
        <w:t xml:space="preserve">. I then calculated the normalized prices for </w:t>
      </w:r>
      <w:r>
        <w:rPr>
          <w:rFonts w:ascii="Palatino Linotype" w:eastAsia="Times New Roman" w:hAnsi="Palatino Linotype" w:cs="Times New Roman"/>
          <w:color w:val="000000"/>
        </w:rPr>
        <w:t>the</w:t>
      </w:r>
      <w:r w:rsidRPr="00F4515F">
        <w:rPr>
          <w:rFonts w:ascii="Palatino Linotype" w:eastAsia="Times New Roman" w:hAnsi="Palatino Linotype" w:cs="Times New Roman"/>
          <w:color w:val="000000"/>
        </w:rPr>
        <w:t xml:space="preserve"> portfolio </w:t>
      </w:r>
      <w:r w:rsidR="00EF4A60">
        <w:rPr>
          <w:rFonts w:ascii="Palatino Linotype" w:eastAsia="Times New Roman" w:hAnsi="Palatino Linotype" w:cs="Times New Roman"/>
          <w:color w:val="000000"/>
        </w:rPr>
        <w:t>values</w:t>
      </w:r>
      <w:r w:rsidR="00EF4A60" w:rsidRPr="00EF4A60">
        <w:rPr>
          <w:rFonts w:ascii="Palatino Linotype" w:eastAsia="Times New Roman" w:hAnsi="Palatino Linotype" w:cs="Times New Roman"/>
          <w:color w:val="000000"/>
        </w:rPr>
        <w:t>:</w:t>
      </w:r>
      <w:r w:rsidR="00EF4A60">
        <w:rPr>
          <w:rFonts w:ascii="Palatino Linotype" w:eastAsia="Times New Roman" w:hAnsi="Palatino Linotype" w:cs="Times New Roman"/>
          <w:color w:val="000000"/>
        </w:rPr>
        <w:t xml:space="preserve"> </w:t>
      </w:r>
      <w:proofErr w:type="spellStart"/>
      <w:r w:rsidRPr="00F4515F">
        <w:rPr>
          <w:rFonts w:ascii="Palatino Linotype" w:eastAsia="Times New Roman" w:hAnsi="Palatino Linotype" w:cs="Times New Roman"/>
          <w:b/>
          <w:color w:val="000000"/>
        </w:rPr>
        <w:t>portval</w:t>
      </w:r>
      <w:proofErr w:type="spellEnd"/>
      <w:r w:rsidRPr="00F4515F">
        <w:rPr>
          <w:rFonts w:ascii="Palatino Linotype" w:eastAsia="Times New Roman" w:hAnsi="Palatino Linotype" w:cs="Times New Roman"/>
          <w:b/>
          <w:color w:val="000000"/>
        </w:rPr>
        <w:t>/</w:t>
      </w:r>
      <w:proofErr w:type="spellStart"/>
      <w:proofErr w:type="gramStart"/>
      <w:r w:rsidRPr="00F4515F">
        <w:rPr>
          <w:rFonts w:ascii="Palatino Linotype" w:eastAsia="Times New Roman" w:hAnsi="Palatino Linotype" w:cs="Times New Roman"/>
          <w:b/>
          <w:color w:val="000000"/>
        </w:rPr>
        <w:t>portval.iloc</w:t>
      </w:r>
      <w:proofErr w:type="spellEnd"/>
      <w:r w:rsidRPr="00F4515F">
        <w:rPr>
          <w:rFonts w:ascii="Palatino Linotype" w:eastAsia="Times New Roman" w:hAnsi="Palatino Linotype" w:cs="Times New Roman"/>
          <w:b/>
          <w:color w:val="000000"/>
        </w:rPr>
        <w:t>[</w:t>
      </w:r>
      <w:proofErr w:type="gramEnd"/>
      <w:r w:rsidRPr="00F4515F">
        <w:rPr>
          <w:rFonts w:ascii="Palatino Linotype" w:eastAsia="Times New Roman" w:hAnsi="Palatino Linotype" w:cs="Times New Roman"/>
          <w:b/>
          <w:color w:val="000000"/>
        </w:rPr>
        <w:t>0]</w:t>
      </w:r>
      <w:r w:rsidR="00EF4A60">
        <w:rPr>
          <w:rFonts w:ascii="Palatino Linotype" w:eastAsia="Times New Roman" w:hAnsi="Palatino Linotype" w:cs="Times New Roman"/>
          <w:color w:val="000000"/>
        </w:rPr>
        <w:t>,</w:t>
      </w:r>
      <w:r w:rsidRPr="00F4515F">
        <w:rPr>
          <w:rFonts w:ascii="Palatino Linotype" w:eastAsia="Times New Roman" w:hAnsi="Palatino Linotype" w:cs="Times New Roman"/>
          <w:color w:val="000000"/>
        </w:rPr>
        <w:t xml:space="preserve"> to use for chart comparisons.</w:t>
      </w:r>
    </w:p>
    <w:p w14:paraId="28F89822" w14:textId="28E5FBF2" w:rsidR="00F4515F" w:rsidRDefault="00F4515F" w:rsidP="005D41FF">
      <w:pPr>
        <w:rPr>
          <w:rFonts w:ascii="Palatino Linotype" w:eastAsia="Times New Roman" w:hAnsi="Palatino Linotype" w:cs="Times New Roman"/>
          <w:color w:val="000000"/>
        </w:rPr>
      </w:pPr>
      <w:r>
        <w:rPr>
          <w:rFonts w:ascii="Palatino Linotype" w:eastAsia="Times New Roman" w:hAnsi="Palatino Linotype" w:cs="Times New Roman"/>
          <w:color w:val="000000"/>
        </w:rPr>
        <w:t>Similar to the manual strategy versus benchmark experiment mentioned earlier, f</w:t>
      </w:r>
      <w:r w:rsidRPr="00F4515F">
        <w:rPr>
          <w:rFonts w:ascii="Palatino Linotype" w:eastAsia="Times New Roman" w:hAnsi="Palatino Linotype" w:cs="Times New Roman"/>
          <w:color w:val="000000"/>
        </w:rPr>
        <w:t xml:space="preserve">or the benchmark values, I made a trade order table of just one $1,000 trade on the first day, and held that position throughout the time period. I calculated the portfolio values with the same parameters, and normalized the </w:t>
      </w:r>
      <w:r>
        <w:rPr>
          <w:rFonts w:ascii="Palatino Linotype" w:eastAsia="Times New Roman" w:hAnsi="Palatino Linotype" w:cs="Times New Roman"/>
          <w:color w:val="000000"/>
        </w:rPr>
        <w:t>results</w:t>
      </w:r>
      <w:r w:rsidRPr="00F4515F">
        <w:rPr>
          <w:rFonts w:ascii="Palatino Linotype" w:eastAsia="Times New Roman" w:hAnsi="Palatino Linotype" w:cs="Times New Roman"/>
          <w:color w:val="000000"/>
        </w:rPr>
        <w:t xml:space="preserve"> for comparison.</w:t>
      </w:r>
    </w:p>
    <w:p w14:paraId="19FF3A53" w14:textId="108DB18B" w:rsidR="00F4515F" w:rsidRDefault="00F4515F" w:rsidP="005D41FF">
      <w:pPr>
        <w:rPr>
          <w:rFonts w:ascii="Palatino Linotype" w:eastAsia="Times New Roman" w:hAnsi="Palatino Linotype" w:cs="Times New Roman"/>
          <w:color w:val="000000"/>
        </w:rPr>
      </w:pPr>
      <w:r w:rsidRPr="00F4515F">
        <w:rPr>
          <w:rFonts w:ascii="Palatino Linotype" w:eastAsia="Times New Roman" w:hAnsi="Palatino Linotype" w:cs="Times New Roman"/>
          <w:color w:val="000000"/>
        </w:rPr>
        <w:t xml:space="preserve">Finally, I repeated the same process for the out-of-sample time period. This </w:t>
      </w:r>
      <w:r>
        <w:rPr>
          <w:rFonts w:ascii="Palatino Linotype" w:eastAsia="Times New Roman" w:hAnsi="Palatino Linotype" w:cs="Times New Roman"/>
          <w:color w:val="000000"/>
        </w:rPr>
        <w:t>allowed</w:t>
      </w:r>
      <w:r w:rsidRPr="00F4515F">
        <w:rPr>
          <w:rFonts w:ascii="Palatino Linotype" w:eastAsia="Times New Roman" w:hAnsi="Palatino Linotype" w:cs="Times New Roman"/>
          <w:color w:val="000000"/>
        </w:rPr>
        <w:t xml:space="preserve"> me to compare the performance of the manual strategy, strategy learner, and benchmark </w:t>
      </w:r>
      <w:r>
        <w:rPr>
          <w:rFonts w:ascii="Palatino Linotype" w:eastAsia="Times New Roman" w:hAnsi="Palatino Linotype" w:cs="Times New Roman"/>
          <w:color w:val="000000"/>
        </w:rPr>
        <w:t>for</w:t>
      </w:r>
      <w:r w:rsidRPr="00F4515F">
        <w:rPr>
          <w:rFonts w:ascii="Palatino Linotype" w:eastAsia="Times New Roman" w:hAnsi="Palatino Linotype" w:cs="Times New Roman"/>
          <w:color w:val="000000"/>
        </w:rPr>
        <w:t xml:space="preserve"> both </w:t>
      </w:r>
      <w:r>
        <w:rPr>
          <w:rFonts w:ascii="Palatino Linotype" w:eastAsia="Times New Roman" w:hAnsi="Palatino Linotype" w:cs="Times New Roman"/>
          <w:color w:val="000000"/>
        </w:rPr>
        <w:t xml:space="preserve">the </w:t>
      </w:r>
      <w:r w:rsidRPr="00F4515F">
        <w:rPr>
          <w:rFonts w:ascii="Palatino Linotype" w:eastAsia="Times New Roman" w:hAnsi="Palatino Linotype" w:cs="Times New Roman"/>
          <w:color w:val="000000"/>
        </w:rPr>
        <w:t>in-sample and out-of-sample time periods.</w:t>
      </w:r>
    </w:p>
    <w:p w14:paraId="36C9610D" w14:textId="5E17A328" w:rsidR="005D41FF" w:rsidRDefault="00C72A79" w:rsidP="005D41FF">
      <w:pPr>
        <w:rPr>
          <w:rFonts w:ascii="Palatino Linotype" w:eastAsia="Times New Roman" w:hAnsi="Palatino Linotype" w:cs="Times New Roman"/>
          <w:b/>
          <w:color w:val="000000"/>
        </w:rPr>
      </w:pPr>
      <w:r>
        <w:rPr>
          <w:rFonts w:ascii="Palatino Linotype" w:eastAsia="Times New Roman" w:hAnsi="Palatino Linotype" w:cs="Times New Roman"/>
          <w:b/>
          <w:color w:val="000000"/>
        </w:rPr>
        <w:t xml:space="preserve">5.2 </w:t>
      </w:r>
      <w:r w:rsidR="002239C5">
        <w:rPr>
          <w:rFonts w:ascii="Palatino Linotype" w:eastAsia="Times New Roman" w:hAnsi="Palatino Linotype" w:cs="Times New Roman"/>
          <w:b/>
          <w:color w:val="000000"/>
        </w:rPr>
        <w:t>Evaluate</w:t>
      </w:r>
    </w:p>
    <w:p w14:paraId="1048081E" w14:textId="13F6FA6B" w:rsidR="00544ACF" w:rsidRPr="00610173" w:rsidRDefault="00567277" w:rsidP="005D41FF">
      <w:pPr>
        <w:rPr>
          <w:rFonts w:ascii="Palatino Linotype" w:eastAsia="Times New Roman" w:hAnsi="Palatino Linotype" w:cs="Times New Roman"/>
          <w:color w:val="000000"/>
        </w:rPr>
      </w:pPr>
      <w:r w:rsidRPr="00567277">
        <w:rPr>
          <w:rFonts w:ascii="Palatino Linotype" w:eastAsia="Times New Roman" w:hAnsi="Palatino Linotype" w:cs="Times New Roman"/>
          <w:color w:val="000000"/>
        </w:rPr>
        <w:lastRenderedPageBreak/>
        <w:t xml:space="preserve">Based on the charts shown below, </w:t>
      </w:r>
      <w:r w:rsidR="00544ACF">
        <w:rPr>
          <w:rFonts w:ascii="Palatino Linotype" w:eastAsia="Times New Roman" w:hAnsi="Palatino Linotype" w:cs="Times New Roman"/>
          <w:color w:val="000000"/>
        </w:rPr>
        <w:t xml:space="preserve">Figure 3 (in-sample) and Figure 4 (out-of-sample), </w:t>
      </w:r>
      <w:r w:rsidRPr="00567277">
        <w:rPr>
          <w:rFonts w:ascii="Palatino Linotype" w:eastAsia="Times New Roman" w:hAnsi="Palatino Linotype" w:cs="Times New Roman"/>
          <w:color w:val="000000"/>
        </w:rPr>
        <w:t xml:space="preserve">it appears that the classification-based learner outperforms both the manual strategy and benchmark results for both the in-sample and out-of-sample time periods. </w:t>
      </w:r>
      <w:r w:rsidR="00544ACF">
        <w:rPr>
          <w:rFonts w:ascii="Palatino Linotype" w:eastAsia="Times New Roman" w:hAnsi="Palatino Linotype" w:cs="Times New Roman"/>
          <w:color w:val="000000"/>
        </w:rPr>
        <w:t>My</w:t>
      </w:r>
      <w:r w:rsidRPr="00567277">
        <w:rPr>
          <w:rFonts w:ascii="Palatino Linotype" w:eastAsia="Times New Roman" w:hAnsi="Palatino Linotype" w:cs="Times New Roman"/>
          <w:color w:val="000000"/>
        </w:rPr>
        <w:t xml:space="preserve"> initial hypothesis of the classification-based learner outperforming the other strategies </w:t>
      </w:r>
      <w:r w:rsidR="002574E1">
        <w:rPr>
          <w:rFonts w:ascii="Palatino Linotype" w:eastAsia="Times New Roman" w:hAnsi="Palatino Linotype" w:cs="Times New Roman"/>
          <w:color w:val="000000"/>
        </w:rPr>
        <w:t>is supported by this</w:t>
      </w:r>
      <w:r w:rsidRPr="00567277">
        <w:rPr>
          <w:rFonts w:ascii="Palatino Linotype" w:eastAsia="Times New Roman" w:hAnsi="Palatino Linotype" w:cs="Times New Roman"/>
          <w:color w:val="000000"/>
        </w:rPr>
        <w:t xml:space="preserve"> data.</w:t>
      </w:r>
      <w:r w:rsidR="00544ACF">
        <w:rPr>
          <w:rFonts w:ascii="Palatino Linotype" w:eastAsia="Times New Roman" w:hAnsi="Palatino Linotype" w:cs="Times New Roman"/>
          <w:color w:val="000000"/>
        </w:rPr>
        <w:t xml:space="preserve"> </w:t>
      </w:r>
      <w:r w:rsidR="00544ACF" w:rsidRPr="00544ACF">
        <w:rPr>
          <w:rFonts w:ascii="Palatino Linotype" w:eastAsia="Times New Roman" w:hAnsi="Palatino Linotype" w:cs="Times New Roman"/>
          <w:color w:val="000000"/>
        </w:rPr>
        <w:t xml:space="preserve">Looking at the charts, </w:t>
      </w:r>
      <w:r w:rsidR="00544ACF">
        <w:rPr>
          <w:rFonts w:ascii="Palatino Linotype" w:eastAsia="Times New Roman" w:hAnsi="Palatino Linotype" w:cs="Times New Roman"/>
          <w:color w:val="000000"/>
        </w:rPr>
        <w:t xml:space="preserve">we can see </w:t>
      </w:r>
      <w:r w:rsidR="00544ACF" w:rsidRPr="00544ACF">
        <w:rPr>
          <w:rFonts w:ascii="Palatino Linotype" w:eastAsia="Times New Roman" w:hAnsi="Palatino Linotype" w:cs="Times New Roman"/>
          <w:color w:val="000000"/>
        </w:rPr>
        <w:t xml:space="preserve">that the lookback period of 19 has a small impact at the beginning of the strategy learner data line. However, shortly after, the normalized price begins to increase significantly. </w:t>
      </w:r>
    </w:p>
    <w:p w14:paraId="299EFCEE" w14:textId="0629DF72" w:rsidR="00FA4254" w:rsidRPr="00544ACF" w:rsidRDefault="00544ACF" w:rsidP="003A2410">
      <w:pPr>
        <w:rPr>
          <w:rFonts w:ascii="Palatino Linotype" w:eastAsia="Times New Roman" w:hAnsi="Palatino Linotype" w:cs="Times New Roman"/>
          <w:color w:val="000000"/>
        </w:rPr>
      </w:pPr>
      <w:r w:rsidRPr="00544ACF">
        <w:rPr>
          <w:rFonts w:ascii="Palatino Linotype" w:eastAsia="Times New Roman" w:hAnsi="Palatino Linotype" w:cs="Times New Roman"/>
          <w:color w:val="000000"/>
        </w:rPr>
        <w:t xml:space="preserve">It is possible to expect this relative result every time with in-sample data since </w:t>
      </w:r>
      <w:r w:rsidR="002574E1">
        <w:rPr>
          <w:rFonts w:ascii="Palatino Linotype" w:eastAsia="Times New Roman" w:hAnsi="Palatino Linotype" w:cs="Times New Roman"/>
          <w:color w:val="000000"/>
        </w:rPr>
        <w:t>we</w:t>
      </w:r>
      <w:r w:rsidRPr="00544ACF">
        <w:rPr>
          <w:rFonts w:ascii="Palatino Linotype" w:eastAsia="Times New Roman" w:hAnsi="Palatino Linotype" w:cs="Times New Roman"/>
          <w:color w:val="000000"/>
        </w:rPr>
        <w:t xml:space="preserve"> have access to the data used for sampling. This allows </w:t>
      </w:r>
      <w:r>
        <w:rPr>
          <w:rFonts w:ascii="Palatino Linotype" w:eastAsia="Times New Roman" w:hAnsi="Palatino Linotype" w:cs="Times New Roman"/>
          <w:color w:val="000000"/>
        </w:rPr>
        <w:t>me</w:t>
      </w:r>
      <w:r w:rsidRPr="00544ACF">
        <w:rPr>
          <w:rFonts w:ascii="Palatino Linotype" w:eastAsia="Times New Roman" w:hAnsi="Palatino Linotype" w:cs="Times New Roman"/>
          <w:color w:val="000000"/>
        </w:rPr>
        <w:t xml:space="preserve"> to refine </w:t>
      </w:r>
      <w:r w:rsidR="00905F0D">
        <w:rPr>
          <w:rFonts w:ascii="Palatino Linotype" w:eastAsia="Times New Roman" w:hAnsi="Palatino Linotype" w:cs="Times New Roman"/>
          <w:color w:val="000000"/>
        </w:rPr>
        <w:t>my</w:t>
      </w:r>
      <w:r w:rsidRPr="00544ACF">
        <w:rPr>
          <w:rFonts w:ascii="Palatino Linotype" w:eastAsia="Times New Roman" w:hAnsi="Palatino Linotype" w:cs="Times New Roman"/>
          <w:color w:val="000000"/>
        </w:rPr>
        <w:t xml:space="preserve"> strategies based on the historical data and adjust them accordingly. However, the out-of-sample data may not always perform as well as the in-sample data because </w:t>
      </w:r>
      <w:r w:rsidR="00905F0D">
        <w:rPr>
          <w:rFonts w:ascii="Palatino Linotype" w:eastAsia="Times New Roman" w:hAnsi="Palatino Linotype" w:cs="Times New Roman"/>
          <w:color w:val="000000"/>
        </w:rPr>
        <w:t>it represents</w:t>
      </w:r>
      <w:r w:rsidRPr="00544ACF">
        <w:rPr>
          <w:rFonts w:ascii="Palatino Linotype" w:eastAsia="Times New Roman" w:hAnsi="Palatino Linotype" w:cs="Times New Roman"/>
          <w:color w:val="000000"/>
        </w:rPr>
        <w:t xml:space="preserve"> new, unseen data, and it may behave differently </w:t>
      </w:r>
      <w:r w:rsidR="00905F0D">
        <w:rPr>
          <w:rFonts w:ascii="Palatino Linotype" w:eastAsia="Times New Roman" w:hAnsi="Palatino Linotype" w:cs="Times New Roman"/>
          <w:color w:val="000000"/>
        </w:rPr>
        <w:t>based on</w:t>
      </w:r>
      <w:r w:rsidRPr="00544ACF">
        <w:rPr>
          <w:rFonts w:ascii="Palatino Linotype" w:eastAsia="Times New Roman" w:hAnsi="Palatino Linotype" w:cs="Times New Roman"/>
          <w:color w:val="000000"/>
        </w:rPr>
        <w:t xml:space="preserve"> the </w:t>
      </w:r>
      <w:r w:rsidR="00905F0D">
        <w:rPr>
          <w:rFonts w:ascii="Palatino Linotype" w:eastAsia="Times New Roman" w:hAnsi="Palatino Linotype" w:cs="Times New Roman"/>
          <w:color w:val="000000"/>
        </w:rPr>
        <w:t>sample data.</w:t>
      </w:r>
    </w:p>
    <w:p w14:paraId="5BD02021" w14:textId="7EA5FCE0" w:rsidR="00FA4254" w:rsidRDefault="00FA4254" w:rsidP="003A125E">
      <w:pPr>
        <w:ind w:left="1440"/>
        <w:rPr>
          <w:rFonts w:ascii="Palatino Linotype" w:eastAsia="Times New Roman" w:hAnsi="Palatino Linotype" w:cs="Times New Roman"/>
          <w:i/>
          <w:color w:val="000000"/>
          <w:sz w:val="16"/>
        </w:rPr>
      </w:pPr>
      <w:r>
        <w:rPr>
          <w:rFonts w:ascii="Palatino Linotype" w:eastAsia="Times New Roman" w:hAnsi="Palatino Linotype" w:cs="Times New Roman"/>
          <w:b/>
          <w:noProof/>
          <w:color w:val="000000"/>
        </w:rPr>
        <w:drawing>
          <wp:inline distT="0" distB="0" distL="0" distR="0" wp14:anchorId="6FA32B0B" wp14:editId="36C3198E">
            <wp:extent cx="4979467" cy="37346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experiment_one_in_sample.png"/>
                    <pic:cNvPicPr/>
                  </pic:nvPicPr>
                  <pic:blipFill>
                    <a:blip r:embed="rId10">
                      <a:extLst>
                        <a:ext uri="{28A0092B-C50C-407E-A947-70E740481C1C}">
                          <a14:useLocalDpi xmlns:a14="http://schemas.microsoft.com/office/drawing/2010/main" val="0"/>
                        </a:ext>
                      </a:extLst>
                    </a:blip>
                    <a:stretch>
                      <a:fillRect/>
                    </a:stretch>
                  </pic:blipFill>
                  <pic:spPr>
                    <a:xfrm>
                      <a:off x="0" y="0"/>
                      <a:ext cx="5068373" cy="3801281"/>
                    </a:xfrm>
                    <a:prstGeom prst="rect">
                      <a:avLst/>
                    </a:prstGeom>
                  </pic:spPr>
                </pic:pic>
              </a:graphicData>
            </a:graphic>
          </wp:inline>
        </w:drawing>
      </w:r>
    </w:p>
    <w:p w14:paraId="40E31DBA" w14:textId="01211F81" w:rsidR="00FA4254" w:rsidRPr="00FA4254" w:rsidRDefault="00FA4254" w:rsidP="00FA4254">
      <w:pPr>
        <w:ind w:left="1440"/>
        <w:rPr>
          <w:rFonts w:ascii="Palatino Linotype" w:eastAsia="Times New Roman" w:hAnsi="Palatino Linotype" w:cs="Times New Roman"/>
          <w:i/>
          <w:color w:val="000000"/>
          <w:sz w:val="16"/>
        </w:rPr>
      </w:pPr>
      <w:r w:rsidRPr="00FA4254">
        <w:rPr>
          <w:rFonts w:ascii="Palatino Linotype" w:eastAsia="Times New Roman" w:hAnsi="Palatino Linotype" w:cs="Times New Roman"/>
          <w:i/>
          <w:color w:val="000000"/>
          <w:sz w:val="16"/>
        </w:rPr>
        <w:t xml:space="preserve">Figure 3— </w:t>
      </w:r>
      <w:proofErr w:type="gramStart"/>
      <w:r w:rsidRPr="00FA4254">
        <w:rPr>
          <w:rFonts w:ascii="Palatino Linotype" w:eastAsia="Times New Roman" w:hAnsi="Palatino Linotype" w:cs="Times New Roman"/>
          <w:i/>
          <w:color w:val="000000"/>
          <w:sz w:val="16"/>
        </w:rPr>
        <w:t>This</w:t>
      </w:r>
      <w:proofErr w:type="gramEnd"/>
      <w:r w:rsidRPr="00FA4254">
        <w:rPr>
          <w:rFonts w:ascii="Palatino Linotype" w:eastAsia="Times New Roman" w:hAnsi="Palatino Linotype" w:cs="Times New Roman"/>
          <w:i/>
          <w:color w:val="000000"/>
          <w:sz w:val="16"/>
        </w:rPr>
        <w:t xml:space="preserve"> graph shows the comparison of the manual strategy</w:t>
      </w:r>
      <w:r w:rsidR="00273AF7">
        <w:rPr>
          <w:rFonts w:ascii="Palatino Linotype" w:eastAsia="Times New Roman" w:hAnsi="Palatino Linotype" w:cs="Times New Roman"/>
          <w:i/>
          <w:color w:val="000000"/>
          <w:sz w:val="16"/>
        </w:rPr>
        <w:t>, strategy learner,</w:t>
      </w:r>
      <w:r w:rsidRPr="00FA4254">
        <w:rPr>
          <w:rFonts w:ascii="Palatino Linotype" w:eastAsia="Times New Roman" w:hAnsi="Palatino Linotype" w:cs="Times New Roman"/>
          <w:i/>
          <w:color w:val="000000"/>
          <w:sz w:val="16"/>
        </w:rPr>
        <w:t xml:space="preserve"> </w:t>
      </w:r>
      <w:r w:rsidR="00273AF7">
        <w:rPr>
          <w:rFonts w:ascii="Palatino Linotype" w:eastAsia="Times New Roman" w:hAnsi="Palatino Linotype" w:cs="Times New Roman"/>
          <w:i/>
          <w:color w:val="000000"/>
          <w:sz w:val="16"/>
        </w:rPr>
        <w:t xml:space="preserve">and </w:t>
      </w:r>
      <w:r w:rsidRPr="00FA4254">
        <w:rPr>
          <w:rFonts w:ascii="Palatino Linotype" w:eastAsia="Times New Roman" w:hAnsi="Palatino Linotype" w:cs="Times New Roman"/>
          <w:i/>
          <w:color w:val="000000"/>
          <w:sz w:val="16"/>
        </w:rPr>
        <w:t xml:space="preserve">benchmark results in regards to JPM prices during </w:t>
      </w:r>
      <w:r w:rsidR="00545BBC">
        <w:rPr>
          <w:rFonts w:ascii="Palatino Linotype" w:eastAsia="Times New Roman" w:hAnsi="Palatino Linotype" w:cs="Times New Roman"/>
          <w:i/>
          <w:color w:val="000000"/>
          <w:sz w:val="16"/>
        </w:rPr>
        <w:t>an</w:t>
      </w:r>
      <w:r w:rsidRPr="00FA4254">
        <w:rPr>
          <w:rFonts w:ascii="Palatino Linotype" w:eastAsia="Times New Roman" w:hAnsi="Palatino Linotype" w:cs="Times New Roman"/>
          <w:i/>
          <w:color w:val="000000"/>
          <w:sz w:val="16"/>
        </w:rPr>
        <w:t xml:space="preserve"> in-sample time period.</w:t>
      </w:r>
    </w:p>
    <w:p w14:paraId="6AAE996C" w14:textId="77777777" w:rsidR="003A125E" w:rsidRDefault="00FA4254" w:rsidP="003A125E">
      <w:pPr>
        <w:ind w:left="1440"/>
        <w:rPr>
          <w:rFonts w:ascii="Palatino Linotype" w:eastAsia="Times New Roman" w:hAnsi="Palatino Linotype" w:cs="Times New Roman"/>
          <w:i/>
          <w:color w:val="000000"/>
          <w:sz w:val="16"/>
        </w:rPr>
      </w:pPr>
      <w:r>
        <w:rPr>
          <w:rFonts w:ascii="Palatino Linotype" w:eastAsia="Times New Roman" w:hAnsi="Palatino Linotype" w:cs="Times New Roman"/>
          <w:b/>
          <w:noProof/>
          <w:color w:val="000000"/>
        </w:rPr>
        <w:lastRenderedPageBreak/>
        <w:drawing>
          <wp:inline distT="0" distB="0" distL="0" distR="0" wp14:anchorId="1BCCC309" wp14:editId="25B89C75">
            <wp:extent cx="5075054" cy="38062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experiment_one_out_of_sample.png"/>
                    <pic:cNvPicPr/>
                  </pic:nvPicPr>
                  <pic:blipFill>
                    <a:blip r:embed="rId11">
                      <a:extLst>
                        <a:ext uri="{28A0092B-C50C-407E-A947-70E740481C1C}">
                          <a14:useLocalDpi xmlns:a14="http://schemas.microsoft.com/office/drawing/2010/main" val="0"/>
                        </a:ext>
                      </a:extLst>
                    </a:blip>
                    <a:stretch>
                      <a:fillRect/>
                    </a:stretch>
                  </pic:blipFill>
                  <pic:spPr>
                    <a:xfrm>
                      <a:off x="0" y="0"/>
                      <a:ext cx="5118619" cy="3838965"/>
                    </a:xfrm>
                    <a:prstGeom prst="rect">
                      <a:avLst/>
                    </a:prstGeom>
                  </pic:spPr>
                </pic:pic>
              </a:graphicData>
            </a:graphic>
          </wp:inline>
        </w:drawing>
      </w:r>
    </w:p>
    <w:p w14:paraId="28F94E88" w14:textId="669D1525" w:rsidR="003A125E" w:rsidRPr="003A125E" w:rsidRDefault="003A125E" w:rsidP="003A125E">
      <w:pPr>
        <w:ind w:left="1440"/>
        <w:rPr>
          <w:rFonts w:ascii="Palatino Linotype" w:eastAsia="Times New Roman" w:hAnsi="Palatino Linotype" w:cs="Times New Roman"/>
          <w:i/>
          <w:color w:val="000000"/>
          <w:sz w:val="16"/>
        </w:rPr>
      </w:pPr>
      <w:r>
        <w:rPr>
          <w:rFonts w:ascii="Palatino Linotype" w:eastAsia="Times New Roman" w:hAnsi="Palatino Linotype" w:cs="Times New Roman"/>
          <w:i/>
          <w:color w:val="000000"/>
          <w:sz w:val="16"/>
        </w:rPr>
        <w:t>Figure 4</w:t>
      </w:r>
      <w:r w:rsidRPr="003A125E">
        <w:rPr>
          <w:rFonts w:ascii="Palatino Linotype" w:eastAsia="Times New Roman" w:hAnsi="Palatino Linotype" w:cs="Times New Roman"/>
          <w:i/>
          <w:color w:val="000000"/>
          <w:sz w:val="16"/>
        </w:rPr>
        <w:t xml:space="preserve">— </w:t>
      </w:r>
      <w:proofErr w:type="gramStart"/>
      <w:r w:rsidRPr="003A125E">
        <w:rPr>
          <w:rFonts w:ascii="Palatino Linotype" w:eastAsia="Times New Roman" w:hAnsi="Palatino Linotype" w:cs="Times New Roman"/>
          <w:i/>
          <w:color w:val="000000"/>
          <w:sz w:val="16"/>
        </w:rPr>
        <w:t>This</w:t>
      </w:r>
      <w:proofErr w:type="gramEnd"/>
      <w:r w:rsidRPr="003A125E">
        <w:rPr>
          <w:rFonts w:ascii="Palatino Linotype" w:eastAsia="Times New Roman" w:hAnsi="Palatino Linotype" w:cs="Times New Roman"/>
          <w:i/>
          <w:color w:val="000000"/>
          <w:sz w:val="16"/>
        </w:rPr>
        <w:t xml:space="preserve"> graph shows the comparison of the </w:t>
      </w:r>
      <w:r w:rsidR="00273AF7" w:rsidRPr="00FA4254">
        <w:rPr>
          <w:rFonts w:ascii="Palatino Linotype" w:eastAsia="Times New Roman" w:hAnsi="Palatino Linotype" w:cs="Times New Roman"/>
          <w:i/>
          <w:color w:val="000000"/>
          <w:sz w:val="16"/>
        </w:rPr>
        <w:t>manual strategy</w:t>
      </w:r>
      <w:r w:rsidR="00273AF7">
        <w:rPr>
          <w:rFonts w:ascii="Palatino Linotype" w:eastAsia="Times New Roman" w:hAnsi="Palatino Linotype" w:cs="Times New Roman"/>
          <w:i/>
          <w:color w:val="000000"/>
          <w:sz w:val="16"/>
        </w:rPr>
        <w:t>, strategy learner,</w:t>
      </w:r>
      <w:r w:rsidR="00273AF7" w:rsidRPr="00FA4254">
        <w:rPr>
          <w:rFonts w:ascii="Palatino Linotype" w:eastAsia="Times New Roman" w:hAnsi="Palatino Linotype" w:cs="Times New Roman"/>
          <w:i/>
          <w:color w:val="000000"/>
          <w:sz w:val="16"/>
        </w:rPr>
        <w:t xml:space="preserve"> </w:t>
      </w:r>
      <w:r w:rsidR="00273AF7">
        <w:rPr>
          <w:rFonts w:ascii="Palatino Linotype" w:eastAsia="Times New Roman" w:hAnsi="Palatino Linotype" w:cs="Times New Roman"/>
          <w:i/>
          <w:color w:val="000000"/>
          <w:sz w:val="16"/>
        </w:rPr>
        <w:t xml:space="preserve">and </w:t>
      </w:r>
      <w:r w:rsidR="00273AF7" w:rsidRPr="00FA4254">
        <w:rPr>
          <w:rFonts w:ascii="Palatino Linotype" w:eastAsia="Times New Roman" w:hAnsi="Palatino Linotype" w:cs="Times New Roman"/>
          <w:i/>
          <w:color w:val="000000"/>
          <w:sz w:val="16"/>
        </w:rPr>
        <w:t xml:space="preserve">benchmark results </w:t>
      </w:r>
      <w:r w:rsidRPr="003A125E">
        <w:rPr>
          <w:rFonts w:ascii="Palatino Linotype" w:eastAsia="Times New Roman" w:hAnsi="Palatino Linotype" w:cs="Times New Roman"/>
          <w:i/>
          <w:color w:val="000000"/>
          <w:sz w:val="16"/>
        </w:rPr>
        <w:t>in reg</w:t>
      </w:r>
      <w:r>
        <w:rPr>
          <w:rFonts w:ascii="Palatino Linotype" w:eastAsia="Times New Roman" w:hAnsi="Palatino Linotype" w:cs="Times New Roman"/>
          <w:i/>
          <w:color w:val="000000"/>
          <w:sz w:val="16"/>
        </w:rPr>
        <w:t xml:space="preserve">ards to JPM prices during </w:t>
      </w:r>
      <w:r w:rsidR="00545BBC">
        <w:rPr>
          <w:rFonts w:ascii="Palatino Linotype" w:eastAsia="Times New Roman" w:hAnsi="Palatino Linotype" w:cs="Times New Roman"/>
          <w:i/>
          <w:color w:val="000000"/>
          <w:sz w:val="16"/>
        </w:rPr>
        <w:t>an</w:t>
      </w:r>
      <w:r>
        <w:rPr>
          <w:rFonts w:ascii="Palatino Linotype" w:eastAsia="Times New Roman" w:hAnsi="Palatino Linotype" w:cs="Times New Roman"/>
          <w:i/>
          <w:color w:val="000000"/>
          <w:sz w:val="16"/>
        </w:rPr>
        <w:t xml:space="preserve"> out-of</w:t>
      </w:r>
      <w:r w:rsidRPr="003A125E">
        <w:rPr>
          <w:rFonts w:ascii="Palatino Linotype" w:eastAsia="Times New Roman" w:hAnsi="Palatino Linotype" w:cs="Times New Roman"/>
          <w:i/>
          <w:color w:val="000000"/>
          <w:sz w:val="16"/>
        </w:rPr>
        <w:t>-sample time period.</w:t>
      </w:r>
    </w:p>
    <w:p w14:paraId="3D75DB84" w14:textId="7A1DECEE" w:rsidR="00F4515F" w:rsidRDefault="005D41FF" w:rsidP="003A2410">
      <w:pPr>
        <w:rPr>
          <w:rFonts w:ascii="Palatino Linotype" w:eastAsia="Times New Roman" w:hAnsi="Palatino Linotype" w:cs="Times New Roman"/>
          <w:b/>
          <w:color w:val="000000"/>
        </w:rPr>
      </w:pPr>
      <w:r>
        <w:rPr>
          <w:rFonts w:ascii="Palatino Linotype" w:eastAsia="Times New Roman" w:hAnsi="Palatino Linotype" w:cs="Times New Roman"/>
          <w:b/>
          <w:color w:val="000000"/>
        </w:rPr>
        <w:t>6 EXPERIMENT 2</w:t>
      </w:r>
    </w:p>
    <w:p w14:paraId="250E8329" w14:textId="53A26588" w:rsidR="005A497D" w:rsidRDefault="005A497D" w:rsidP="005A497D">
      <w:pPr>
        <w:rPr>
          <w:rFonts w:ascii="Palatino Linotype" w:eastAsia="Times New Roman" w:hAnsi="Palatino Linotype" w:cs="Times New Roman"/>
          <w:color w:val="000000"/>
        </w:rPr>
      </w:pPr>
      <w:r w:rsidRPr="005A497D">
        <w:rPr>
          <w:rFonts w:ascii="Palatino Linotype" w:eastAsia="Times New Roman" w:hAnsi="Palatino Linotype" w:cs="Times New Roman"/>
          <w:color w:val="000000"/>
        </w:rPr>
        <w:t xml:space="preserve">The impact value is an important parameter in trading simulation as it affects </w:t>
      </w:r>
      <w:r w:rsidR="004B6A5A">
        <w:rPr>
          <w:rFonts w:ascii="Palatino Linotype" w:eastAsia="Times New Roman" w:hAnsi="Palatino Linotype" w:cs="Times New Roman"/>
          <w:color w:val="000000"/>
        </w:rPr>
        <w:t>the transaction costs and the y-</w:t>
      </w:r>
      <w:r w:rsidRPr="005A497D">
        <w:rPr>
          <w:rFonts w:ascii="Palatino Linotype" w:eastAsia="Times New Roman" w:hAnsi="Palatino Linotype" w:cs="Times New Roman"/>
          <w:color w:val="000000"/>
        </w:rPr>
        <w:t xml:space="preserve">threshold used in the add evidence step. Based on </w:t>
      </w:r>
      <w:r>
        <w:rPr>
          <w:rFonts w:ascii="Palatino Linotype" w:eastAsia="Times New Roman" w:hAnsi="Palatino Linotype" w:cs="Times New Roman"/>
          <w:color w:val="000000"/>
        </w:rPr>
        <w:t>this</w:t>
      </w:r>
      <w:r w:rsidRPr="005A497D">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 xml:space="preserve">my initial hypothesis </w:t>
      </w:r>
      <w:r w:rsidRPr="005A497D">
        <w:rPr>
          <w:rFonts w:ascii="Palatino Linotype" w:eastAsia="Times New Roman" w:hAnsi="Palatino Linotype" w:cs="Times New Roman"/>
          <w:color w:val="000000"/>
        </w:rPr>
        <w:t>that increasing the impact value will have a negative impact on the perfo</w:t>
      </w:r>
      <w:r>
        <w:rPr>
          <w:rFonts w:ascii="Palatino Linotype" w:eastAsia="Times New Roman" w:hAnsi="Palatino Linotype" w:cs="Times New Roman"/>
          <w:color w:val="000000"/>
        </w:rPr>
        <w:t>rmance of the strategy learner</w:t>
      </w:r>
      <w:r w:rsidRPr="005A497D">
        <w:rPr>
          <w:rFonts w:ascii="Palatino Linotype" w:eastAsia="Times New Roman" w:hAnsi="Palatino Linotype" w:cs="Times New Roman"/>
          <w:color w:val="000000"/>
        </w:rPr>
        <w:t xml:space="preserve">. This is because higher impact values will lead to higher transaction costs and more aggressive trading, which may not be optimal for the </w:t>
      </w:r>
      <w:r>
        <w:rPr>
          <w:rFonts w:ascii="Palatino Linotype" w:eastAsia="Times New Roman" w:hAnsi="Palatino Linotype" w:cs="Times New Roman"/>
          <w:color w:val="000000"/>
        </w:rPr>
        <w:t>strategy learner</w:t>
      </w:r>
      <w:r w:rsidRPr="005A497D">
        <w:rPr>
          <w:rFonts w:ascii="Palatino Linotype" w:eastAsia="Times New Roman" w:hAnsi="Palatino Linotype" w:cs="Times New Roman"/>
          <w:color w:val="000000"/>
        </w:rPr>
        <w:t>.</w:t>
      </w:r>
    </w:p>
    <w:p w14:paraId="4B4172E9" w14:textId="2060E8AB" w:rsidR="003A125E" w:rsidRDefault="005A497D" w:rsidP="003A2410">
      <w:pPr>
        <w:rPr>
          <w:rFonts w:ascii="Palatino Linotype" w:eastAsia="Times New Roman" w:hAnsi="Palatino Linotype" w:cs="Times New Roman"/>
          <w:color w:val="000000"/>
        </w:rPr>
      </w:pPr>
      <w:r w:rsidRPr="005A497D">
        <w:rPr>
          <w:rFonts w:ascii="Palatino Linotype" w:eastAsia="Times New Roman" w:hAnsi="Palatino Linotype" w:cs="Times New Roman"/>
          <w:color w:val="000000"/>
        </w:rPr>
        <w:t xml:space="preserve">To test this hypothesis, </w:t>
      </w:r>
      <w:r>
        <w:rPr>
          <w:rFonts w:ascii="Palatino Linotype" w:eastAsia="Times New Roman" w:hAnsi="Palatino Linotype" w:cs="Times New Roman"/>
          <w:color w:val="000000"/>
        </w:rPr>
        <w:t>I</w:t>
      </w:r>
      <w:r w:rsidRPr="005A497D">
        <w:rPr>
          <w:rFonts w:ascii="Palatino Linotype" w:eastAsia="Times New Roman" w:hAnsi="Palatino Linotype" w:cs="Times New Roman"/>
          <w:color w:val="000000"/>
        </w:rPr>
        <w:t xml:space="preserve"> selected five impact values: 0.00</w:t>
      </w:r>
      <w:r>
        <w:rPr>
          <w:rFonts w:ascii="Palatino Linotype" w:eastAsia="Times New Roman" w:hAnsi="Palatino Linotype" w:cs="Times New Roman"/>
          <w:color w:val="000000"/>
        </w:rPr>
        <w:t>, 0.002, 0.05, 0.7, and 1.00, and</w:t>
      </w:r>
      <w:r w:rsidRPr="005A497D">
        <w:rPr>
          <w:rFonts w:ascii="Palatino Linotype" w:eastAsia="Times New Roman" w:hAnsi="Palatino Linotype" w:cs="Times New Roman"/>
          <w:color w:val="000000"/>
        </w:rPr>
        <w:t xml:space="preserve"> </w:t>
      </w:r>
      <w:r w:rsidR="004B6A5A">
        <w:rPr>
          <w:rFonts w:ascii="Palatino Linotype" w:eastAsia="Times New Roman" w:hAnsi="Palatino Linotype" w:cs="Times New Roman"/>
          <w:color w:val="000000"/>
        </w:rPr>
        <w:t xml:space="preserve">assessed </w:t>
      </w:r>
      <w:r w:rsidRPr="005A497D">
        <w:rPr>
          <w:rFonts w:ascii="Palatino Linotype" w:eastAsia="Times New Roman" w:hAnsi="Palatino Linotype" w:cs="Times New Roman"/>
          <w:color w:val="000000"/>
        </w:rPr>
        <w:t>the impact of these values on two metrics: average daily returns and number of trades made.</w:t>
      </w:r>
      <w:r>
        <w:rPr>
          <w:rFonts w:ascii="Palatino Linotype" w:eastAsia="Times New Roman" w:hAnsi="Palatino Linotype" w:cs="Times New Roman"/>
          <w:color w:val="000000"/>
        </w:rPr>
        <w:t xml:space="preserve"> B</w:t>
      </w:r>
      <w:r w:rsidRPr="005A497D">
        <w:rPr>
          <w:rFonts w:ascii="Palatino Linotype" w:eastAsia="Times New Roman" w:hAnsi="Palatino Linotype" w:cs="Times New Roman"/>
          <w:color w:val="000000"/>
        </w:rPr>
        <w:t>ased on</w:t>
      </w:r>
      <w:r w:rsidR="00E960EF">
        <w:rPr>
          <w:rFonts w:ascii="Palatino Linotype" w:eastAsia="Times New Roman" w:hAnsi="Palatino Linotype" w:cs="Times New Roman"/>
          <w:color w:val="000000"/>
        </w:rPr>
        <w:t xml:space="preserve"> t</w:t>
      </w:r>
      <w:r w:rsidR="00E960EF" w:rsidRPr="005A497D">
        <w:rPr>
          <w:rFonts w:ascii="Palatino Linotype" w:eastAsia="Times New Roman" w:hAnsi="Palatino Linotype" w:cs="Times New Roman"/>
          <w:color w:val="000000"/>
        </w:rPr>
        <w:t>he a</w:t>
      </w:r>
      <w:r w:rsidR="00E960EF">
        <w:rPr>
          <w:rFonts w:ascii="Palatino Linotype" w:eastAsia="Times New Roman" w:hAnsi="Palatino Linotype" w:cs="Times New Roman"/>
          <w:color w:val="000000"/>
        </w:rPr>
        <w:t xml:space="preserve">verage daily returns shown in </w:t>
      </w:r>
      <w:r>
        <w:rPr>
          <w:rFonts w:ascii="Palatino Linotype" w:eastAsia="Times New Roman" w:hAnsi="Palatino Linotype" w:cs="Times New Roman"/>
          <w:color w:val="000000"/>
        </w:rPr>
        <w:t>Figure 5,</w:t>
      </w:r>
      <w:r w:rsidR="00E960EF">
        <w:rPr>
          <w:rFonts w:ascii="Palatino Linotype" w:eastAsia="Times New Roman" w:hAnsi="Palatino Linotype" w:cs="Times New Roman"/>
          <w:color w:val="000000"/>
        </w:rPr>
        <w:t xml:space="preserve"> </w:t>
      </w:r>
      <w:r w:rsidRPr="005A497D">
        <w:rPr>
          <w:rFonts w:ascii="Palatino Linotype" w:eastAsia="Times New Roman" w:hAnsi="Palatino Linotype" w:cs="Times New Roman"/>
          <w:color w:val="000000"/>
        </w:rPr>
        <w:t xml:space="preserve">it seems that </w:t>
      </w:r>
      <w:r>
        <w:rPr>
          <w:rFonts w:ascii="Palatino Linotype" w:eastAsia="Times New Roman" w:hAnsi="Palatino Linotype" w:cs="Times New Roman"/>
          <w:color w:val="000000"/>
        </w:rPr>
        <w:t>my</w:t>
      </w:r>
      <w:r w:rsidRPr="005A497D">
        <w:rPr>
          <w:rFonts w:ascii="Palatino Linotype" w:eastAsia="Times New Roman" w:hAnsi="Palatino Linotype" w:cs="Times New Roman"/>
          <w:color w:val="000000"/>
        </w:rPr>
        <w:t xml:space="preserve"> initial hypothesis may have </w:t>
      </w:r>
      <w:r>
        <w:rPr>
          <w:rFonts w:ascii="Palatino Linotype" w:eastAsia="Times New Roman" w:hAnsi="Palatino Linotype" w:cs="Times New Roman"/>
          <w:color w:val="000000"/>
        </w:rPr>
        <w:t>been incorrect. This</w:t>
      </w:r>
      <w:r w:rsidRPr="005A497D">
        <w:rPr>
          <w:rFonts w:ascii="Palatino Linotype" w:eastAsia="Times New Roman" w:hAnsi="Palatino Linotype" w:cs="Times New Roman"/>
          <w:color w:val="000000"/>
        </w:rPr>
        <w:t xml:space="preserve"> chart shows that the average return actually increased as the impact value got higher. This may be because higher impact values allow the strategy learner to take more aggressive trading actions, </w:t>
      </w:r>
      <w:r>
        <w:rPr>
          <w:rFonts w:ascii="Palatino Linotype" w:eastAsia="Times New Roman" w:hAnsi="Palatino Linotype" w:cs="Times New Roman"/>
          <w:color w:val="000000"/>
        </w:rPr>
        <w:t xml:space="preserve">thus </w:t>
      </w:r>
      <w:r w:rsidRPr="005A497D">
        <w:rPr>
          <w:rFonts w:ascii="Palatino Linotype" w:eastAsia="Times New Roman" w:hAnsi="Palatino Linotype" w:cs="Times New Roman"/>
          <w:color w:val="000000"/>
        </w:rPr>
        <w:t>leading to higher returns</w:t>
      </w:r>
      <w:r w:rsidR="004B6A5A">
        <w:rPr>
          <w:rFonts w:ascii="Palatino Linotype" w:eastAsia="Times New Roman" w:hAnsi="Palatino Linotype" w:cs="Times New Roman"/>
          <w:color w:val="000000"/>
        </w:rPr>
        <w:t>, the opposite of what I hypothesized originally</w:t>
      </w:r>
      <w:r w:rsidRPr="005A497D">
        <w:rPr>
          <w:rFonts w:ascii="Palatino Linotype" w:eastAsia="Times New Roman" w:hAnsi="Palatino Linotype" w:cs="Times New Roman"/>
          <w:color w:val="000000"/>
        </w:rPr>
        <w:t>.</w:t>
      </w:r>
      <w:r>
        <w:rPr>
          <w:rFonts w:ascii="Palatino Linotype" w:eastAsia="Times New Roman" w:hAnsi="Palatino Linotype" w:cs="Times New Roman"/>
          <w:color w:val="000000"/>
        </w:rPr>
        <w:t xml:space="preserve"> In regards to</w:t>
      </w:r>
      <w:r w:rsidRPr="005A497D">
        <w:rPr>
          <w:rFonts w:ascii="Palatino Linotype" w:eastAsia="Times New Roman" w:hAnsi="Palatino Linotype" w:cs="Times New Roman"/>
          <w:color w:val="000000"/>
        </w:rPr>
        <w:t xml:space="preserve"> the number of trades made, </w:t>
      </w:r>
      <w:r w:rsidR="00E960EF">
        <w:rPr>
          <w:rFonts w:ascii="Palatino Linotype" w:eastAsia="Times New Roman" w:hAnsi="Palatino Linotype" w:cs="Times New Roman"/>
          <w:color w:val="000000"/>
        </w:rPr>
        <w:t>Figure 6</w:t>
      </w:r>
      <w:r w:rsidRPr="005A497D">
        <w:rPr>
          <w:rFonts w:ascii="Palatino Linotype" w:eastAsia="Times New Roman" w:hAnsi="Palatino Linotype" w:cs="Times New Roman"/>
          <w:color w:val="000000"/>
        </w:rPr>
        <w:t xml:space="preserve"> shows that 0.05 returned the highest number of trades, while 1.00 returned the lowest. </w:t>
      </w:r>
      <w:r w:rsidR="004B6A5A">
        <w:rPr>
          <w:rFonts w:ascii="Palatino Linotype" w:eastAsia="Times New Roman" w:hAnsi="Palatino Linotype" w:cs="Times New Roman"/>
          <w:color w:val="000000"/>
        </w:rPr>
        <w:t>Though, this</w:t>
      </w:r>
      <w:r w:rsidRPr="005A497D">
        <w:rPr>
          <w:rFonts w:ascii="Palatino Linotype" w:eastAsia="Times New Roman" w:hAnsi="Palatino Linotype" w:cs="Times New Roman"/>
          <w:color w:val="000000"/>
        </w:rPr>
        <w:t xml:space="preserve"> may not be a bad thing since 1.00 yielded the highest average daily returns.</w:t>
      </w:r>
    </w:p>
    <w:p w14:paraId="0B812613" w14:textId="490365A0" w:rsidR="00E960EF" w:rsidRDefault="00E960EF" w:rsidP="00E960EF">
      <w:pPr>
        <w:ind w:left="720"/>
        <w:rPr>
          <w:rFonts w:ascii="Palatino Linotype" w:eastAsia="Times New Roman" w:hAnsi="Palatino Linotype" w:cs="Times New Roman"/>
          <w:color w:val="000000"/>
        </w:rPr>
      </w:pPr>
      <w:r>
        <w:rPr>
          <w:rFonts w:ascii="Palatino Linotype" w:eastAsia="Times New Roman" w:hAnsi="Palatino Linotype" w:cs="Times New Roman"/>
          <w:noProof/>
          <w:color w:val="000000"/>
        </w:rPr>
        <w:lastRenderedPageBreak/>
        <w:drawing>
          <wp:inline distT="0" distB="0" distL="0" distR="0" wp14:anchorId="35969A4C" wp14:editId="77692562">
            <wp:extent cx="4620126" cy="346509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avg_rets.png"/>
                    <pic:cNvPicPr/>
                  </pic:nvPicPr>
                  <pic:blipFill>
                    <a:blip r:embed="rId12">
                      <a:extLst>
                        <a:ext uri="{28A0092B-C50C-407E-A947-70E740481C1C}">
                          <a14:useLocalDpi xmlns:a14="http://schemas.microsoft.com/office/drawing/2010/main" val="0"/>
                        </a:ext>
                      </a:extLst>
                    </a:blip>
                    <a:stretch>
                      <a:fillRect/>
                    </a:stretch>
                  </pic:blipFill>
                  <pic:spPr>
                    <a:xfrm>
                      <a:off x="0" y="0"/>
                      <a:ext cx="4639509" cy="3479631"/>
                    </a:xfrm>
                    <a:prstGeom prst="rect">
                      <a:avLst/>
                    </a:prstGeom>
                  </pic:spPr>
                </pic:pic>
              </a:graphicData>
            </a:graphic>
          </wp:inline>
        </w:drawing>
      </w:r>
    </w:p>
    <w:p w14:paraId="1A34DDF8" w14:textId="61AAB169" w:rsidR="000C65D5" w:rsidRDefault="00E960EF" w:rsidP="000C65D5">
      <w:pPr>
        <w:ind w:left="720"/>
        <w:rPr>
          <w:rFonts w:ascii="Palatino Linotype" w:eastAsia="Times New Roman" w:hAnsi="Palatino Linotype" w:cs="Times New Roman"/>
          <w:i/>
          <w:color w:val="000000"/>
          <w:sz w:val="16"/>
        </w:rPr>
      </w:pPr>
      <w:r>
        <w:rPr>
          <w:rFonts w:ascii="Palatino Linotype" w:eastAsia="Times New Roman" w:hAnsi="Palatino Linotype" w:cs="Times New Roman"/>
          <w:i/>
          <w:color w:val="000000"/>
          <w:sz w:val="16"/>
        </w:rPr>
        <w:t>Figure 5</w:t>
      </w:r>
      <w:r w:rsidRPr="00E960EF">
        <w:rPr>
          <w:rFonts w:ascii="Palatino Linotype" w:eastAsia="Times New Roman" w:hAnsi="Palatino Linotype" w:cs="Times New Roman"/>
          <w:i/>
          <w:color w:val="000000"/>
          <w:sz w:val="16"/>
        </w:rPr>
        <w:t xml:space="preserve">— </w:t>
      </w:r>
      <w:proofErr w:type="gramStart"/>
      <w:r w:rsidRPr="00E960EF">
        <w:rPr>
          <w:rFonts w:ascii="Palatino Linotype" w:eastAsia="Times New Roman" w:hAnsi="Palatino Linotype" w:cs="Times New Roman"/>
          <w:i/>
          <w:color w:val="000000"/>
          <w:sz w:val="16"/>
        </w:rPr>
        <w:t>This</w:t>
      </w:r>
      <w:proofErr w:type="gramEnd"/>
      <w:r w:rsidRPr="00E960EF">
        <w:rPr>
          <w:rFonts w:ascii="Palatino Linotype" w:eastAsia="Times New Roman" w:hAnsi="Palatino Linotype" w:cs="Times New Roman"/>
          <w:i/>
          <w:color w:val="000000"/>
          <w:sz w:val="16"/>
        </w:rPr>
        <w:t xml:space="preserve"> graph shows the comparison of</w:t>
      </w:r>
      <w:r>
        <w:rPr>
          <w:rFonts w:ascii="Palatino Linotype" w:eastAsia="Times New Roman" w:hAnsi="Palatino Linotype" w:cs="Times New Roman"/>
          <w:i/>
          <w:color w:val="000000"/>
          <w:sz w:val="16"/>
        </w:rPr>
        <w:t xml:space="preserve"> how different impacts affect</w:t>
      </w:r>
      <w:r w:rsidRPr="00E960EF">
        <w:rPr>
          <w:rFonts w:ascii="Palatino Linotype" w:eastAsia="Times New Roman" w:hAnsi="Palatino Linotype" w:cs="Times New Roman"/>
          <w:i/>
          <w:color w:val="000000"/>
          <w:sz w:val="16"/>
        </w:rPr>
        <w:t xml:space="preserve"> the</w:t>
      </w:r>
      <w:r>
        <w:rPr>
          <w:rFonts w:ascii="Palatino Linotype" w:eastAsia="Times New Roman" w:hAnsi="Palatino Linotype" w:cs="Times New Roman"/>
          <w:i/>
          <w:color w:val="000000"/>
          <w:sz w:val="16"/>
        </w:rPr>
        <w:t xml:space="preserve"> average daily returns calculated using the</w:t>
      </w:r>
      <w:r w:rsidRPr="00E960EF">
        <w:rPr>
          <w:rFonts w:ascii="Palatino Linotype" w:eastAsia="Times New Roman" w:hAnsi="Palatino Linotype" w:cs="Times New Roman"/>
          <w:i/>
          <w:color w:val="000000"/>
          <w:sz w:val="16"/>
        </w:rPr>
        <w:t xml:space="preserve"> strategy </w:t>
      </w:r>
      <w:r>
        <w:rPr>
          <w:rFonts w:ascii="Palatino Linotype" w:eastAsia="Times New Roman" w:hAnsi="Palatino Linotype" w:cs="Times New Roman"/>
          <w:i/>
          <w:color w:val="000000"/>
          <w:sz w:val="16"/>
        </w:rPr>
        <w:t>learner</w:t>
      </w:r>
      <w:r w:rsidRPr="00E960EF">
        <w:rPr>
          <w:rFonts w:ascii="Palatino Linotype" w:eastAsia="Times New Roman" w:hAnsi="Palatino Linotype" w:cs="Times New Roman"/>
          <w:i/>
          <w:color w:val="000000"/>
          <w:sz w:val="16"/>
        </w:rPr>
        <w:t xml:space="preserve"> </w:t>
      </w:r>
      <w:r>
        <w:rPr>
          <w:rFonts w:ascii="Palatino Linotype" w:eastAsia="Times New Roman" w:hAnsi="Palatino Linotype" w:cs="Times New Roman"/>
          <w:i/>
          <w:color w:val="000000"/>
          <w:sz w:val="16"/>
        </w:rPr>
        <w:t>during an in</w:t>
      </w:r>
      <w:r w:rsidRPr="00E960EF">
        <w:rPr>
          <w:rFonts w:ascii="Palatino Linotype" w:eastAsia="Times New Roman" w:hAnsi="Palatino Linotype" w:cs="Times New Roman"/>
          <w:i/>
          <w:color w:val="000000"/>
          <w:sz w:val="16"/>
        </w:rPr>
        <w:t>-sample time period.</w:t>
      </w:r>
    </w:p>
    <w:p w14:paraId="515D577F" w14:textId="46420FE1" w:rsidR="000C65D5" w:rsidRDefault="000C65D5" w:rsidP="00E960EF">
      <w:pPr>
        <w:ind w:left="720"/>
        <w:rPr>
          <w:rFonts w:ascii="Palatino Linotype" w:eastAsia="Times New Roman" w:hAnsi="Palatino Linotype" w:cs="Times New Roman"/>
          <w:i/>
          <w:color w:val="000000"/>
          <w:sz w:val="16"/>
        </w:rPr>
      </w:pPr>
      <w:r>
        <w:rPr>
          <w:rFonts w:ascii="Palatino Linotype" w:eastAsia="Times New Roman" w:hAnsi="Palatino Linotype" w:cs="Times New Roman"/>
          <w:i/>
          <w:noProof/>
          <w:color w:val="000000"/>
          <w:sz w:val="16"/>
        </w:rPr>
        <w:drawing>
          <wp:inline distT="0" distB="0" distL="0" distR="0" wp14:anchorId="73AF9C79" wp14:editId="530D518A">
            <wp:extent cx="4880008" cy="36600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number_trades.png"/>
                    <pic:cNvPicPr/>
                  </pic:nvPicPr>
                  <pic:blipFill>
                    <a:blip r:embed="rId13">
                      <a:extLst>
                        <a:ext uri="{28A0092B-C50C-407E-A947-70E740481C1C}">
                          <a14:useLocalDpi xmlns:a14="http://schemas.microsoft.com/office/drawing/2010/main" val="0"/>
                        </a:ext>
                      </a:extLst>
                    </a:blip>
                    <a:stretch>
                      <a:fillRect/>
                    </a:stretch>
                  </pic:blipFill>
                  <pic:spPr>
                    <a:xfrm>
                      <a:off x="0" y="0"/>
                      <a:ext cx="4900906" cy="3675679"/>
                    </a:xfrm>
                    <a:prstGeom prst="rect">
                      <a:avLst/>
                    </a:prstGeom>
                  </pic:spPr>
                </pic:pic>
              </a:graphicData>
            </a:graphic>
          </wp:inline>
        </w:drawing>
      </w:r>
    </w:p>
    <w:p w14:paraId="7194B54F" w14:textId="625BDCE1" w:rsidR="008925E5" w:rsidRPr="00F16933" w:rsidRDefault="000C65D5" w:rsidP="00F16933">
      <w:pPr>
        <w:ind w:left="720"/>
        <w:rPr>
          <w:rFonts w:ascii="Palatino Linotype" w:eastAsia="Times New Roman" w:hAnsi="Palatino Linotype" w:cs="Times New Roman"/>
          <w:i/>
          <w:color w:val="000000"/>
          <w:sz w:val="16"/>
        </w:rPr>
      </w:pPr>
      <w:r>
        <w:rPr>
          <w:rFonts w:ascii="Palatino Linotype" w:eastAsia="Times New Roman" w:hAnsi="Palatino Linotype" w:cs="Times New Roman"/>
          <w:i/>
          <w:color w:val="000000"/>
          <w:sz w:val="16"/>
        </w:rPr>
        <w:t>Figure 6</w:t>
      </w:r>
      <w:r w:rsidRPr="00E960EF">
        <w:rPr>
          <w:rFonts w:ascii="Palatino Linotype" w:eastAsia="Times New Roman" w:hAnsi="Palatino Linotype" w:cs="Times New Roman"/>
          <w:i/>
          <w:color w:val="000000"/>
          <w:sz w:val="16"/>
        </w:rPr>
        <w:t xml:space="preserve">— </w:t>
      </w:r>
      <w:proofErr w:type="gramStart"/>
      <w:r w:rsidRPr="00E960EF">
        <w:rPr>
          <w:rFonts w:ascii="Palatino Linotype" w:eastAsia="Times New Roman" w:hAnsi="Palatino Linotype" w:cs="Times New Roman"/>
          <w:i/>
          <w:color w:val="000000"/>
          <w:sz w:val="16"/>
        </w:rPr>
        <w:t>This</w:t>
      </w:r>
      <w:proofErr w:type="gramEnd"/>
      <w:r w:rsidRPr="00E960EF">
        <w:rPr>
          <w:rFonts w:ascii="Palatino Linotype" w:eastAsia="Times New Roman" w:hAnsi="Palatino Linotype" w:cs="Times New Roman"/>
          <w:i/>
          <w:color w:val="000000"/>
          <w:sz w:val="16"/>
        </w:rPr>
        <w:t xml:space="preserve"> graph shows the comparison of</w:t>
      </w:r>
      <w:r>
        <w:rPr>
          <w:rFonts w:ascii="Palatino Linotype" w:eastAsia="Times New Roman" w:hAnsi="Palatino Linotype" w:cs="Times New Roman"/>
          <w:i/>
          <w:color w:val="000000"/>
          <w:sz w:val="16"/>
        </w:rPr>
        <w:t xml:space="preserve"> how different impacts affect</w:t>
      </w:r>
      <w:r w:rsidRPr="00E960EF">
        <w:rPr>
          <w:rFonts w:ascii="Palatino Linotype" w:eastAsia="Times New Roman" w:hAnsi="Palatino Linotype" w:cs="Times New Roman"/>
          <w:i/>
          <w:color w:val="000000"/>
          <w:sz w:val="16"/>
        </w:rPr>
        <w:t xml:space="preserve"> the</w:t>
      </w:r>
      <w:r>
        <w:rPr>
          <w:rFonts w:ascii="Palatino Linotype" w:eastAsia="Times New Roman" w:hAnsi="Palatino Linotype" w:cs="Times New Roman"/>
          <w:i/>
          <w:color w:val="000000"/>
          <w:sz w:val="16"/>
        </w:rPr>
        <w:t xml:space="preserve"> number of trades calculated using the</w:t>
      </w:r>
      <w:r w:rsidRPr="00E960EF">
        <w:rPr>
          <w:rFonts w:ascii="Palatino Linotype" w:eastAsia="Times New Roman" w:hAnsi="Palatino Linotype" w:cs="Times New Roman"/>
          <w:i/>
          <w:color w:val="000000"/>
          <w:sz w:val="16"/>
        </w:rPr>
        <w:t xml:space="preserve"> strategy </w:t>
      </w:r>
      <w:r>
        <w:rPr>
          <w:rFonts w:ascii="Palatino Linotype" w:eastAsia="Times New Roman" w:hAnsi="Palatino Linotype" w:cs="Times New Roman"/>
          <w:i/>
          <w:color w:val="000000"/>
          <w:sz w:val="16"/>
        </w:rPr>
        <w:t>learner</w:t>
      </w:r>
      <w:r w:rsidRPr="00E960EF">
        <w:rPr>
          <w:rFonts w:ascii="Palatino Linotype" w:eastAsia="Times New Roman" w:hAnsi="Palatino Linotype" w:cs="Times New Roman"/>
          <w:i/>
          <w:color w:val="000000"/>
          <w:sz w:val="16"/>
        </w:rPr>
        <w:t xml:space="preserve"> </w:t>
      </w:r>
      <w:r>
        <w:rPr>
          <w:rFonts w:ascii="Palatino Linotype" w:eastAsia="Times New Roman" w:hAnsi="Palatino Linotype" w:cs="Times New Roman"/>
          <w:i/>
          <w:color w:val="000000"/>
          <w:sz w:val="16"/>
        </w:rPr>
        <w:t>during an in</w:t>
      </w:r>
      <w:r w:rsidRPr="00E960EF">
        <w:rPr>
          <w:rFonts w:ascii="Palatino Linotype" w:eastAsia="Times New Roman" w:hAnsi="Palatino Linotype" w:cs="Times New Roman"/>
          <w:i/>
          <w:color w:val="000000"/>
          <w:sz w:val="16"/>
        </w:rPr>
        <w:t>-sample time period.</w:t>
      </w:r>
    </w:p>
    <w:p w14:paraId="55175788" w14:textId="64370DC3" w:rsidR="005A497A" w:rsidRDefault="005A497A" w:rsidP="003A2410">
      <w:pPr>
        <w:rPr>
          <w:rFonts w:ascii="Palatino Linotype" w:eastAsia="Times New Roman" w:hAnsi="Palatino Linotype" w:cs="Times New Roman"/>
          <w:b/>
          <w:color w:val="000000"/>
        </w:rPr>
      </w:pPr>
      <w:r>
        <w:rPr>
          <w:rFonts w:ascii="Palatino Linotype" w:eastAsia="Times New Roman" w:hAnsi="Palatino Linotype" w:cs="Times New Roman"/>
          <w:b/>
          <w:color w:val="000000"/>
        </w:rPr>
        <w:lastRenderedPageBreak/>
        <w:t>7</w:t>
      </w:r>
      <w:r w:rsidRPr="003E611C">
        <w:rPr>
          <w:rFonts w:ascii="Palatino Linotype" w:eastAsia="Times New Roman" w:hAnsi="Palatino Linotype" w:cs="Times New Roman"/>
          <w:b/>
          <w:color w:val="000000"/>
        </w:rPr>
        <w:t xml:space="preserve"> </w:t>
      </w:r>
      <w:r>
        <w:rPr>
          <w:rFonts w:ascii="Palatino Linotype" w:eastAsia="Times New Roman" w:hAnsi="Palatino Linotype" w:cs="Times New Roman"/>
          <w:b/>
          <w:color w:val="000000"/>
        </w:rPr>
        <w:t>CONCLUSION</w:t>
      </w:r>
    </w:p>
    <w:p w14:paraId="2F17D1F9" w14:textId="337BA067" w:rsidR="005A497D" w:rsidRPr="00D27C48" w:rsidRDefault="00D27C48" w:rsidP="00D27C48">
      <w:pPr>
        <w:rPr>
          <w:rFonts w:ascii="Palatino Linotype" w:eastAsia="Times New Roman" w:hAnsi="Palatino Linotype" w:cs="Times New Roman"/>
          <w:color w:val="000000"/>
        </w:rPr>
      </w:pPr>
      <w:r w:rsidRPr="00D27C48">
        <w:rPr>
          <w:rFonts w:ascii="Palatino Linotype" w:eastAsia="Times New Roman" w:hAnsi="Palatino Linotype" w:cs="Times New Roman"/>
          <w:color w:val="000000"/>
        </w:rPr>
        <w:t xml:space="preserve">In conclusion, this project aimed to compare the performance of a manual strategy and a strategy learner in the financial market using a specific set of indicators. The manual strategy involved combining at least three of the five indicators, while the </w:t>
      </w:r>
      <w:r w:rsidR="00545BBC">
        <w:rPr>
          <w:rFonts w:ascii="Palatino Linotype" w:eastAsia="Times New Roman" w:hAnsi="Palatino Linotype" w:cs="Times New Roman"/>
          <w:color w:val="000000"/>
        </w:rPr>
        <w:t xml:space="preserve">strategy learner was based on the Random Forest </w:t>
      </w:r>
      <w:r w:rsidRPr="00D27C48">
        <w:rPr>
          <w:rFonts w:ascii="Palatino Linotype" w:eastAsia="Times New Roman" w:hAnsi="Palatino Linotype" w:cs="Times New Roman"/>
          <w:color w:val="000000"/>
        </w:rPr>
        <w:t xml:space="preserve">learner using the same indicators. The experiments conducted evaluated the effectiveness of each strategy during </w:t>
      </w:r>
      <w:r>
        <w:rPr>
          <w:rFonts w:ascii="Palatino Linotype" w:eastAsia="Times New Roman" w:hAnsi="Palatino Linotype" w:cs="Times New Roman"/>
          <w:color w:val="000000"/>
        </w:rPr>
        <w:t>in-sample and out-of-sample</w:t>
      </w:r>
      <w:r w:rsidRPr="00D27C48">
        <w:rPr>
          <w:rFonts w:ascii="Palatino Linotype" w:eastAsia="Times New Roman" w:hAnsi="Palatino Linotype" w:cs="Times New Roman"/>
          <w:color w:val="000000"/>
        </w:rPr>
        <w:t xml:space="preserve"> time periods and on specific symbols. </w:t>
      </w:r>
      <w:r>
        <w:rPr>
          <w:rFonts w:ascii="Palatino Linotype" w:eastAsia="Times New Roman" w:hAnsi="Palatino Linotype" w:cs="Times New Roman"/>
          <w:color w:val="000000"/>
        </w:rPr>
        <w:t xml:space="preserve">I hope readers gained </w:t>
      </w:r>
      <w:r w:rsidR="00011116">
        <w:rPr>
          <w:rFonts w:ascii="Palatino Linotype" w:eastAsia="Times New Roman" w:hAnsi="Palatino Linotype" w:cs="Times New Roman"/>
          <w:color w:val="000000"/>
        </w:rPr>
        <w:t>substantial</w:t>
      </w:r>
      <w:r>
        <w:rPr>
          <w:rFonts w:ascii="Palatino Linotype" w:eastAsia="Times New Roman" w:hAnsi="Palatino Linotype" w:cs="Times New Roman"/>
          <w:color w:val="000000"/>
        </w:rPr>
        <w:t xml:space="preserve"> knowledge</w:t>
      </w:r>
      <w:r w:rsidR="00011116">
        <w:rPr>
          <w:rFonts w:ascii="Palatino Linotype" w:eastAsia="Times New Roman" w:hAnsi="Palatino Linotype" w:cs="Times New Roman"/>
          <w:color w:val="000000"/>
        </w:rPr>
        <w:t xml:space="preserve"> by</w:t>
      </w:r>
      <w:r>
        <w:rPr>
          <w:rFonts w:ascii="Palatino Linotype" w:eastAsia="Times New Roman" w:hAnsi="Palatino Linotype" w:cs="Times New Roman"/>
          <w:color w:val="000000"/>
        </w:rPr>
        <w:t xml:space="preserve"> analyzing the</w:t>
      </w:r>
      <w:r w:rsidRPr="00D27C48">
        <w:rPr>
          <w:rFonts w:ascii="Palatino Linotype" w:eastAsia="Times New Roman" w:hAnsi="Palatino Linotype" w:cs="Times New Roman"/>
          <w:color w:val="000000"/>
        </w:rPr>
        <w:t xml:space="preserve"> results</w:t>
      </w:r>
      <w:r w:rsidR="00011116">
        <w:rPr>
          <w:rFonts w:ascii="Palatino Linotype" w:eastAsia="Times New Roman" w:hAnsi="Palatino Linotype" w:cs="Times New Roman"/>
          <w:color w:val="000000"/>
        </w:rPr>
        <w:t xml:space="preserve"> that</w:t>
      </w:r>
      <w:r w:rsidRPr="00D27C48">
        <w:rPr>
          <w:rFonts w:ascii="Palatino Linotype" w:eastAsia="Times New Roman" w:hAnsi="Palatino Linotype" w:cs="Times New Roman"/>
          <w:color w:val="000000"/>
        </w:rPr>
        <w:t xml:space="preserve"> were presented with the help of charts and statistics to gain a deeper insight into the strengths and weaknesses </w:t>
      </w:r>
      <w:bookmarkStart w:id="1" w:name="_GoBack"/>
      <w:bookmarkEnd w:id="1"/>
      <w:r w:rsidRPr="00D27C48">
        <w:rPr>
          <w:rFonts w:ascii="Palatino Linotype" w:eastAsia="Times New Roman" w:hAnsi="Palatino Linotype" w:cs="Times New Roman"/>
          <w:color w:val="000000"/>
        </w:rPr>
        <w:t>of each strategy.</w:t>
      </w:r>
      <w:r>
        <w:rPr>
          <w:rFonts w:ascii="Palatino Linotype" w:eastAsia="Times New Roman" w:hAnsi="Palatino Linotype" w:cs="Times New Roman"/>
          <w:color w:val="000000"/>
        </w:rPr>
        <w:t xml:space="preserve"> </w:t>
      </w:r>
    </w:p>
    <w:p w14:paraId="26397483" w14:textId="13378C8A" w:rsidR="00231496" w:rsidRPr="005D41FF" w:rsidRDefault="005A497A" w:rsidP="003A2410">
      <w:pPr>
        <w:rPr>
          <w:rFonts w:ascii="Palatino Linotype" w:eastAsia="Times New Roman" w:hAnsi="Palatino Linotype" w:cs="Times New Roman"/>
          <w:b/>
          <w:color w:val="000000"/>
        </w:rPr>
      </w:pPr>
      <w:r>
        <w:rPr>
          <w:rFonts w:ascii="Palatino Linotype" w:eastAsia="Times New Roman" w:hAnsi="Palatino Linotype" w:cs="Times New Roman"/>
          <w:b/>
          <w:color w:val="000000"/>
        </w:rPr>
        <w:t>8</w:t>
      </w:r>
      <w:r w:rsidR="00073DA9" w:rsidRPr="003E611C">
        <w:rPr>
          <w:rFonts w:ascii="Palatino Linotype" w:eastAsia="Times New Roman" w:hAnsi="Palatino Linotype" w:cs="Times New Roman"/>
          <w:b/>
          <w:color w:val="000000"/>
        </w:rPr>
        <w:t xml:space="preserve"> REFERENCES</w:t>
      </w:r>
    </w:p>
    <w:p w14:paraId="12214AB2" w14:textId="77777777" w:rsidR="00734828" w:rsidRPr="003E611C" w:rsidRDefault="00734828" w:rsidP="00734828">
      <w:pPr>
        <w:pStyle w:val="ListParagraph"/>
        <w:numPr>
          <w:ilvl w:val="0"/>
          <w:numId w:val="12"/>
        </w:numPr>
        <w:rPr>
          <w:rFonts w:ascii="Palatino Linotype" w:eastAsia="Times New Roman" w:hAnsi="Palatino Linotype" w:cs="Times New Roman"/>
          <w:color w:val="000000"/>
        </w:rPr>
      </w:pPr>
      <w:r w:rsidRPr="003E611C">
        <w:rPr>
          <w:rFonts w:ascii="Palatino Linotype" w:eastAsia="Times New Roman" w:hAnsi="Palatino Linotype" w:cs="Times New Roman"/>
          <w:color w:val="000000"/>
        </w:rPr>
        <w:t xml:space="preserve">Dolan, B. (2022, December 19). MACD indicator explained, with formula, examples, and limitations. Investopedia. </w:t>
      </w:r>
      <w:hyperlink r:id="rId14" w:history="1">
        <w:r w:rsidRPr="003E611C">
          <w:rPr>
            <w:rStyle w:val="Hyperlink"/>
            <w:rFonts w:ascii="Palatino Linotype" w:eastAsia="Times New Roman" w:hAnsi="Palatino Linotype" w:cs="Times New Roman"/>
          </w:rPr>
          <w:t>https://www.investopedia.com/terms/m/macd.asp</w:t>
        </w:r>
      </w:hyperlink>
      <w:r w:rsidRPr="003E611C">
        <w:rPr>
          <w:rFonts w:ascii="Palatino Linotype" w:eastAsia="Times New Roman" w:hAnsi="Palatino Linotype" w:cs="Times New Roman"/>
          <w:color w:val="000000"/>
        </w:rPr>
        <w:t xml:space="preserve"> </w:t>
      </w:r>
    </w:p>
    <w:p w14:paraId="41AE4D12" w14:textId="757393FB" w:rsidR="00734828" w:rsidRPr="00734828" w:rsidRDefault="00734828" w:rsidP="00734828">
      <w:pPr>
        <w:pStyle w:val="ListParagraph"/>
        <w:numPr>
          <w:ilvl w:val="0"/>
          <w:numId w:val="12"/>
        </w:numPr>
        <w:rPr>
          <w:rFonts w:ascii="Palatino Linotype" w:eastAsia="Times New Roman" w:hAnsi="Palatino Linotype" w:cs="Times New Roman"/>
          <w:color w:val="000000"/>
        </w:rPr>
      </w:pPr>
      <w:r w:rsidRPr="003E611C">
        <w:rPr>
          <w:rFonts w:ascii="Palatino Linotype" w:eastAsia="Times New Roman" w:hAnsi="Palatino Linotype" w:cs="Times New Roman"/>
          <w:color w:val="000000"/>
        </w:rPr>
        <w:t xml:space="preserve">Mitchell, C. (2022, December 13). Percentage price oscillator (PPO): Definition and how it's used. Investopedia. </w:t>
      </w:r>
      <w:hyperlink r:id="rId15" w:history="1">
        <w:r w:rsidRPr="003E611C">
          <w:rPr>
            <w:rStyle w:val="Hyperlink"/>
            <w:rFonts w:ascii="Palatino Linotype" w:eastAsia="Times New Roman" w:hAnsi="Palatino Linotype" w:cs="Times New Roman"/>
          </w:rPr>
          <w:t>https://www.investopedia.com/terms/p/ppo.asp</w:t>
        </w:r>
      </w:hyperlink>
    </w:p>
    <w:p w14:paraId="0ECB1CD1" w14:textId="208A39CE" w:rsidR="00C13379" w:rsidRPr="00734828" w:rsidRDefault="006E43DA" w:rsidP="00D27C48">
      <w:pPr>
        <w:pStyle w:val="ListParagraph"/>
        <w:numPr>
          <w:ilvl w:val="0"/>
          <w:numId w:val="12"/>
        </w:numPr>
        <w:rPr>
          <w:rStyle w:val="Hyperlink"/>
          <w:rFonts w:ascii="Palatino Linotype" w:eastAsia="Times New Roman" w:hAnsi="Palatino Linotype" w:cs="Times New Roman"/>
          <w:color w:val="000000"/>
          <w:u w:val="none"/>
        </w:rPr>
      </w:pPr>
      <w:r w:rsidRPr="00D27C48">
        <w:rPr>
          <w:rFonts w:ascii="Palatino Linotype" w:eastAsia="Times New Roman" w:hAnsi="Palatino Linotype" w:cs="Times New Roman"/>
          <w:color w:val="000000"/>
        </w:rPr>
        <w:t>StockChart.com. (</w:t>
      </w:r>
      <w:proofErr w:type="spellStart"/>
      <w:r w:rsidRPr="00D27C48">
        <w:rPr>
          <w:rFonts w:ascii="Palatino Linotype" w:eastAsia="Times New Roman" w:hAnsi="Palatino Linotype" w:cs="Times New Roman"/>
          <w:color w:val="000000"/>
        </w:rPr>
        <w:t>n.d.</w:t>
      </w:r>
      <w:proofErr w:type="spellEnd"/>
      <w:r w:rsidRPr="00D27C48">
        <w:rPr>
          <w:rFonts w:ascii="Palatino Linotype" w:eastAsia="Times New Roman" w:hAnsi="Palatino Linotype" w:cs="Times New Roman"/>
          <w:color w:val="000000"/>
        </w:rPr>
        <w:t>). %B indicator. %B Indicator [</w:t>
      </w:r>
      <w:proofErr w:type="spellStart"/>
      <w:r w:rsidRPr="00D27C48">
        <w:rPr>
          <w:rFonts w:ascii="Palatino Linotype" w:eastAsia="Times New Roman" w:hAnsi="Palatino Linotype" w:cs="Times New Roman"/>
          <w:color w:val="000000"/>
        </w:rPr>
        <w:t>ChartSchool</w:t>
      </w:r>
      <w:proofErr w:type="spellEnd"/>
      <w:r w:rsidRPr="00D27C48">
        <w:rPr>
          <w:rFonts w:ascii="Palatino Linotype" w:eastAsia="Times New Roman" w:hAnsi="Palatino Linotype" w:cs="Times New Roman"/>
          <w:color w:val="000000"/>
        </w:rPr>
        <w:t xml:space="preserve">]. </w:t>
      </w:r>
      <w:hyperlink r:id="rId16" w:history="1">
        <w:r w:rsidR="0010753F" w:rsidRPr="00D27C48">
          <w:rPr>
            <w:rStyle w:val="Hyperlink"/>
            <w:rFonts w:ascii="Palatino Linotype" w:eastAsia="Times New Roman" w:hAnsi="Palatino Linotype" w:cs="Times New Roman"/>
          </w:rPr>
          <w:t>https://school.stockcharts.com/doku.php?id=technical_indicators%3Abollinger_band_perce</w:t>
        </w:r>
      </w:hyperlink>
    </w:p>
    <w:p w14:paraId="71D84C08" w14:textId="1B1E8719" w:rsidR="00734828" w:rsidRPr="00734828" w:rsidRDefault="00734828" w:rsidP="00734828">
      <w:pPr>
        <w:pStyle w:val="ListParagraph"/>
        <w:numPr>
          <w:ilvl w:val="0"/>
          <w:numId w:val="12"/>
        </w:numPr>
        <w:rPr>
          <w:rStyle w:val="Hyperlink"/>
          <w:rFonts w:ascii="Palatino Linotype" w:eastAsia="Times New Roman" w:hAnsi="Palatino Linotype" w:cs="Times New Roman"/>
          <w:color w:val="000000"/>
          <w:u w:val="none"/>
        </w:rPr>
      </w:pPr>
      <w:r w:rsidRPr="003E611C">
        <w:rPr>
          <w:rFonts w:ascii="Palatino Linotype" w:eastAsia="Times New Roman" w:hAnsi="Palatino Linotype" w:cs="Times New Roman"/>
          <w:color w:val="000000"/>
        </w:rPr>
        <w:t>StockCharts.com. (</w:t>
      </w:r>
      <w:proofErr w:type="spellStart"/>
      <w:r w:rsidRPr="003E611C">
        <w:rPr>
          <w:rFonts w:ascii="Palatino Linotype" w:eastAsia="Times New Roman" w:hAnsi="Palatino Linotype" w:cs="Times New Roman"/>
          <w:color w:val="000000"/>
        </w:rPr>
        <w:t>n.d.</w:t>
      </w:r>
      <w:proofErr w:type="spellEnd"/>
      <w:r w:rsidRPr="003E611C">
        <w:rPr>
          <w:rFonts w:ascii="Palatino Linotype" w:eastAsia="Times New Roman" w:hAnsi="Palatino Linotype" w:cs="Times New Roman"/>
          <w:color w:val="000000"/>
        </w:rPr>
        <w:t>). Bollinger bands. Bollinger Bands [</w:t>
      </w:r>
      <w:proofErr w:type="spellStart"/>
      <w:r w:rsidRPr="003E611C">
        <w:rPr>
          <w:rFonts w:ascii="Palatino Linotype" w:eastAsia="Times New Roman" w:hAnsi="Palatino Linotype" w:cs="Times New Roman"/>
          <w:color w:val="000000"/>
        </w:rPr>
        <w:t>ChartSchool</w:t>
      </w:r>
      <w:proofErr w:type="spellEnd"/>
      <w:r w:rsidRPr="003E611C">
        <w:rPr>
          <w:rFonts w:ascii="Palatino Linotype" w:eastAsia="Times New Roman" w:hAnsi="Palatino Linotype" w:cs="Times New Roman"/>
          <w:color w:val="000000"/>
        </w:rPr>
        <w:t xml:space="preserve">]. </w:t>
      </w:r>
      <w:hyperlink r:id="rId17" w:history="1">
        <w:r w:rsidRPr="003E611C">
          <w:rPr>
            <w:rStyle w:val="Hyperlink"/>
            <w:rFonts w:ascii="Palatino Linotype" w:eastAsia="Times New Roman" w:hAnsi="Palatino Linotype" w:cs="Times New Roman"/>
          </w:rPr>
          <w:t>https://school.stockcharts.com/doku.php?id=technical_indicators%3Abollinger_bands</w:t>
        </w:r>
      </w:hyperlink>
    </w:p>
    <w:p w14:paraId="7D3199E1" w14:textId="3096DBC5" w:rsidR="00734828" w:rsidRPr="00734828" w:rsidRDefault="00734828" w:rsidP="00734828">
      <w:pPr>
        <w:pStyle w:val="ListParagraph"/>
        <w:numPr>
          <w:ilvl w:val="0"/>
          <w:numId w:val="12"/>
        </w:numPr>
        <w:rPr>
          <w:rFonts w:ascii="Palatino Linotype" w:eastAsia="Times New Roman" w:hAnsi="Palatino Linotype" w:cs="Times New Roman"/>
          <w:color w:val="000000"/>
        </w:rPr>
      </w:pPr>
      <w:r w:rsidRPr="003E611C">
        <w:rPr>
          <w:rFonts w:ascii="Palatino Linotype" w:eastAsia="Times New Roman" w:hAnsi="Palatino Linotype" w:cs="Times New Roman"/>
          <w:color w:val="000000"/>
        </w:rPr>
        <w:t>StockCharts.com. (</w:t>
      </w:r>
      <w:proofErr w:type="spellStart"/>
      <w:r w:rsidRPr="003E611C">
        <w:rPr>
          <w:rFonts w:ascii="Palatino Linotype" w:eastAsia="Times New Roman" w:hAnsi="Palatino Linotype" w:cs="Times New Roman"/>
          <w:color w:val="000000"/>
        </w:rPr>
        <w:t>n.d.</w:t>
      </w:r>
      <w:proofErr w:type="spellEnd"/>
      <w:r w:rsidRPr="003E611C">
        <w:rPr>
          <w:rFonts w:ascii="Palatino Linotype" w:eastAsia="Times New Roman" w:hAnsi="Palatino Linotype" w:cs="Times New Roman"/>
          <w:color w:val="000000"/>
        </w:rPr>
        <w:t>). MACD (moving average convergence/divergence oscillator). MACD (Moving Average Convergence/Divergence Oscillator) [</w:t>
      </w:r>
      <w:proofErr w:type="spellStart"/>
      <w:r w:rsidRPr="003E611C">
        <w:rPr>
          <w:rFonts w:ascii="Palatino Linotype" w:eastAsia="Times New Roman" w:hAnsi="Palatino Linotype" w:cs="Times New Roman"/>
          <w:color w:val="000000"/>
        </w:rPr>
        <w:t>ChartSchool</w:t>
      </w:r>
      <w:proofErr w:type="spellEnd"/>
      <w:r w:rsidRPr="003E611C">
        <w:rPr>
          <w:rFonts w:ascii="Palatino Linotype" w:eastAsia="Times New Roman" w:hAnsi="Palatino Linotype" w:cs="Times New Roman"/>
          <w:color w:val="000000"/>
        </w:rPr>
        <w:t xml:space="preserve">]. </w:t>
      </w:r>
      <w:hyperlink r:id="rId18" w:history="1">
        <w:r w:rsidRPr="003E611C">
          <w:rPr>
            <w:rStyle w:val="Hyperlink"/>
            <w:rFonts w:ascii="Palatino Linotype" w:eastAsia="Times New Roman" w:hAnsi="Palatino Linotype" w:cs="Times New Roman"/>
          </w:rPr>
          <w:t>https://school.stockcharts.com/doku.php?id=technical_indicators%3Amoving_average_convergence_divergence_macd</w:t>
        </w:r>
      </w:hyperlink>
    </w:p>
    <w:p w14:paraId="1449DE30" w14:textId="77777777" w:rsidR="0010753F" w:rsidRPr="00D27C48" w:rsidRDefault="0010753F" w:rsidP="00D27C48">
      <w:pPr>
        <w:pStyle w:val="ListParagraph"/>
        <w:numPr>
          <w:ilvl w:val="0"/>
          <w:numId w:val="12"/>
        </w:numPr>
        <w:rPr>
          <w:rFonts w:ascii="Palatino Linotype" w:eastAsia="Times New Roman" w:hAnsi="Palatino Linotype" w:cs="Times New Roman"/>
          <w:color w:val="000000"/>
        </w:rPr>
      </w:pPr>
      <w:r w:rsidRPr="00D27C48">
        <w:rPr>
          <w:rFonts w:ascii="Palatino Linotype" w:eastAsia="Times New Roman" w:hAnsi="Palatino Linotype" w:cs="Times New Roman"/>
          <w:color w:val="000000"/>
        </w:rPr>
        <w:t>StockCharts.com. (</w:t>
      </w:r>
      <w:proofErr w:type="spellStart"/>
      <w:r w:rsidRPr="00D27C48">
        <w:rPr>
          <w:rFonts w:ascii="Palatino Linotype" w:eastAsia="Times New Roman" w:hAnsi="Palatino Linotype" w:cs="Times New Roman"/>
          <w:color w:val="000000"/>
        </w:rPr>
        <w:t>n.d.</w:t>
      </w:r>
      <w:proofErr w:type="spellEnd"/>
      <w:r w:rsidRPr="00D27C48">
        <w:rPr>
          <w:rFonts w:ascii="Palatino Linotype" w:eastAsia="Times New Roman" w:hAnsi="Palatino Linotype" w:cs="Times New Roman"/>
          <w:color w:val="000000"/>
        </w:rPr>
        <w:t>). Percentage price oscillator. Percentage Price Oscillator [</w:t>
      </w:r>
      <w:proofErr w:type="spellStart"/>
      <w:r w:rsidRPr="00D27C48">
        <w:rPr>
          <w:rFonts w:ascii="Palatino Linotype" w:eastAsia="Times New Roman" w:hAnsi="Palatino Linotype" w:cs="Times New Roman"/>
          <w:color w:val="000000"/>
        </w:rPr>
        <w:t>ChartSchool</w:t>
      </w:r>
      <w:proofErr w:type="spellEnd"/>
      <w:r w:rsidRPr="00D27C48">
        <w:rPr>
          <w:rFonts w:ascii="Palatino Linotype" w:eastAsia="Times New Roman" w:hAnsi="Palatino Linotype" w:cs="Times New Roman"/>
          <w:color w:val="000000"/>
        </w:rPr>
        <w:t xml:space="preserve">]. </w:t>
      </w:r>
      <w:hyperlink r:id="rId19" w:history="1">
        <w:r w:rsidRPr="00D27C48">
          <w:rPr>
            <w:rStyle w:val="Hyperlink"/>
            <w:rFonts w:ascii="Palatino Linotype" w:eastAsia="Times New Roman" w:hAnsi="Palatino Linotype" w:cs="Times New Roman"/>
          </w:rPr>
          <w:t>https://school.stockcharts.com/doku.php?id=technical_indicators%3Aprice_oscillators_ppo</w:t>
        </w:r>
      </w:hyperlink>
    </w:p>
    <w:p w14:paraId="06987C74" w14:textId="77777777" w:rsidR="0010753F" w:rsidRPr="003A2410" w:rsidRDefault="0010753F" w:rsidP="003A2410">
      <w:pPr>
        <w:rPr>
          <w:rFonts w:ascii="Palatino Linotype" w:eastAsia="Times New Roman" w:hAnsi="Palatino Linotype" w:cs="Times New Roman"/>
          <w:color w:val="000000"/>
        </w:rPr>
      </w:pPr>
    </w:p>
    <w:p w14:paraId="2C2F8490" w14:textId="77777777" w:rsidR="006030A7" w:rsidRPr="006030A7" w:rsidRDefault="006030A7" w:rsidP="006030A7">
      <w:pPr>
        <w:ind w:left="360"/>
        <w:rPr>
          <w:rFonts w:ascii="Palatino Linotype" w:eastAsia="Times New Roman" w:hAnsi="Palatino Linotype" w:cs="Times New Roman"/>
          <w:color w:val="000000"/>
        </w:rPr>
      </w:pPr>
    </w:p>
    <w:p w14:paraId="35FD5D35" w14:textId="77777777" w:rsidR="006030A7" w:rsidRDefault="006030A7" w:rsidP="00BB6043">
      <w:pPr>
        <w:rPr>
          <w:rFonts w:ascii="Palatino Linotype" w:eastAsia="Times New Roman" w:hAnsi="Palatino Linotype" w:cs="Times New Roman"/>
          <w:color w:val="000000"/>
        </w:rPr>
      </w:pPr>
    </w:p>
    <w:p w14:paraId="53ED8C60" w14:textId="77777777" w:rsidR="00DD3F2B" w:rsidRDefault="00DD3F2B" w:rsidP="00BB6043">
      <w:pPr>
        <w:rPr>
          <w:rFonts w:ascii="Palatino Linotype" w:eastAsia="Times New Roman" w:hAnsi="Palatino Linotype" w:cs="Times New Roman"/>
          <w:color w:val="000000"/>
        </w:rPr>
      </w:pPr>
    </w:p>
    <w:p w14:paraId="5B2F1BB6" w14:textId="77777777" w:rsidR="007A6779" w:rsidRDefault="007A6779" w:rsidP="00BB6043">
      <w:pPr>
        <w:rPr>
          <w:rFonts w:ascii="Palatino Linotype" w:eastAsia="Times New Roman" w:hAnsi="Palatino Linotype" w:cs="Times New Roman"/>
          <w:color w:val="000000"/>
        </w:rPr>
      </w:pPr>
    </w:p>
    <w:p w14:paraId="3946F0FB" w14:textId="77777777" w:rsidR="007A6779" w:rsidRDefault="007A6779" w:rsidP="00BB6043">
      <w:pPr>
        <w:rPr>
          <w:rFonts w:ascii="Palatino Linotype" w:eastAsia="Times New Roman" w:hAnsi="Palatino Linotype" w:cs="Times New Roman"/>
          <w:color w:val="000000"/>
        </w:rPr>
      </w:pPr>
    </w:p>
    <w:p w14:paraId="71979B2E" w14:textId="77777777" w:rsidR="007A6779" w:rsidRPr="00BA3161" w:rsidRDefault="007A6779" w:rsidP="00BB6043">
      <w:pPr>
        <w:rPr>
          <w:rFonts w:ascii="Palatino Linotype" w:eastAsia="Times New Roman" w:hAnsi="Palatino Linotype" w:cs="Times New Roman"/>
          <w:color w:val="000000"/>
        </w:rPr>
      </w:pPr>
    </w:p>
    <w:sectPr w:rsidR="007A6779" w:rsidRPr="00BA3161" w:rsidSect="00242262">
      <w:footerReference w:type="even" r:id="rId20"/>
      <w:footerReference w:type="defaul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7E8F6" w14:textId="77777777" w:rsidR="00C91E18" w:rsidRDefault="00C91E18" w:rsidP="00242262">
      <w:pPr>
        <w:spacing w:after="0" w:line="240" w:lineRule="auto"/>
      </w:pPr>
      <w:r>
        <w:separator/>
      </w:r>
    </w:p>
  </w:endnote>
  <w:endnote w:type="continuationSeparator" w:id="0">
    <w:p w14:paraId="23EDB2CA" w14:textId="77777777" w:rsidR="00C91E18" w:rsidRDefault="00C91E18" w:rsidP="0024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622863"/>
      <w:docPartObj>
        <w:docPartGallery w:val="Page Numbers (Bottom of Page)"/>
        <w:docPartUnique/>
      </w:docPartObj>
    </w:sdtPr>
    <w:sdtEndPr>
      <w:rPr>
        <w:noProof/>
      </w:rPr>
    </w:sdtEndPr>
    <w:sdtContent>
      <w:p w14:paraId="4A920353" w14:textId="7A008E7B" w:rsidR="00242262" w:rsidRDefault="00242262">
        <w:pPr>
          <w:pStyle w:val="Footer"/>
          <w:jc w:val="center"/>
        </w:pPr>
        <w:r>
          <w:fldChar w:fldCharType="begin"/>
        </w:r>
        <w:r>
          <w:instrText xml:space="preserve"> PAGE   \* MERGEFORMAT </w:instrText>
        </w:r>
        <w:r>
          <w:fldChar w:fldCharType="separate"/>
        </w:r>
        <w:r w:rsidR="00545BBC">
          <w:rPr>
            <w:noProof/>
          </w:rPr>
          <w:t>8</w:t>
        </w:r>
        <w:r>
          <w:rPr>
            <w:noProof/>
          </w:rPr>
          <w:fldChar w:fldCharType="end"/>
        </w:r>
      </w:p>
    </w:sdtContent>
  </w:sdt>
  <w:p w14:paraId="4CDBA503" w14:textId="77777777" w:rsidR="00242262" w:rsidRDefault="00242262" w:rsidP="0024226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500693"/>
      <w:docPartObj>
        <w:docPartGallery w:val="Page Numbers (Bottom of Page)"/>
        <w:docPartUnique/>
      </w:docPartObj>
    </w:sdtPr>
    <w:sdtEndPr>
      <w:rPr>
        <w:noProof/>
      </w:rPr>
    </w:sdtEndPr>
    <w:sdtContent>
      <w:p w14:paraId="45D9CA21" w14:textId="43226202" w:rsidR="00242262" w:rsidRDefault="00242262">
        <w:pPr>
          <w:pStyle w:val="Footer"/>
          <w:jc w:val="center"/>
        </w:pPr>
        <w:r>
          <w:fldChar w:fldCharType="begin"/>
        </w:r>
        <w:r>
          <w:instrText xml:space="preserve"> PAGE   \* MERGEFORMAT </w:instrText>
        </w:r>
        <w:r>
          <w:fldChar w:fldCharType="separate"/>
        </w:r>
        <w:r w:rsidR="00545BBC">
          <w:rPr>
            <w:noProof/>
          </w:rPr>
          <w:t>9</w:t>
        </w:r>
        <w:r>
          <w:rPr>
            <w:noProof/>
          </w:rPr>
          <w:fldChar w:fldCharType="end"/>
        </w:r>
      </w:p>
    </w:sdtContent>
  </w:sdt>
  <w:p w14:paraId="49CF4FDE" w14:textId="271E0606" w:rsidR="00242262" w:rsidRDefault="00242262" w:rsidP="0024226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FE21E" w14:textId="085DCC59" w:rsidR="00242262" w:rsidRDefault="00242262" w:rsidP="00242262">
    <w:pPr>
      <w:pStyle w:val="Footer"/>
      <w:jc w:val="center"/>
    </w:pPr>
    <w:r>
      <w:rPr>
        <w:rFonts w:ascii="Palatino Linotype" w:eastAsia="Times New Roman" w:hAnsi="Palatino Linotype" w:cs="Times New Roman"/>
        <w:color w:val="000000"/>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EFD75" w14:textId="77777777" w:rsidR="00C91E18" w:rsidRDefault="00C91E18" w:rsidP="00242262">
      <w:pPr>
        <w:spacing w:after="0" w:line="240" w:lineRule="auto"/>
      </w:pPr>
      <w:r>
        <w:separator/>
      </w:r>
    </w:p>
  </w:footnote>
  <w:footnote w:type="continuationSeparator" w:id="0">
    <w:p w14:paraId="4C5C47E2" w14:textId="77777777" w:rsidR="00C91E18" w:rsidRDefault="00C91E18" w:rsidP="0024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D28B7"/>
    <w:multiLevelType w:val="hybridMultilevel"/>
    <w:tmpl w:val="A89291DC"/>
    <w:lvl w:ilvl="0" w:tplc="2690C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9252D2"/>
    <w:multiLevelType w:val="hybridMultilevel"/>
    <w:tmpl w:val="09FA1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B288B"/>
    <w:multiLevelType w:val="hybridMultilevel"/>
    <w:tmpl w:val="0DFC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87FA6"/>
    <w:multiLevelType w:val="multilevel"/>
    <w:tmpl w:val="9500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52112"/>
    <w:multiLevelType w:val="hybridMultilevel"/>
    <w:tmpl w:val="B4FEEC0E"/>
    <w:lvl w:ilvl="0" w:tplc="2690CF1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654F2"/>
    <w:multiLevelType w:val="hybridMultilevel"/>
    <w:tmpl w:val="EA9020FC"/>
    <w:lvl w:ilvl="0" w:tplc="77D225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644F5B"/>
    <w:multiLevelType w:val="hybridMultilevel"/>
    <w:tmpl w:val="3BA82DA0"/>
    <w:lvl w:ilvl="0" w:tplc="F79257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7232B"/>
    <w:multiLevelType w:val="hybridMultilevel"/>
    <w:tmpl w:val="B352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82AFA"/>
    <w:multiLevelType w:val="multilevel"/>
    <w:tmpl w:val="304E7FBA"/>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71BC1C94"/>
    <w:multiLevelType w:val="hybridMultilevel"/>
    <w:tmpl w:val="01F6B84E"/>
    <w:lvl w:ilvl="0" w:tplc="2690CF1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7290411D"/>
    <w:multiLevelType w:val="hybridMultilevel"/>
    <w:tmpl w:val="D49C1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C7D3E"/>
    <w:multiLevelType w:val="multilevel"/>
    <w:tmpl w:val="988CD5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10"/>
  </w:num>
  <w:num w:numId="3">
    <w:abstractNumId w:val="1"/>
  </w:num>
  <w:num w:numId="4">
    <w:abstractNumId w:val="5"/>
  </w:num>
  <w:num w:numId="5">
    <w:abstractNumId w:val="8"/>
  </w:num>
  <w:num w:numId="6">
    <w:abstractNumId w:val="6"/>
  </w:num>
  <w:num w:numId="7">
    <w:abstractNumId w:val="3"/>
  </w:num>
  <w:num w:numId="8">
    <w:abstractNumId w:val="0"/>
  </w:num>
  <w:num w:numId="9">
    <w:abstractNumId w:val="9"/>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043"/>
    <w:rsid w:val="00010962"/>
    <w:rsid w:val="0001100F"/>
    <w:rsid w:val="00011116"/>
    <w:rsid w:val="000144D7"/>
    <w:rsid w:val="0001480D"/>
    <w:rsid w:val="00014930"/>
    <w:rsid w:val="000159C5"/>
    <w:rsid w:val="00017625"/>
    <w:rsid w:val="00020BE9"/>
    <w:rsid w:val="0002323A"/>
    <w:rsid w:val="000305FE"/>
    <w:rsid w:val="00033E4A"/>
    <w:rsid w:val="0006235E"/>
    <w:rsid w:val="00073DA9"/>
    <w:rsid w:val="000744C9"/>
    <w:rsid w:val="000821E1"/>
    <w:rsid w:val="00096754"/>
    <w:rsid w:val="00096985"/>
    <w:rsid w:val="000A3E11"/>
    <w:rsid w:val="000A41F7"/>
    <w:rsid w:val="000B5DEA"/>
    <w:rsid w:val="000B64B4"/>
    <w:rsid w:val="000C0153"/>
    <w:rsid w:val="000C65D5"/>
    <w:rsid w:val="000C66DF"/>
    <w:rsid w:val="000D0029"/>
    <w:rsid w:val="000D44DC"/>
    <w:rsid w:val="000D6773"/>
    <w:rsid w:val="000D67AE"/>
    <w:rsid w:val="000E0E15"/>
    <w:rsid w:val="000E1C16"/>
    <w:rsid w:val="000E1C80"/>
    <w:rsid w:val="000E77FE"/>
    <w:rsid w:val="000F0B6B"/>
    <w:rsid w:val="0010684E"/>
    <w:rsid w:val="0010753F"/>
    <w:rsid w:val="001166A0"/>
    <w:rsid w:val="001243A6"/>
    <w:rsid w:val="00125E59"/>
    <w:rsid w:val="00136548"/>
    <w:rsid w:val="00143CBC"/>
    <w:rsid w:val="00151D2A"/>
    <w:rsid w:val="001536E3"/>
    <w:rsid w:val="00153822"/>
    <w:rsid w:val="00154680"/>
    <w:rsid w:val="00154AF2"/>
    <w:rsid w:val="00154FD9"/>
    <w:rsid w:val="00156694"/>
    <w:rsid w:val="00165750"/>
    <w:rsid w:val="00173E5B"/>
    <w:rsid w:val="00174112"/>
    <w:rsid w:val="001766DF"/>
    <w:rsid w:val="0018514B"/>
    <w:rsid w:val="00197356"/>
    <w:rsid w:val="001A01AE"/>
    <w:rsid w:val="001A191B"/>
    <w:rsid w:val="001A458B"/>
    <w:rsid w:val="001A6D85"/>
    <w:rsid w:val="001B2E4E"/>
    <w:rsid w:val="001B7314"/>
    <w:rsid w:val="001C12EA"/>
    <w:rsid w:val="001C7417"/>
    <w:rsid w:val="001D2410"/>
    <w:rsid w:val="001D45CA"/>
    <w:rsid w:val="001E13D1"/>
    <w:rsid w:val="001E2DC0"/>
    <w:rsid w:val="001F1FEE"/>
    <w:rsid w:val="001F707E"/>
    <w:rsid w:val="0021162E"/>
    <w:rsid w:val="00213910"/>
    <w:rsid w:val="00222210"/>
    <w:rsid w:val="002239C5"/>
    <w:rsid w:val="0022696D"/>
    <w:rsid w:val="00230834"/>
    <w:rsid w:val="00231496"/>
    <w:rsid w:val="00242262"/>
    <w:rsid w:val="002438D8"/>
    <w:rsid w:val="002471FF"/>
    <w:rsid w:val="00254ADA"/>
    <w:rsid w:val="002574E1"/>
    <w:rsid w:val="0026059B"/>
    <w:rsid w:val="00273AF7"/>
    <w:rsid w:val="00290A3A"/>
    <w:rsid w:val="00291584"/>
    <w:rsid w:val="002927DD"/>
    <w:rsid w:val="00296F2A"/>
    <w:rsid w:val="002A61A9"/>
    <w:rsid w:val="002B46BE"/>
    <w:rsid w:val="002E6FA0"/>
    <w:rsid w:val="00300C25"/>
    <w:rsid w:val="00300C90"/>
    <w:rsid w:val="00306568"/>
    <w:rsid w:val="0031478D"/>
    <w:rsid w:val="00331A08"/>
    <w:rsid w:val="0033478C"/>
    <w:rsid w:val="00334E89"/>
    <w:rsid w:val="003477F0"/>
    <w:rsid w:val="00351ABF"/>
    <w:rsid w:val="003523DE"/>
    <w:rsid w:val="0035349F"/>
    <w:rsid w:val="00357DDC"/>
    <w:rsid w:val="00364798"/>
    <w:rsid w:val="00364BDC"/>
    <w:rsid w:val="00370EFE"/>
    <w:rsid w:val="0037282A"/>
    <w:rsid w:val="00380B8D"/>
    <w:rsid w:val="0039243A"/>
    <w:rsid w:val="00392D76"/>
    <w:rsid w:val="003968EA"/>
    <w:rsid w:val="003A125E"/>
    <w:rsid w:val="003A2410"/>
    <w:rsid w:val="003A367F"/>
    <w:rsid w:val="003A3737"/>
    <w:rsid w:val="003A69A0"/>
    <w:rsid w:val="003C05B8"/>
    <w:rsid w:val="003C1F03"/>
    <w:rsid w:val="003D2BE7"/>
    <w:rsid w:val="003D31DA"/>
    <w:rsid w:val="003E356E"/>
    <w:rsid w:val="003E3FC8"/>
    <w:rsid w:val="003E611C"/>
    <w:rsid w:val="003E7B51"/>
    <w:rsid w:val="003F77FC"/>
    <w:rsid w:val="00405FA9"/>
    <w:rsid w:val="00423368"/>
    <w:rsid w:val="004240E8"/>
    <w:rsid w:val="00425CDE"/>
    <w:rsid w:val="004340C7"/>
    <w:rsid w:val="00441B1E"/>
    <w:rsid w:val="0044376C"/>
    <w:rsid w:val="004468BF"/>
    <w:rsid w:val="0046184B"/>
    <w:rsid w:val="00463AD1"/>
    <w:rsid w:val="00472504"/>
    <w:rsid w:val="0047266E"/>
    <w:rsid w:val="00482467"/>
    <w:rsid w:val="00487793"/>
    <w:rsid w:val="004A04E5"/>
    <w:rsid w:val="004A70F2"/>
    <w:rsid w:val="004B6A5A"/>
    <w:rsid w:val="004B6BA9"/>
    <w:rsid w:val="004D555A"/>
    <w:rsid w:val="004E4A93"/>
    <w:rsid w:val="004E5247"/>
    <w:rsid w:val="004F5B37"/>
    <w:rsid w:val="00502D8E"/>
    <w:rsid w:val="005049F6"/>
    <w:rsid w:val="00513020"/>
    <w:rsid w:val="005173D9"/>
    <w:rsid w:val="00520F8C"/>
    <w:rsid w:val="0052486B"/>
    <w:rsid w:val="0053102B"/>
    <w:rsid w:val="00532DA6"/>
    <w:rsid w:val="00544ACF"/>
    <w:rsid w:val="00545BBC"/>
    <w:rsid w:val="00545E4A"/>
    <w:rsid w:val="00553734"/>
    <w:rsid w:val="00554C52"/>
    <w:rsid w:val="00567277"/>
    <w:rsid w:val="00582246"/>
    <w:rsid w:val="0058381A"/>
    <w:rsid w:val="005A497A"/>
    <w:rsid w:val="005A497D"/>
    <w:rsid w:val="005A6DF0"/>
    <w:rsid w:val="005B5A7F"/>
    <w:rsid w:val="005B5EDC"/>
    <w:rsid w:val="005C2272"/>
    <w:rsid w:val="005C3459"/>
    <w:rsid w:val="005C5C52"/>
    <w:rsid w:val="005D0628"/>
    <w:rsid w:val="005D41FF"/>
    <w:rsid w:val="005D75FC"/>
    <w:rsid w:val="005F66A0"/>
    <w:rsid w:val="006030A7"/>
    <w:rsid w:val="00606E80"/>
    <w:rsid w:val="00610173"/>
    <w:rsid w:val="00613FDF"/>
    <w:rsid w:val="0062421F"/>
    <w:rsid w:val="00633D55"/>
    <w:rsid w:val="00635601"/>
    <w:rsid w:val="00640360"/>
    <w:rsid w:val="00640824"/>
    <w:rsid w:val="006612C6"/>
    <w:rsid w:val="00662CC0"/>
    <w:rsid w:val="006651AC"/>
    <w:rsid w:val="00666677"/>
    <w:rsid w:val="00671063"/>
    <w:rsid w:val="00671075"/>
    <w:rsid w:val="00695A63"/>
    <w:rsid w:val="006A403F"/>
    <w:rsid w:val="006B439C"/>
    <w:rsid w:val="006C6EE3"/>
    <w:rsid w:val="006D5A91"/>
    <w:rsid w:val="006E3403"/>
    <w:rsid w:val="006E3BAF"/>
    <w:rsid w:val="006E43DA"/>
    <w:rsid w:val="00723666"/>
    <w:rsid w:val="00725886"/>
    <w:rsid w:val="007310BF"/>
    <w:rsid w:val="0073113F"/>
    <w:rsid w:val="00734828"/>
    <w:rsid w:val="00740D06"/>
    <w:rsid w:val="007508C6"/>
    <w:rsid w:val="00770DE8"/>
    <w:rsid w:val="00776A50"/>
    <w:rsid w:val="00781CC3"/>
    <w:rsid w:val="00784EDB"/>
    <w:rsid w:val="007956EC"/>
    <w:rsid w:val="007A4A0B"/>
    <w:rsid w:val="007A561F"/>
    <w:rsid w:val="007A6779"/>
    <w:rsid w:val="007A7330"/>
    <w:rsid w:val="007B0840"/>
    <w:rsid w:val="007C20C4"/>
    <w:rsid w:val="007C4D6B"/>
    <w:rsid w:val="007D4EF1"/>
    <w:rsid w:val="007D6A52"/>
    <w:rsid w:val="007E2601"/>
    <w:rsid w:val="007E4B2F"/>
    <w:rsid w:val="007E79A8"/>
    <w:rsid w:val="007F444F"/>
    <w:rsid w:val="007F57DD"/>
    <w:rsid w:val="007F7488"/>
    <w:rsid w:val="00805BA3"/>
    <w:rsid w:val="008129C5"/>
    <w:rsid w:val="00822660"/>
    <w:rsid w:val="00822E8F"/>
    <w:rsid w:val="0083254C"/>
    <w:rsid w:val="008342EF"/>
    <w:rsid w:val="00836CCD"/>
    <w:rsid w:val="00844237"/>
    <w:rsid w:val="00845F44"/>
    <w:rsid w:val="00855D00"/>
    <w:rsid w:val="00857A37"/>
    <w:rsid w:val="00857ED9"/>
    <w:rsid w:val="00860F69"/>
    <w:rsid w:val="00866034"/>
    <w:rsid w:val="00872CEF"/>
    <w:rsid w:val="00880B3E"/>
    <w:rsid w:val="00881F65"/>
    <w:rsid w:val="008925E5"/>
    <w:rsid w:val="008A127E"/>
    <w:rsid w:val="008B1D23"/>
    <w:rsid w:val="008B4FB4"/>
    <w:rsid w:val="008C48BF"/>
    <w:rsid w:val="008D2AD6"/>
    <w:rsid w:val="008D7AB4"/>
    <w:rsid w:val="008E3E25"/>
    <w:rsid w:val="008E5AE5"/>
    <w:rsid w:val="008F1DD1"/>
    <w:rsid w:val="008F202B"/>
    <w:rsid w:val="008F6957"/>
    <w:rsid w:val="00905120"/>
    <w:rsid w:val="00905F0D"/>
    <w:rsid w:val="00925A6C"/>
    <w:rsid w:val="00926580"/>
    <w:rsid w:val="0092773F"/>
    <w:rsid w:val="00930737"/>
    <w:rsid w:val="00932B24"/>
    <w:rsid w:val="0094474B"/>
    <w:rsid w:val="00945805"/>
    <w:rsid w:val="00953061"/>
    <w:rsid w:val="00954F95"/>
    <w:rsid w:val="009606B9"/>
    <w:rsid w:val="009634B1"/>
    <w:rsid w:val="00982D70"/>
    <w:rsid w:val="0098575B"/>
    <w:rsid w:val="009A3F4B"/>
    <w:rsid w:val="009A443D"/>
    <w:rsid w:val="009C1DCA"/>
    <w:rsid w:val="009C7DB8"/>
    <w:rsid w:val="009D36A0"/>
    <w:rsid w:val="009E5148"/>
    <w:rsid w:val="009E7D49"/>
    <w:rsid w:val="009F1956"/>
    <w:rsid w:val="00A06D57"/>
    <w:rsid w:val="00A12D87"/>
    <w:rsid w:val="00A152E7"/>
    <w:rsid w:val="00A154E8"/>
    <w:rsid w:val="00A257EC"/>
    <w:rsid w:val="00A25EAA"/>
    <w:rsid w:val="00A3188B"/>
    <w:rsid w:val="00A32360"/>
    <w:rsid w:val="00A449C3"/>
    <w:rsid w:val="00A536E8"/>
    <w:rsid w:val="00A551D7"/>
    <w:rsid w:val="00A61A9C"/>
    <w:rsid w:val="00A66605"/>
    <w:rsid w:val="00A70714"/>
    <w:rsid w:val="00A81A1E"/>
    <w:rsid w:val="00A8247C"/>
    <w:rsid w:val="00A8419E"/>
    <w:rsid w:val="00A86767"/>
    <w:rsid w:val="00A909E4"/>
    <w:rsid w:val="00A935C8"/>
    <w:rsid w:val="00A97336"/>
    <w:rsid w:val="00AA6B5D"/>
    <w:rsid w:val="00AA7429"/>
    <w:rsid w:val="00AB3DC2"/>
    <w:rsid w:val="00AB4047"/>
    <w:rsid w:val="00AC7602"/>
    <w:rsid w:val="00AD6F8C"/>
    <w:rsid w:val="00B07802"/>
    <w:rsid w:val="00B24FDF"/>
    <w:rsid w:val="00B307E7"/>
    <w:rsid w:val="00B311B1"/>
    <w:rsid w:val="00B32CC4"/>
    <w:rsid w:val="00B43F81"/>
    <w:rsid w:val="00B44524"/>
    <w:rsid w:val="00B564F8"/>
    <w:rsid w:val="00B6163C"/>
    <w:rsid w:val="00B83E36"/>
    <w:rsid w:val="00B85050"/>
    <w:rsid w:val="00B8513F"/>
    <w:rsid w:val="00B87AF6"/>
    <w:rsid w:val="00B9016A"/>
    <w:rsid w:val="00B93605"/>
    <w:rsid w:val="00BA3161"/>
    <w:rsid w:val="00BA3AA3"/>
    <w:rsid w:val="00BA40F9"/>
    <w:rsid w:val="00BA5B06"/>
    <w:rsid w:val="00BA6313"/>
    <w:rsid w:val="00BB3669"/>
    <w:rsid w:val="00BB50AB"/>
    <w:rsid w:val="00BB6043"/>
    <w:rsid w:val="00BC0AE5"/>
    <w:rsid w:val="00BD4BFD"/>
    <w:rsid w:val="00BE3071"/>
    <w:rsid w:val="00BE31BE"/>
    <w:rsid w:val="00BE6778"/>
    <w:rsid w:val="00BE718B"/>
    <w:rsid w:val="00BF0E98"/>
    <w:rsid w:val="00BF440A"/>
    <w:rsid w:val="00C031AB"/>
    <w:rsid w:val="00C11C6A"/>
    <w:rsid w:val="00C1281B"/>
    <w:rsid w:val="00C131F8"/>
    <w:rsid w:val="00C13379"/>
    <w:rsid w:val="00C22350"/>
    <w:rsid w:val="00C44505"/>
    <w:rsid w:val="00C640B8"/>
    <w:rsid w:val="00C72A79"/>
    <w:rsid w:val="00C74949"/>
    <w:rsid w:val="00C860A9"/>
    <w:rsid w:val="00C91E18"/>
    <w:rsid w:val="00C92B8A"/>
    <w:rsid w:val="00C959B9"/>
    <w:rsid w:val="00C95CE3"/>
    <w:rsid w:val="00C96EB3"/>
    <w:rsid w:val="00CA3027"/>
    <w:rsid w:val="00CA6134"/>
    <w:rsid w:val="00CB18F2"/>
    <w:rsid w:val="00CB1E38"/>
    <w:rsid w:val="00CB305F"/>
    <w:rsid w:val="00CC01C1"/>
    <w:rsid w:val="00CC624D"/>
    <w:rsid w:val="00CE59A6"/>
    <w:rsid w:val="00CE64D7"/>
    <w:rsid w:val="00CF0732"/>
    <w:rsid w:val="00D0059B"/>
    <w:rsid w:val="00D03725"/>
    <w:rsid w:val="00D05281"/>
    <w:rsid w:val="00D13C24"/>
    <w:rsid w:val="00D178D8"/>
    <w:rsid w:val="00D22C84"/>
    <w:rsid w:val="00D27C48"/>
    <w:rsid w:val="00D35821"/>
    <w:rsid w:val="00D3632A"/>
    <w:rsid w:val="00D53F9B"/>
    <w:rsid w:val="00D547C6"/>
    <w:rsid w:val="00D5531B"/>
    <w:rsid w:val="00D63018"/>
    <w:rsid w:val="00D6342C"/>
    <w:rsid w:val="00D97D64"/>
    <w:rsid w:val="00DA5CF1"/>
    <w:rsid w:val="00DC03BC"/>
    <w:rsid w:val="00DC1739"/>
    <w:rsid w:val="00DD3F2B"/>
    <w:rsid w:val="00DD777D"/>
    <w:rsid w:val="00DE3EF1"/>
    <w:rsid w:val="00DE7588"/>
    <w:rsid w:val="00DF1BD6"/>
    <w:rsid w:val="00DF2578"/>
    <w:rsid w:val="00DF2945"/>
    <w:rsid w:val="00DF45A1"/>
    <w:rsid w:val="00DF4A6F"/>
    <w:rsid w:val="00E0041A"/>
    <w:rsid w:val="00E03363"/>
    <w:rsid w:val="00E039C9"/>
    <w:rsid w:val="00E06A2D"/>
    <w:rsid w:val="00E10AC6"/>
    <w:rsid w:val="00E10E23"/>
    <w:rsid w:val="00E204AA"/>
    <w:rsid w:val="00E20A1D"/>
    <w:rsid w:val="00E21848"/>
    <w:rsid w:val="00E24A79"/>
    <w:rsid w:val="00E30005"/>
    <w:rsid w:val="00E331F2"/>
    <w:rsid w:val="00E402A9"/>
    <w:rsid w:val="00E41464"/>
    <w:rsid w:val="00E441E9"/>
    <w:rsid w:val="00E462B1"/>
    <w:rsid w:val="00E52A70"/>
    <w:rsid w:val="00E53B42"/>
    <w:rsid w:val="00E55489"/>
    <w:rsid w:val="00E57A2D"/>
    <w:rsid w:val="00E60DE4"/>
    <w:rsid w:val="00E61D8A"/>
    <w:rsid w:val="00E62E6E"/>
    <w:rsid w:val="00E62EBE"/>
    <w:rsid w:val="00E657AA"/>
    <w:rsid w:val="00E77651"/>
    <w:rsid w:val="00E84441"/>
    <w:rsid w:val="00E8561C"/>
    <w:rsid w:val="00E93121"/>
    <w:rsid w:val="00E960EF"/>
    <w:rsid w:val="00E9692C"/>
    <w:rsid w:val="00EA00EA"/>
    <w:rsid w:val="00EC10AA"/>
    <w:rsid w:val="00ED1C97"/>
    <w:rsid w:val="00EF34E4"/>
    <w:rsid w:val="00EF4A60"/>
    <w:rsid w:val="00EF5C10"/>
    <w:rsid w:val="00F02DE0"/>
    <w:rsid w:val="00F03A6F"/>
    <w:rsid w:val="00F05AE8"/>
    <w:rsid w:val="00F112CC"/>
    <w:rsid w:val="00F152BF"/>
    <w:rsid w:val="00F16933"/>
    <w:rsid w:val="00F4515F"/>
    <w:rsid w:val="00F54E57"/>
    <w:rsid w:val="00F6398C"/>
    <w:rsid w:val="00F6648C"/>
    <w:rsid w:val="00F66F5B"/>
    <w:rsid w:val="00F7642C"/>
    <w:rsid w:val="00F77902"/>
    <w:rsid w:val="00F91AAC"/>
    <w:rsid w:val="00F962CC"/>
    <w:rsid w:val="00FA2046"/>
    <w:rsid w:val="00FA4254"/>
    <w:rsid w:val="00FB525F"/>
    <w:rsid w:val="00FC7CAB"/>
    <w:rsid w:val="00FD1466"/>
    <w:rsid w:val="00FF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284C"/>
  <w15:chartTrackingRefBased/>
  <w15:docId w15:val="{32D72C35-0D55-4376-AFF1-FDB5759D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0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575B"/>
    <w:pPr>
      <w:ind w:left="720"/>
      <w:contextualSpacing/>
    </w:pPr>
  </w:style>
  <w:style w:type="character" w:styleId="Hyperlink">
    <w:name w:val="Hyperlink"/>
    <w:basedOn w:val="DefaultParagraphFont"/>
    <w:uiPriority w:val="99"/>
    <w:unhideWhenUsed/>
    <w:rsid w:val="007A6779"/>
    <w:rPr>
      <w:color w:val="0563C1" w:themeColor="hyperlink"/>
      <w:u w:val="single"/>
    </w:rPr>
  </w:style>
  <w:style w:type="character" w:styleId="FollowedHyperlink">
    <w:name w:val="FollowedHyperlink"/>
    <w:basedOn w:val="DefaultParagraphFont"/>
    <w:uiPriority w:val="99"/>
    <w:semiHidden/>
    <w:unhideWhenUsed/>
    <w:rsid w:val="006030A7"/>
    <w:rPr>
      <w:color w:val="954F72" w:themeColor="followedHyperlink"/>
      <w:u w:val="single"/>
    </w:rPr>
  </w:style>
  <w:style w:type="character" w:customStyle="1" w:styleId="UnresolvedMention1">
    <w:name w:val="Unresolved Mention1"/>
    <w:basedOn w:val="DefaultParagraphFont"/>
    <w:uiPriority w:val="99"/>
    <w:semiHidden/>
    <w:unhideWhenUsed/>
    <w:rsid w:val="00C13379"/>
    <w:rPr>
      <w:color w:val="605E5C"/>
      <w:shd w:val="clear" w:color="auto" w:fill="E1DFDD"/>
    </w:rPr>
  </w:style>
  <w:style w:type="paragraph" w:styleId="Header">
    <w:name w:val="header"/>
    <w:basedOn w:val="Normal"/>
    <w:link w:val="HeaderChar"/>
    <w:uiPriority w:val="99"/>
    <w:unhideWhenUsed/>
    <w:rsid w:val="00242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262"/>
  </w:style>
  <w:style w:type="paragraph" w:styleId="Footer">
    <w:name w:val="footer"/>
    <w:basedOn w:val="Normal"/>
    <w:link w:val="FooterChar"/>
    <w:uiPriority w:val="99"/>
    <w:unhideWhenUsed/>
    <w:rsid w:val="00242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262"/>
  </w:style>
  <w:style w:type="table" w:styleId="TableGrid">
    <w:name w:val="Table Grid"/>
    <w:basedOn w:val="TableNormal"/>
    <w:uiPriority w:val="39"/>
    <w:rsid w:val="000C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E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24193">
      <w:bodyDiv w:val="1"/>
      <w:marLeft w:val="0"/>
      <w:marRight w:val="0"/>
      <w:marTop w:val="0"/>
      <w:marBottom w:val="0"/>
      <w:divBdr>
        <w:top w:val="none" w:sz="0" w:space="0" w:color="auto"/>
        <w:left w:val="none" w:sz="0" w:space="0" w:color="auto"/>
        <w:bottom w:val="none" w:sz="0" w:space="0" w:color="auto"/>
        <w:right w:val="none" w:sz="0" w:space="0" w:color="auto"/>
      </w:divBdr>
    </w:div>
    <w:div w:id="463817183">
      <w:bodyDiv w:val="1"/>
      <w:marLeft w:val="0"/>
      <w:marRight w:val="0"/>
      <w:marTop w:val="0"/>
      <w:marBottom w:val="0"/>
      <w:divBdr>
        <w:top w:val="none" w:sz="0" w:space="0" w:color="auto"/>
        <w:left w:val="none" w:sz="0" w:space="0" w:color="auto"/>
        <w:bottom w:val="none" w:sz="0" w:space="0" w:color="auto"/>
        <w:right w:val="none" w:sz="0" w:space="0" w:color="auto"/>
      </w:divBdr>
    </w:div>
    <w:div w:id="1099180238">
      <w:bodyDiv w:val="1"/>
      <w:marLeft w:val="0"/>
      <w:marRight w:val="0"/>
      <w:marTop w:val="0"/>
      <w:marBottom w:val="0"/>
      <w:divBdr>
        <w:top w:val="none" w:sz="0" w:space="0" w:color="auto"/>
        <w:left w:val="none" w:sz="0" w:space="0" w:color="auto"/>
        <w:bottom w:val="none" w:sz="0" w:space="0" w:color="auto"/>
        <w:right w:val="none" w:sz="0" w:space="0" w:color="auto"/>
      </w:divBdr>
    </w:div>
    <w:div w:id="1252277688">
      <w:bodyDiv w:val="1"/>
      <w:marLeft w:val="0"/>
      <w:marRight w:val="0"/>
      <w:marTop w:val="0"/>
      <w:marBottom w:val="0"/>
      <w:divBdr>
        <w:top w:val="none" w:sz="0" w:space="0" w:color="auto"/>
        <w:left w:val="none" w:sz="0" w:space="0" w:color="auto"/>
        <w:bottom w:val="none" w:sz="0" w:space="0" w:color="auto"/>
        <w:right w:val="none" w:sz="0" w:space="0" w:color="auto"/>
      </w:divBdr>
    </w:div>
    <w:div w:id="1270117046">
      <w:bodyDiv w:val="1"/>
      <w:marLeft w:val="0"/>
      <w:marRight w:val="0"/>
      <w:marTop w:val="0"/>
      <w:marBottom w:val="0"/>
      <w:divBdr>
        <w:top w:val="none" w:sz="0" w:space="0" w:color="auto"/>
        <w:left w:val="none" w:sz="0" w:space="0" w:color="auto"/>
        <w:bottom w:val="none" w:sz="0" w:space="0" w:color="auto"/>
        <w:right w:val="none" w:sz="0" w:space="0" w:color="auto"/>
      </w:divBdr>
    </w:div>
    <w:div w:id="1313681892">
      <w:bodyDiv w:val="1"/>
      <w:marLeft w:val="0"/>
      <w:marRight w:val="0"/>
      <w:marTop w:val="0"/>
      <w:marBottom w:val="0"/>
      <w:divBdr>
        <w:top w:val="none" w:sz="0" w:space="0" w:color="auto"/>
        <w:left w:val="none" w:sz="0" w:space="0" w:color="auto"/>
        <w:bottom w:val="none" w:sz="0" w:space="0" w:color="auto"/>
        <w:right w:val="none" w:sz="0" w:space="0" w:color="auto"/>
      </w:divBdr>
    </w:div>
    <w:div w:id="1499688519">
      <w:bodyDiv w:val="1"/>
      <w:marLeft w:val="0"/>
      <w:marRight w:val="0"/>
      <w:marTop w:val="0"/>
      <w:marBottom w:val="0"/>
      <w:divBdr>
        <w:top w:val="none" w:sz="0" w:space="0" w:color="auto"/>
        <w:left w:val="none" w:sz="0" w:space="0" w:color="auto"/>
        <w:bottom w:val="none" w:sz="0" w:space="0" w:color="auto"/>
        <w:right w:val="none" w:sz="0" w:space="0" w:color="auto"/>
      </w:divBdr>
    </w:div>
    <w:div w:id="1515655528">
      <w:bodyDiv w:val="1"/>
      <w:marLeft w:val="0"/>
      <w:marRight w:val="0"/>
      <w:marTop w:val="0"/>
      <w:marBottom w:val="0"/>
      <w:divBdr>
        <w:top w:val="none" w:sz="0" w:space="0" w:color="auto"/>
        <w:left w:val="none" w:sz="0" w:space="0" w:color="auto"/>
        <w:bottom w:val="none" w:sz="0" w:space="0" w:color="auto"/>
        <w:right w:val="none" w:sz="0" w:space="0" w:color="auto"/>
      </w:divBdr>
    </w:div>
    <w:div w:id="1578973160">
      <w:bodyDiv w:val="1"/>
      <w:marLeft w:val="0"/>
      <w:marRight w:val="0"/>
      <w:marTop w:val="0"/>
      <w:marBottom w:val="0"/>
      <w:divBdr>
        <w:top w:val="none" w:sz="0" w:space="0" w:color="auto"/>
        <w:left w:val="none" w:sz="0" w:space="0" w:color="auto"/>
        <w:bottom w:val="none" w:sz="0" w:space="0" w:color="auto"/>
        <w:right w:val="none" w:sz="0" w:space="0" w:color="auto"/>
      </w:divBdr>
      <w:divsChild>
        <w:div w:id="964308868">
          <w:marLeft w:val="0"/>
          <w:marRight w:val="0"/>
          <w:marTop w:val="0"/>
          <w:marBottom w:val="0"/>
          <w:divBdr>
            <w:top w:val="none" w:sz="0" w:space="0" w:color="auto"/>
            <w:left w:val="none" w:sz="0" w:space="0" w:color="auto"/>
            <w:bottom w:val="none" w:sz="0" w:space="0" w:color="auto"/>
            <w:right w:val="none" w:sz="0" w:space="0" w:color="auto"/>
          </w:divBdr>
          <w:divsChild>
            <w:div w:id="19976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chool.stockcharts.com/doku.php?id=technical_indicators%3Amoving_average_convergence_divergence_macd"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hool.stockcharts.com/doku.php?id=technical_indicators%3Abollinger_bands" TargetMode="External"/><Relationship Id="rId2" Type="http://schemas.openxmlformats.org/officeDocument/2006/relationships/numbering" Target="numbering.xml"/><Relationship Id="rId16" Type="http://schemas.openxmlformats.org/officeDocument/2006/relationships/hyperlink" Target="https://school.stockcharts.com/doku.php?id=technical_indicators%3Abollinger_band_per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vestopedia.com/terms/p/ppo.asp"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chool.stockcharts.com/doku.php?id=technical_indicators%3Aprice_oscillators_pp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terms/m/macd.asp"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3283A-EA69-4239-BA92-DC48C22F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3449</TotalTime>
  <Pages>10</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J. Anderson</dc:creator>
  <cp:keywords/>
  <dc:description/>
  <cp:lastModifiedBy>Marcus J. Anderson</cp:lastModifiedBy>
  <cp:revision>373</cp:revision>
  <dcterms:created xsi:type="dcterms:W3CDTF">2023-01-21T02:33:00Z</dcterms:created>
  <dcterms:modified xsi:type="dcterms:W3CDTF">2023-04-16T15:58:00Z</dcterms:modified>
</cp:coreProperties>
</file>