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8C35DE">
      <w:pPr>
        <w:ind w:left="360"/>
      </w:pPr>
      <w:hyperlink w:anchor="h.9pugn03c3q4d">
        <w:r w:rsidR="00363E65">
          <w:t>Estrategia</w:t>
        </w:r>
      </w:hyperlink>
      <w:r w:rsidR="00363E65">
        <w:t>…………………………………………………………………….…</w:t>
      </w:r>
      <w:r w:rsidR="00697E5A">
        <w:t>.</w:t>
      </w:r>
      <w:r w:rsidR="00363E65">
        <w:t>...2</w:t>
      </w:r>
    </w:p>
    <w:p w:rsidR="000B1619" w:rsidRDefault="008C35DE">
      <w:pPr>
        <w:ind w:left="360"/>
      </w:pPr>
      <w:hyperlink w:anchor="h.2v9ym0wpaglq">
        <w:r w:rsidR="00363E65">
          <w:t>Estructura general del proyecto</w:t>
        </w:r>
      </w:hyperlink>
      <w:r w:rsidR="00697E5A">
        <w:t>………………………………………….……..</w:t>
      </w:r>
      <w:r w:rsidR="00363E65">
        <w:t>.3</w:t>
      </w:r>
    </w:p>
    <w:p w:rsidR="000B1619" w:rsidRDefault="008C35DE">
      <w:pPr>
        <w:ind w:left="360"/>
      </w:pPr>
      <w:hyperlink w:anchor="h.7hmjd0shlryk">
        <w:r w:rsidR="00363E65">
          <w:t>Consideraciones generales</w:t>
        </w:r>
      </w:hyperlink>
      <w:r w:rsidR="00697E5A">
        <w:t>………………………………………………….…</w:t>
      </w:r>
      <w:r w:rsidR="00363E65">
        <w:t>..4</w:t>
      </w:r>
    </w:p>
    <w:p w:rsidR="000B1619" w:rsidRDefault="008C35DE">
      <w:pPr>
        <w:ind w:left="720"/>
      </w:pPr>
      <w:hyperlink w:anchor="h.16vgri5gao8n">
        <w:r w:rsidR="00363E65">
          <w:t>ABM de Rol</w:t>
        </w:r>
      </w:hyperlink>
      <w:r w:rsidR="00363E65">
        <w:t>……………………………………………………………</w:t>
      </w:r>
      <w:r w:rsidR="00697E5A">
        <w:t>.</w:t>
      </w:r>
      <w:r w:rsidR="00363E65">
        <w:t>……..4</w:t>
      </w:r>
    </w:p>
    <w:p w:rsidR="000B1619" w:rsidRDefault="008C35DE">
      <w:pPr>
        <w:ind w:left="720"/>
      </w:pPr>
      <w:hyperlink w:anchor="h.u27mw9axvzi">
        <w:r w:rsidR="00363E65">
          <w:t>Login y seguridad</w:t>
        </w:r>
      </w:hyperlink>
      <w:r w:rsidR="00363E65">
        <w:t>………………………………………………………….....4</w:t>
      </w:r>
    </w:p>
    <w:p w:rsidR="000B1619" w:rsidRDefault="008C35DE">
      <w:pPr>
        <w:ind w:left="720"/>
      </w:pPr>
      <w:hyperlink w:anchor="h.ipg6rnhhxq6i">
        <w:r w:rsidR="00363E65">
          <w:t>Registro de Usuario</w:t>
        </w:r>
      </w:hyperlink>
      <w:r w:rsidR="00363E65">
        <w:t>………………………………………………………</w:t>
      </w:r>
      <w:r w:rsidR="00697E5A">
        <w:t>.</w:t>
      </w:r>
      <w:r w:rsidR="00363E65">
        <w:t>….5</w:t>
      </w:r>
    </w:p>
    <w:p w:rsidR="000B1619" w:rsidRDefault="008C35DE">
      <w:pPr>
        <w:ind w:left="720"/>
      </w:pPr>
      <w:hyperlink w:anchor="h.fijwz5ch4uur">
        <w:r w:rsidR="00363E65">
          <w:t>AMB de Ciudad</w:t>
        </w:r>
      </w:hyperlink>
      <w:r w:rsidR="00363E65">
        <w:t>………………………………………………………….</w:t>
      </w:r>
      <w:r w:rsidR="00697E5A">
        <w:t>.</w:t>
      </w:r>
      <w:r w:rsidR="00363E65">
        <w:t>…...5</w:t>
      </w:r>
    </w:p>
    <w:p w:rsidR="000B1619" w:rsidRDefault="008C35DE">
      <w:pPr>
        <w:ind w:left="720"/>
      </w:pPr>
      <w:hyperlink w:anchor="h.swaciah47tfs">
        <w:r w:rsidR="00363E65">
          <w:t>ABM de Ruta Aérea</w:t>
        </w:r>
      </w:hyperlink>
      <w:r w:rsidR="00363E65">
        <w:t>…………………………………………………</w:t>
      </w:r>
      <w:r w:rsidR="00697E5A">
        <w:t>.</w:t>
      </w:r>
      <w:r w:rsidR="00363E65">
        <w:t>….……5</w:t>
      </w:r>
    </w:p>
    <w:p w:rsidR="000B1619" w:rsidRDefault="008C35DE">
      <w:pPr>
        <w:ind w:left="720"/>
      </w:pPr>
      <w:hyperlink w:anchor="h.en4hf32lhkrz">
        <w:r w:rsidR="00363E65">
          <w:t>ABM de Aeronave</w:t>
        </w:r>
      </w:hyperlink>
      <w:r w:rsidR="00363E65">
        <w:t>…………………………………………………….</w:t>
      </w:r>
      <w:r w:rsidR="00697E5A">
        <w:t>.</w:t>
      </w:r>
      <w:r w:rsidR="00363E65">
        <w:t>……...6</w:t>
      </w:r>
    </w:p>
    <w:p w:rsidR="000B1619" w:rsidRDefault="008C35DE">
      <w:pPr>
        <w:ind w:left="720"/>
      </w:pPr>
      <w:hyperlink w:anchor="h.n1966yg5zeth">
        <w:r w:rsidR="00363E65">
          <w:t>Generación de Viaje</w:t>
        </w:r>
      </w:hyperlink>
      <w:r w:rsidR="00363E65">
        <w:t>………………………………………………….……....6</w:t>
      </w:r>
    </w:p>
    <w:p w:rsidR="000B1619" w:rsidRDefault="008C35DE">
      <w:pPr>
        <w:ind w:left="720"/>
      </w:pPr>
      <w:hyperlink w:anchor="h.phpiulzijdz3">
        <w:r w:rsidR="00363E65">
          <w:t>Registro de llegada a Destino</w:t>
        </w:r>
      </w:hyperlink>
      <w:r w:rsidR="00CA4012">
        <w:t>……………………………………………….7</w:t>
      </w:r>
    </w:p>
    <w:p w:rsidR="000B1619" w:rsidRDefault="008C35DE">
      <w:pPr>
        <w:ind w:left="720"/>
      </w:pPr>
      <w:hyperlink w:anchor="h.x0y8vg1a5g5b">
        <w:r w:rsidR="00363E65">
          <w:t>Compra de pasaje/encomienda</w:t>
        </w:r>
      </w:hyperlink>
      <w:r w:rsidR="00363E65">
        <w:t>……………………………………………..7</w:t>
      </w:r>
    </w:p>
    <w:p w:rsidR="000B1619" w:rsidRDefault="008C35DE">
      <w:pPr>
        <w:ind w:left="720"/>
      </w:pPr>
      <w:hyperlink w:anchor="h.cfp4du1xnk9g">
        <w:r w:rsidR="00363E65">
          <w:t>Devolución/Cancelación de pasaje y/o encomienda</w:t>
        </w:r>
      </w:hyperlink>
      <w:r w:rsidR="00697E5A">
        <w:t>……………………..</w:t>
      </w:r>
      <w:r w:rsidR="00363E65">
        <w:t>.7</w:t>
      </w:r>
    </w:p>
    <w:p w:rsidR="000B1619" w:rsidRDefault="008C35DE">
      <w:pPr>
        <w:ind w:left="720"/>
      </w:pPr>
      <w:hyperlink w:anchor="h.nsc26o8ydru1">
        <w:r w:rsidR="00363E65">
          <w:t>Consulta de millas de pasajero frecuente</w:t>
        </w:r>
      </w:hyperlink>
      <w:r w:rsidR="00697E5A">
        <w:t>……………………………...</w:t>
      </w:r>
      <w:r w:rsidR="00CA4012">
        <w:t>…..8</w:t>
      </w:r>
    </w:p>
    <w:p w:rsidR="000B1619" w:rsidRDefault="008C35DE">
      <w:pPr>
        <w:ind w:left="720"/>
      </w:pPr>
      <w:hyperlink w:anchor="h.s3f2vkiai1hw">
        <w:r w:rsidR="00363E65">
          <w:t>Canje de millas</w:t>
        </w:r>
      </w:hyperlink>
      <w:r w:rsidR="00363E65">
        <w:t>……………………………………………………………</w:t>
      </w:r>
      <w:r w:rsidR="00697E5A">
        <w:t>…..</w:t>
      </w:r>
      <w:r w:rsidR="00363E65">
        <w:t>.8</w:t>
      </w:r>
    </w:p>
    <w:p w:rsidR="000B1619" w:rsidRDefault="008C35DE">
      <w:pPr>
        <w:ind w:left="720"/>
      </w:pPr>
      <w:hyperlink w:anchor="h.t2ue52r71yj0">
        <w:r w:rsidR="00363E65">
          <w:t>Listado Estadístico</w:t>
        </w:r>
      </w:hyperlink>
      <w:r w:rsidR="00363E65">
        <w:t>……………………………………………………</w:t>
      </w:r>
      <w:r w:rsidR="00697E5A">
        <w:t>.</w:t>
      </w:r>
      <w:r w:rsidR="00363E65">
        <w:t>……...8</w:t>
      </w:r>
    </w:p>
    <w:p w:rsidR="000B1619" w:rsidRDefault="008C35DE">
      <w:pPr>
        <w:ind w:left="360"/>
      </w:pPr>
      <w:hyperlink w:anchor="h.2li8uwvezf5e">
        <w:r w:rsidR="00363E65">
          <w:t>DER</w:t>
        </w:r>
      </w:hyperlink>
      <w:r w:rsidR="00363E65">
        <w:t>……………………………………………………………………………</w:t>
      </w:r>
      <w:r w:rsidR="00697E5A">
        <w:t>...</w:t>
      </w:r>
      <w:r w:rsidR="00363E65">
        <w:t>….9</w:t>
      </w:r>
    </w:p>
    <w:p w:rsidR="000B1619" w:rsidRDefault="008C35DE">
      <w:pPr>
        <w:ind w:left="360"/>
      </w:pPr>
      <w:hyperlink w:anchor="h.ls40e4wlme9k">
        <w:r w:rsidR="00363E65">
          <w:t>Consultas</w:t>
        </w:r>
      </w:hyperlink>
      <w:r w:rsidR="00363E65">
        <w:t>………………………………………………………………………</w:t>
      </w:r>
      <w:r w:rsidR="00697E5A">
        <w:t>..</w:t>
      </w:r>
      <w:r w:rsidR="00363E65">
        <w:t>...10</w:t>
      </w:r>
    </w:p>
    <w:p w:rsidR="000B1619" w:rsidRDefault="008C35DE">
      <w:pPr>
        <w:ind w:left="360"/>
      </w:pPr>
      <w:hyperlink w:anchor="h.5ewy7y2stzsl">
        <w:r w:rsidR="00363E65">
          <w:t>Triggers</w:t>
        </w:r>
      </w:hyperlink>
      <w:r w:rsidR="00363E65">
        <w:t>………………………………………………………………………</w:t>
      </w:r>
      <w:r w:rsidR="00697E5A">
        <w:t>..</w:t>
      </w:r>
      <w:r w:rsidR="00363E65">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0" w:name="h.9pugn03c3q4d" w:colFirst="0" w:colLast="0"/>
      <w:bookmarkEnd w:id="0"/>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r>
        <w:rPr>
          <w:rFonts w:ascii="Calibri" w:eastAsia="Calibri" w:hAnsi="Calibri" w:cs="Calibri"/>
          <w:b/>
          <w:color w:val="333333"/>
          <w:sz w:val="24"/>
          <w:szCs w:val="24"/>
          <w:highlight w:val="white"/>
        </w:rPr>
        <w:t>DBManager</w:t>
      </w:r>
      <w:r>
        <w:rPr>
          <w:rFonts w:ascii="Calibri" w:eastAsia="Calibri" w:hAnsi="Calibri" w:cs="Calibri"/>
          <w:color w:val="333333"/>
          <w:sz w:val="24"/>
          <w:szCs w:val="24"/>
          <w:highlight w:val="white"/>
        </w:rPr>
        <w:t>’ (encargada de manejar la conexión con la base de datos, que implementa el patrón Singleton para que exista una única conexión por sistema), ‘</w:t>
      </w:r>
      <w:r>
        <w:rPr>
          <w:rFonts w:ascii="Calibri" w:eastAsia="Calibri" w:hAnsi="Calibri" w:cs="Calibri"/>
          <w:b/>
          <w:color w:val="333333"/>
          <w:sz w:val="24"/>
          <w:szCs w:val="24"/>
          <w:highlight w:val="white"/>
        </w:rPr>
        <w:t>DBQueries</w:t>
      </w:r>
      <w:r>
        <w:rPr>
          <w:rFonts w:ascii="Calibri" w:eastAsia="Calibri" w:hAnsi="Calibri" w:cs="Calibri"/>
          <w:color w:val="333333"/>
          <w:sz w:val="24"/>
          <w:szCs w:val="24"/>
          <w:highlight w:val="white"/>
        </w:rPr>
        <w:t>’ (encargada de manejar los nombres de todas las consultas existentes en la base de datos), ‘</w:t>
      </w:r>
      <w:r>
        <w:rPr>
          <w:rFonts w:ascii="Calibri" w:eastAsia="Calibri" w:hAnsi="Calibri" w:cs="Calibri"/>
          <w:b/>
          <w:color w:val="333333"/>
          <w:sz w:val="24"/>
          <w:szCs w:val="24"/>
          <w:highlight w:val="white"/>
        </w:rPr>
        <w:t>StoreProcedure</w:t>
      </w:r>
      <w:r>
        <w:rPr>
          <w:rFonts w:ascii="Calibri" w:eastAsia="Calibri" w:hAnsi="Calibri" w:cs="Calibri"/>
          <w:color w:val="333333"/>
          <w:sz w:val="24"/>
          <w:szCs w:val="24"/>
          <w:highlight w:val="white"/>
        </w:rPr>
        <w:t>’ (encargada de impactar a la base de datos, es la que ejecuta los métodos de ExecuteNonQuery, ExecuteScalar y ExecuteReader) y ‘</w:t>
      </w:r>
      <w:r>
        <w:rPr>
          <w:rFonts w:ascii="Calibri" w:eastAsia="Calibri" w:hAnsi="Calibri" w:cs="Calibri"/>
          <w:b/>
          <w:color w:val="333333"/>
          <w:sz w:val="24"/>
          <w:szCs w:val="24"/>
          <w:highlight w:val="white"/>
        </w:rPr>
        <w:t>SPParameter</w:t>
      </w:r>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que pudimos efectivamente comunicarnos con la base de datos, comenzamos a desarrollar las distintas funcionalidades. La primer fue el Login, que creemos que es uno de los puntos más importantes para poder comprender y desarrollar la plataforma, además de ser el primero que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DataGridViews, Queries, pasaje de parámetros, etc. testeando las conexiones y ayudándonos a acostumbrarnos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Por último, la forma sistemática de trabajo que adoptamos fue la de dividirnos los diferentes partes de la aplicación, e ir trabajando conjuntamente las pantallas, el código de la aplicación y al mismo tiempo los Stored Procedures, Funciones o Triggers que íbamos necesitando a medida que avanzabamos.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2v9ym0wpaglq" w:colFirst="0" w:colLast="0"/>
      <w:bookmarkEnd w:id="1"/>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r>
        <w:rPr>
          <w:rFonts w:ascii="Calibri" w:eastAsia="Calibri" w:hAnsi="Calibri" w:cs="Calibri"/>
          <w:b/>
          <w:color w:val="333333"/>
          <w:sz w:val="24"/>
          <w:szCs w:val="24"/>
          <w:highlight w:val="white"/>
        </w:rPr>
        <w:t>AerolineaFrba:</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r>
        <w:rPr>
          <w:rFonts w:ascii="Calibri" w:eastAsia="Calibri" w:hAnsi="Calibri" w:cs="Calibri"/>
          <w:b/>
          <w:color w:val="333333"/>
          <w:sz w:val="24"/>
          <w:szCs w:val="24"/>
          <w:highlight w:val="white"/>
        </w:rPr>
        <w:t>app.config</w:t>
      </w:r>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es el proyecto encargado de manejar las distintas configuraciones que se encuentran en el archivo de configuración del proyecto y que necesita el sistema para funcionar. Por ejemplo, la connection string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Estos filtros fueron utilizados en las pantallas de ABM’s como así también para la realización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de manejar información del usuario logueado que está ejecutando el sistema. Cuenta con la información del usuario logueado y el rol con el que eligió loguearse. Este proyecto fue muy útil ya que fue utilizado al momento de registrar el usuario (administrador)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7hmjd0shlryk" w:colFirst="0" w:colLast="0"/>
      <w:bookmarkEnd w:id="2"/>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 pasándole cualquier tipo de dato (texto libre, selección acotada, selección de fechas), mientras que la última permite únicamente filtrar por tipos de datos de texto, es decir, que no permite realizar una búsqueda inexacta con valores numéricos o fechas. 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Se pedía en la consigna que todas las bajas realizadas (en los distintos ABM’s)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que lo único que realizaba era setearle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5A6B53" w:rsidRDefault="005A6B53">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Consideramos que los viajes que existían en la tabla maestra ya estaban registrados como que habían llegado a destino ya que tenían una fecha de llegada y no podríamos perder ese dato en la migración.</w:t>
      </w:r>
    </w:p>
    <w:p w:rsidR="00CA597F" w:rsidRPr="00CA597F" w:rsidRDefault="00CA597F" w:rsidP="00CA597F">
      <w:pPr>
        <w:numPr>
          <w:ilvl w:val="0"/>
          <w:numId w:val="3"/>
        </w:numPr>
        <w:spacing w:line="240" w:lineRule="auto"/>
        <w:ind w:hanging="360"/>
        <w:contextualSpacing/>
        <w:rPr>
          <w:rFonts w:ascii="Calibri" w:eastAsia="Calibri" w:hAnsi="Calibri" w:cs="Calibri"/>
          <w:color w:val="333333"/>
          <w:sz w:val="24"/>
          <w:szCs w:val="24"/>
          <w:highlight w:val="white"/>
        </w:rPr>
      </w:pPr>
      <w:r w:rsidRPr="00CA597F">
        <w:rPr>
          <w:rFonts w:ascii="Calibri" w:eastAsia="Calibri" w:hAnsi="Calibri" w:cs="Calibri"/>
          <w:color w:val="333333"/>
          <w:sz w:val="24"/>
          <w:szCs w:val="24"/>
        </w:rPr>
        <w:t>Asimismo, debido al ítem anterior, y para evitar inconsistencias, decidimos que aunque esos viajes ya hayan llegado, no le generaron millas a los clientes que participaron de esos viajes.</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3" w:name="h.d8et2hpfklx8" w:colFirst="0" w:colLast="0"/>
      <w:bookmarkEnd w:id="3"/>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Se utilizó un trigger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4" w:name="h.1oqp5tx40b61" w:colFirst="0" w:colLast="0"/>
      <w:bookmarkEnd w:id="4"/>
      <w:r>
        <w:t>Login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r>
        <w:rPr>
          <w:rFonts w:ascii="Calibri" w:eastAsia="Calibri" w:hAnsi="Calibri" w:cs="Calibri"/>
          <w:sz w:val="24"/>
          <w:szCs w:val="24"/>
          <w:highlight w:val="white"/>
        </w:rPr>
        <w:t>Username: “admin1” Contraseña: “w23e” Rol: Administrador</w:t>
      </w:r>
    </w:p>
    <w:p w:rsidR="000B1619" w:rsidRDefault="00363E65">
      <w:pPr>
        <w:spacing w:line="240" w:lineRule="auto"/>
        <w:ind w:left="720"/>
      </w:pPr>
      <w:r>
        <w:rPr>
          <w:rFonts w:ascii="Calibri" w:eastAsia="Calibri" w:hAnsi="Calibri" w:cs="Calibri"/>
          <w:sz w:val="24"/>
          <w:szCs w:val="24"/>
          <w:highlight w:val="white"/>
        </w:rPr>
        <w:t>Username: “admin2” Contraseña: “w23e” Rol: Administrador</w:t>
      </w:r>
    </w:p>
    <w:p w:rsidR="000B1619" w:rsidRDefault="00363E65">
      <w:pPr>
        <w:spacing w:line="240" w:lineRule="auto"/>
        <w:ind w:left="720"/>
      </w:pPr>
      <w:r>
        <w:rPr>
          <w:rFonts w:ascii="Calibri" w:eastAsia="Calibri" w:hAnsi="Calibri" w:cs="Calibri"/>
          <w:sz w:val="24"/>
          <w:szCs w:val="24"/>
          <w:highlight w:val="white"/>
        </w:rPr>
        <w:lastRenderedPageBreak/>
        <w:t>Username: “admin3” Contraseña: “w23e” Rol: Administrador</w:t>
      </w:r>
    </w:p>
    <w:p w:rsidR="000B1619" w:rsidRDefault="00363E65">
      <w:pPr>
        <w:spacing w:line="240" w:lineRule="auto"/>
        <w:ind w:left="720"/>
      </w:pPr>
      <w:r>
        <w:rPr>
          <w:rFonts w:ascii="Calibri" w:eastAsia="Calibri" w:hAnsi="Calibri" w:cs="Calibri"/>
          <w:sz w:val="24"/>
          <w:szCs w:val="24"/>
          <w:highlight w:val="white"/>
        </w:rPr>
        <w:t>Username: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sistema:</w:t>
      </w:r>
    </w:p>
    <w:p w:rsidR="000B1619" w:rsidRDefault="00363E65">
      <w:pPr>
        <w:spacing w:line="240" w:lineRule="auto"/>
        <w:ind w:left="720"/>
      </w:pPr>
      <w:r>
        <w:rPr>
          <w:rFonts w:ascii="Calibri" w:eastAsia="Calibri" w:hAnsi="Calibri" w:cs="Calibri"/>
          <w:sz w:val="24"/>
          <w:szCs w:val="24"/>
          <w:highlight w:val="white"/>
        </w:rPr>
        <w:t>Username: “admin” Contraseña: “w23e” Rol: AdministradorGeneral</w:t>
      </w:r>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Para todos estos usuarios creados en el script de creación inicial, se hardcodeo la contraseña señalada ya encriptada, ya que el sistema valida las contraseñas utilizando el algoritmo SHA256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el manejo del usuario logueado, en vez de instanciar un objeto Usuario en el momento que se loguea el usuario e ir pasando dicho objeto entre las distintas pantallas que lo necesiten, decidimos crear una clase global ‘</w:t>
      </w:r>
      <w:r>
        <w:rPr>
          <w:rFonts w:ascii="Calibri" w:eastAsia="Calibri" w:hAnsi="Calibri" w:cs="Calibri"/>
          <w:b/>
          <w:sz w:val="24"/>
          <w:szCs w:val="24"/>
        </w:rPr>
        <w:t>AdministradorSesion</w:t>
      </w:r>
      <w:r>
        <w:rPr>
          <w:rFonts w:ascii="Calibri" w:eastAsia="Calibri" w:hAnsi="Calibri" w:cs="Calibri"/>
          <w:sz w:val="24"/>
          <w:szCs w:val="24"/>
        </w:rPr>
        <w:t xml:space="preserve">’, encargada de contener la información del usuario logueado, el rol con el que se logueo y el momento de login.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Todos los usuarios empiezan teniendo una cantidad de intentos posibles de error de contraseña igual a 3. Esta se va descontando en la medida que el usuario realice un logueo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5" w:name="h.mnsse3tu3mye" w:colFirst="0" w:colLast="0"/>
      <w:bookmarkEnd w:id="5"/>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6" w:name="h.cadx9a3y2faz" w:colFirst="0" w:colLast="0"/>
      <w:bookmarkEnd w:id="6"/>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física.</w:t>
      </w:r>
    </w:p>
    <w:p w:rsidR="000B1619" w:rsidRDefault="000B1619"/>
    <w:p w:rsidR="000B1619" w:rsidRDefault="00363E65">
      <w:pPr>
        <w:pStyle w:val="Ttulo2"/>
        <w:numPr>
          <w:ilvl w:val="0"/>
          <w:numId w:val="15"/>
        </w:numPr>
        <w:ind w:hanging="360"/>
      </w:pPr>
      <w:bookmarkStart w:id="7" w:name="h.99gppbtj326i" w:colFirst="0" w:colLast="0"/>
      <w:bookmarkEnd w:id="7"/>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este 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Para inhabilitar una ruta se hace desde la pantalla de búsqueda (botón de Inhabilitar). Para volver a habilitarla, se debe hacer desde la parte de modificar la ruta (con el check).</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CE7AA4" w:rsidRDefault="00CE7AA4">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no se valida la existencia de códigos de ruta duplicados ya que en las rutas provenientes de la tabla maestra esto es admitido. En el alta, se verifica este requerimiento.</w:t>
      </w:r>
    </w:p>
    <w:p w:rsidR="000B1619" w:rsidRDefault="000B1619">
      <w:pPr>
        <w:spacing w:line="240" w:lineRule="auto"/>
      </w:pPr>
    </w:p>
    <w:p w:rsidR="000B1619" w:rsidRDefault="000B1619"/>
    <w:p w:rsidR="000B1619" w:rsidRDefault="00363E65">
      <w:pPr>
        <w:pStyle w:val="Ttulo2"/>
        <w:numPr>
          <w:ilvl w:val="0"/>
          <w:numId w:val="15"/>
        </w:numPr>
        <w:ind w:hanging="360"/>
      </w:pPr>
      <w:bookmarkStart w:id="8" w:name="h.ux75sazerjgv" w:colFirst="0" w:colLast="0"/>
      <w:bookmarkEnd w:id="8"/>
      <w:r>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buscar con el filtro de la fecha de alta de una aeronave es necesario seleccionar esa opción ya que sino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Siempre antes de listar las aeronaves se verifica mediante un procedure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cuando no tenga viajes asignados, menos la fecha alta ya que consideramos que no es un campo que tendría s</w:t>
      </w:r>
      <w:r w:rsidR="002611AE">
        <w:rPr>
          <w:rFonts w:ascii="Calibri" w:eastAsia="Calibri" w:hAnsi="Calibri" w:cs="Calibri"/>
          <w:sz w:val="24"/>
          <w:szCs w:val="24"/>
        </w:rPr>
        <w:t>entido que varíe, a menos que esta fecha no haya llegado.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hacer esto, validamos que esta última tenga que tener como mínimo la misma cantidad de butacas de cada tipo</w:t>
      </w:r>
      <w:r w:rsidR="002611AE">
        <w:rPr>
          <w:rFonts w:ascii="Calibri" w:eastAsia="Calibri" w:hAnsi="Calibri" w:cs="Calibri"/>
          <w:sz w:val="24"/>
          <w:szCs w:val="24"/>
        </w:rPr>
        <w:t xml:space="preserve"> que la aeronave a reemplazar, como así también con la cantidad de KGs.</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que había, en base a su número de butaca, tipo y aeronave a la que pertenecía. En cambio, la cantidad de butacas de aeronaves nuevas se ingresa manualmente e impacta directamente en la tabla de butacas. Entonces, a la hora de consultar la cantidad de butacas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w:t>
      </w:r>
      <w:r w:rsidR="00A71C36">
        <w:rPr>
          <w:rFonts w:ascii="Calibri" w:eastAsia="Calibri" w:hAnsi="Calibri" w:cs="Calibri"/>
          <w:sz w:val="24"/>
          <w:szCs w:val="24"/>
        </w:rPr>
        <w:t>bilitar, modificar su servicio y agregar nuevas.</w:t>
      </w:r>
    </w:p>
    <w:p w:rsidR="00CA4012" w:rsidRDefault="00CA4012">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Se asume que al reemplazar una aeronave por otra, la aeronave reemplazante va a tener la cantidad de butacas necesarias para reemplazar a la otra y lo mismo para los kgs. Ya que en la consigna la única validación que había que tener en cuenta era que sea de la misma flota. Cuando hay que dar de alta una nueva, estas validaciones de cantidades se tienen que cuenta, pero en el reemplazo automático no.</w:t>
      </w:r>
    </w:p>
    <w:p w:rsidR="000B1619" w:rsidRDefault="000B1619"/>
    <w:p w:rsidR="000B1619" w:rsidRDefault="00363E65">
      <w:pPr>
        <w:pStyle w:val="Ttulo2"/>
        <w:numPr>
          <w:ilvl w:val="0"/>
          <w:numId w:val="15"/>
        </w:numPr>
        <w:ind w:hanging="360"/>
      </w:pPr>
      <w:bookmarkStart w:id="9" w:name="h.wemy9jh82uzi" w:colFirst="0" w:colLast="0"/>
      <w:bookmarkEnd w:id="9"/>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se elige la ciudad origen sólo se mostrarán aquellas que pertenezcan a una ruta que contenga el servicio de la aeronave seleccionada. Como así también al momento de seleccionar el destino solo será posible optar por aquellas ciudades que tengan en su ruta a la ciudad origen establecida.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0" w:name="h.obw9w21l8pva" w:colFirst="0" w:colLast="0"/>
      <w:bookmarkEnd w:id="10"/>
      <w:r>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Una vez validado lo mencionado anteriormente se procederá a mostrar la información de la aeronave que realiza el viaje y la opción de registrar la fecha, la 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 los clientes que viajaron o enviaron las encomiendas.</w:t>
      </w:r>
    </w:p>
    <w:p w:rsidR="00DB4C5F" w:rsidRDefault="00DB4C5F">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Un viaje que estaba planeado para una aeronave, una fecha y una ciudad de origen determinados puede llegar a cualquier ciudad de destino inclusive a la misma de la que partió (esto puede ocurrir por algún imprevisto). Esta consideración se efectuó para poder validar si el avión debía arribar a esa ciudad de destino o no. Por lo tanto, el avión puede recorrer una ruta inexistente en el sistema. Si bien se puede registrar el arribo a otro destino, este cambio no impacta en la base de datos y todas las funcionalidades que de esta derivaban (por ejemplo, el registro de las millas), se ejecutan en forma normal.</w:t>
      </w:r>
    </w:p>
    <w:p w:rsidR="000B1619" w:rsidRDefault="000B1619"/>
    <w:p w:rsidR="000B1619" w:rsidRDefault="00363E65">
      <w:pPr>
        <w:pStyle w:val="Ttulo2"/>
        <w:numPr>
          <w:ilvl w:val="0"/>
          <w:numId w:val="15"/>
        </w:numPr>
        <w:ind w:hanging="360"/>
      </w:pPr>
      <w:bookmarkStart w:id="11" w:name="h.pzim472tucpv" w:colFirst="0" w:colLast="0"/>
      <w:bookmarkEnd w:id="11"/>
      <w:r>
        <w:t>Compra de pasaje/encomienda</w:t>
      </w:r>
    </w:p>
    <w:p w:rsidR="000B1619" w:rsidRDefault="00363E65">
      <w:pPr>
        <w:pStyle w:val="Ttulo2"/>
        <w:numPr>
          <w:ilvl w:val="0"/>
          <w:numId w:val="9"/>
        </w:numPr>
        <w:ind w:hanging="360"/>
        <w:rPr>
          <w:b w:val="0"/>
        </w:rPr>
      </w:pPr>
      <w:bookmarkStart w:id="12" w:name="h.nury1evedwtk" w:colFirst="0" w:colLast="0"/>
      <w:bookmarkEnd w:id="12"/>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Los campos se llenan automáticamente luego de ingresar el tipo y número de documento y haciendo click en otro text box o seleccionando la butaca, o bien tocando Enter.</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Las opciones de pago dependen del rol del usuario logueado. Si es cliente, sólo puede pagar con tarjeta, en cambio un administrador puede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3" w:name="h.5dtj2kopuju5" w:colFirst="0" w:colLast="0"/>
      <w:bookmarkEnd w:id="13"/>
      <w:r>
        <w:t>Devolución/Cancelación de 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dni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lastRenderedPageBreak/>
        <w:t>En el caso que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tendrá la posibilidad de devolver todo (todos los pasajes y encomiendas comprados), lo cual generará que todas sus compras sean devueltas, exigiendo que se ingrese un motivo común a todas las devoluciones.</w:t>
      </w:r>
    </w:p>
    <w:p w:rsidR="000B1619" w:rsidRDefault="000B1619"/>
    <w:p w:rsidR="000B1619" w:rsidRDefault="00363E65">
      <w:pPr>
        <w:pStyle w:val="Ttulo2"/>
        <w:numPr>
          <w:ilvl w:val="0"/>
          <w:numId w:val="15"/>
        </w:numPr>
        <w:ind w:hanging="360"/>
      </w:pPr>
      <w:bookmarkStart w:id="14" w:name="h.3ocmz868hu69" w:colFirst="0" w:colLast="0"/>
      <w:bookmarkEnd w:id="14"/>
      <w:r>
        <w:t>Consulta de millas de pasajero frecuente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consultar sus millas. En caso que se encuentre en la base de datos dos números de documento repetidos, se le solicitará al 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Como esta funcionalidad pide un registro de las millas del cliente (todos los movimientos para conseguirlas), se muestra por un lado, todas las compras del cliente (tanto pasajes como encomiendas) como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restando en caso que sea canje y se muestra la totalidad de las millas con las que el cliente cuenta.</w:t>
      </w:r>
    </w:p>
    <w:p w:rsidR="009A697E" w:rsidRDefault="009A697E">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Cada vez que se inicia la aplicación, se ejecuta un procedure que resta las millas vencidas de los clientes y a la vez, elimina sus registros de la base de datos.</w:t>
      </w:r>
    </w:p>
    <w:p w:rsidR="000B1619" w:rsidRDefault="000B1619"/>
    <w:p w:rsidR="000B1619" w:rsidRDefault="000B1619"/>
    <w:p w:rsidR="000B1619" w:rsidRDefault="00363E65">
      <w:pPr>
        <w:pStyle w:val="Ttulo2"/>
        <w:numPr>
          <w:ilvl w:val="0"/>
          <w:numId w:val="15"/>
        </w:numPr>
        <w:ind w:hanging="360"/>
      </w:pPr>
      <w:bookmarkStart w:id="15" w:name="h.p9n54e7722rd" w:colFirst="0" w:colLast="0"/>
      <w:bookmarkEnd w:id="15"/>
      <w:r>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6" w:name="h.8n2apn82iv1i" w:colFirst="0" w:colLast="0"/>
      <w:bookmarkEnd w:id="16"/>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de mostrar las descripciones del TOP 5 determinado para cada estadística se muestra el valor que justifica dicho posicionamiento.</w:t>
      </w:r>
    </w:p>
    <w:p w:rsidR="000B1619" w:rsidRDefault="000B1619"/>
    <w:p w:rsidR="000B1619" w:rsidRDefault="000B1619"/>
    <w:p w:rsidR="000B1619" w:rsidRDefault="000B1619"/>
    <w:p w:rsidR="000B1619" w:rsidRDefault="000B1619"/>
    <w:p w:rsidR="000B1619" w:rsidRDefault="00363E65">
      <w:pPr>
        <w:pStyle w:val="Ttulo1"/>
        <w:contextualSpacing w:val="0"/>
      </w:pPr>
      <w:bookmarkStart w:id="17" w:name="h.hklnpvdjn92u" w:colFirst="0" w:colLast="0"/>
      <w:bookmarkEnd w:id="17"/>
      <w:r>
        <w:lastRenderedPageBreak/>
        <w:t>DER</w:t>
      </w:r>
    </w:p>
    <w:p w:rsidR="000B1619" w:rsidRDefault="000B1619"/>
    <w:p w:rsidR="000B1619" w:rsidRDefault="0049484C">
      <w:pPr>
        <w:ind w:hanging="1305"/>
        <w:jc w:val="center"/>
      </w:pPr>
      <w:r w:rsidRPr="0049484C">
        <w:rPr>
          <w:noProof/>
        </w:rPr>
        <w:drawing>
          <wp:inline distT="0" distB="0" distL="0" distR="0">
            <wp:extent cx="7832090" cy="5384562"/>
            <wp:effectExtent l="0" t="0" r="0" b="6985"/>
            <wp:docPr id="3" name="Imagen 3" descr="C:\Users\Melanie Jarabroviski\Documents\UTN\3ro\Gestion de Datos\GDD\TP2C2015 K3073 EL_PUNTERO 12\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anie Jarabroviski\Documents\UTN\3ro\Gestion de Datos\GDD\TP2C2015 K3073 EL_PUNTERO 12\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7639" cy="5388377"/>
                    </a:xfrm>
                    <a:prstGeom prst="rect">
                      <a:avLst/>
                    </a:prstGeom>
                    <a:noFill/>
                    <a:ln>
                      <a:noFill/>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Pr>
        <w:pStyle w:val="Ttulo1"/>
        <w:contextualSpacing w:val="0"/>
        <w:rPr>
          <w:rFonts w:ascii="Arial" w:eastAsia="Arial" w:hAnsi="Arial" w:cs="Arial"/>
          <w:b w:val="0"/>
          <w:sz w:val="22"/>
          <w:szCs w:val="22"/>
          <w:u w:val="none"/>
        </w:rPr>
      </w:pPr>
      <w:bookmarkStart w:id="18" w:name="h.5vstg7f3zdin" w:colFirst="0" w:colLast="0"/>
      <w:bookmarkEnd w:id="18"/>
    </w:p>
    <w:p w:rsidR="0049484C" w:rsidRPr="0049484C" w:rsidRDefault="0049484C" w:rsidP="0049484C"/>
    <w:p w:rsidR="00CA597F" w:rsidRDefault="00CA597F">
      <w:pPr>
        <w:pStyle w:val="Ttulo1"/>
        <w:contextualSpacing w:val="0"/>
      </w:pPr>
      <w:bookmarkStart w:id="19" w:name="h.ls40e4wlme9k" w:colFirst="0" w:colLast="0"/>
      <w:bookmarkEnd w:id="19"/>
    </w:p>
    <w:p w:rsidR="000B1619" w:rsidRDefault="00363E65">
      <w:pPr>
        <w:pStyle w:val="Ttulo1"/>
        <w:contextualSpacing w:val="0"/>
      </w:pPr>
      <w:bookmarkStart w:id="20" w:name="_GoBack"/>
      <w:bookmarkEnd w:id="20"/>
      <w:r>
        <w:t>Consultas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código (stored procedures/command type) o las que están escritas directamente en el código y se ejecutan desde él mismo (command type). Aquí es donde tuvimos que tomar la primer decisión, cuál de los dos tipos elegir. Tras ver que era más cómodo y que agregado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Una vez que ya sabíamos cómo y dónde debíamos almacenarlas, tuvimos que empezar a desarrollarlas. No tomamos ninguna decisión en particular para hacer esto, sino que a medida que cada miembro del grupo encontraba que era necesario crear una nueva query, la agregaba al script inicial 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ExecuteNonQuery: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ExecuteScalar: </w:t>
      </w:r>
      <w:r>
        <w:rPr>
          <w:rFonts w:ascii="Calibri" w:eastAsia="Calibri" w:hAnsi="Calibri" w:cs="Calibri"/>
          <w:sz w:val="24"/>
          <w:szCs w:val="24"/>
        </w:rPr>
        <w:t>las que realizan la inserción/modificación/baja de registros de la base de datos y retornan la primera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r>
        <w:rPr>
          <w:rFonts w:ascii="Calibri" w:eastAsia="Calibri" w:hAnsi="Calibri" w:cs="Calibri"/>
          <w:b/>
          <w:sz w:val="24"/>
          <w:szCs w:val="24"/>
        </w:rPr>
        <w:t xml:space="preserve">ExecuteReader: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r>
        <w:t>Triggers</w:t>
      </w:r>
    </w:p>
    <w:p w:rsidR="000B1619" w:rsidRDefault="00363E65">
      <w:pPr>
        <w:spacing w:line="240" w:lineRule="auto"/>
      </w:pPr>
      <w:r>
        <w:rPr>
          <w:rFonts w:ascii="Calibri" w:eastAsia="Calibri" w:hAnsi="Calibri" w:cs="Calibri"/>
          <w:sz w:val="24"/>
          <w:szCs w:val="24"/>
        </w:rPr>
        <w:t xml:space="preserve">Realizamos un trigger </w:t>
      </w:r>
      <w:r>
        <w:rPr>
          <w:rFonts w:ascii="Calibri" w:eastAsia="Calibri" w:hAnsi="Calibri" w:cs="Calibri"/>
          <w:b/>
          <w:sz w:val="24"/>
          <w:szCs w:val="24"/>
        </w:rPr>
        <w:t>‘Tr_DeshabilitarUsuariosConRolDeshabilitado’</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5DE" w:rsidRDefault="008C35DE">
      <w:pPr>
        <w:spacing w:line="240" w:lineRule="auto"/>
      </w:pPr>
      <w:r>
        <w:separator/>
      </w:r>
    </w:p>
  </w:endnote>
  <w:endnote w:type="continuationSeparator" w:id="0">
    <w:p w:rsidR="008C35DE" w:rsidRDefault="008C3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CA597F">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5DE" w:rsidRDefault="008C35DE">
      <w:pPr>
        <w:spacing w:line="240" w:lineRule="auto"/>
      </w:pPr>
      <w:r>
        <w:separator/>
      </w:r>
    </w:p>
  </w:footnote>
  <w:footnote w:type="continuationSeparator" w:id="0">
    <w:p w:rsidR="008C35DE" w:rsidRDefault="008C35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10FA9"/>
    <w:rsid w:val="000B1619"/>
    <w:rsid w:val="002611AE"/>
    <w:rsid w:val="00363E65"/>
    <w:rsid w:val="0049484C"/>
    <w:rsid w:val="004F7BB9"/>
    <w:rsid w:val="005719BF"/>
    <w:rsid w:val="005A6B53"/>
    <w:rsid w:val="005E215C"/>
    <w:rsid w:val="00697E5A"/>
    <w:rsid w:val="008C35DE"/>
    <w:rsid w:val="009A697E"/>
    <w:rsid w:val="00A71C36"/>
    <w:rsid w:val="00CA4012"/>
    <w:rsid w:val="00CA597F"/>
    <w:rsid w:val="00CE7AA4"/>
    <w:rsid w:val="00DB4C5F"/>
    <w:rsid w:val="00EA3BC8"/>
    <w:rsid w:val="00ED7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CA5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3447</Words>
  <Characters>18962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14</cp:revision>
  <cp:lastPrinted>2015-11-29T00:18:00Z</cp:lastPrinted>
  <dcterms:created xsi:type="dcterms:W3CDTF">2015-11-29T00:16:00Z</dcterms:created>
  <dcterms:modified xsi:type="dcterms:W3CDTF">2015-12-06T21:58:00Z</dcterms:modified>
</cp:coreProperties>
</file>