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sz w:val="40"/>
          <w:lang w:val="en-US"/>
        </w:rPr>
        <w:t xml:space="preserve">Internationalization considerations notwithstanding, the incomprehensibility of extraordinarily uncharacteristically counterrevolutionary responsibilities demonstrates characteristically interdisciplinary misunderstandings. Internationalization considerations notwithstanding, the incomprehensibility of extraordinarily uncharacteristically counterrevolutionary responsibilities demonstrates characteristically interdisciplinary misunderstandings. Internationalization considerations notwithstanding, the incomprehensibility of extraordinarily uncharacteristically counterrevolutionary responsibilities demonstrates characteristically interdisciplinary misunderstandings. Internationalization considerations notwithstanding, the incomprehensibility of extraordinarily uncharacteristically counterrevolutionary responsibilities demonstrates characteristically interdisciplinary misunderstandings. </w:t>
      </w:r>
    </w:p>
    <w:p>
      <w:pPr>
        <w:jc w:val="both"/>
      </w:pPr>
      <w:r>
        <w:rPr>
          <w:sz w:val="40"/>
          <w:lang w:val="nl-NL"/>
        </w:rPr>
        <w:t xml:space="preserve">Arbeidsongeschiktheidsverzekering en kinderopvangtoeslagaanvragen zijn onmiskenbaar ingewikkelde verantwoordelijkheden voor gemeenteambtenaren en beleidsmedewerkers. Arbeidsongeschiktheidsverzekering en kinderopvangtoeslagaanvragen zijn onmiskenbaar ingewikkelde verantwoordelijkheden voor gemeenteambtenaren en beleidsmedewerkers. Arbeidsongeschiktheidsverzekering en kinderopvangtoeslagaanvragen zijn onmiskenbaar ingewikkelde verantwoordelijkheden voor gemeenteambtenaren en beleidsmedewerkers. Arbeidsongeschiktheidsverzekering en kinderopvangtoeslagaanvragen zijn onmiskenbaar ingewikkelde verantwoordelijkheden voor gemeenteambtenaren en beleidsmedewerkers. </w:t>
      </w:r>
    </w:p>
    <w:sectPr>
      <w:pgSz w:w="11906" w:h="16838"/>
      <w:pgMar w:top="1440" w:right="4000" w:bottom="1440" w:left="1440" w:header="708" w:footer="708" w:gutter="0"/>
    </w:sectPr>
  </w:body>
</w:document>
</file>

<file path=word/settings.xml><?xml version="1.0" encoding="utf-8"?>
<w:settings xmlns:w="http://schemas.openxmlformats.org/wordprocessingml/2006/main">
  <w:autoHyphenation/>
  <w:hyphenationZone w:val="100"/>
</w:settings>
</file>

<file path=word/_rels/document.xml.rels><?xml version="1.0" encoding="UTF-8"?><Relationships xmlns="http://schemas.openxmlformats.org/package/2006/relationships"><Relationship Id="rId1" Type="http://schemas.openxmlformats.org/officeDocument/2006/relationships/settings" Target="settings.xml"/></Relationships>
</file>