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E2A3A"/>
          <w:sz w:val="26"/>
          <w:szCs w:val="26"/>
        </w:rPr>
        <w:t xml:space="preserve">QUAID-E-AWAM UNIVERSITY OF ENGINEERING,</w:t>
      </w:r>
    </w:p>
    <w:p>
      <w:pPr>
        <w:spacing w:after="200"/>
        <w:jc w:val="center"/>
      </w:pPr>
      <w:r>
        <w:rPr>
          <w:b/>
          <w:bCs/>
          <w:color w:val="1E2A3A"/>
          <w:sz w:val="26"/>
          <w:szCs w:val="26"/>
        </w:rPr>
        <w:t xml:space="preserve">SCIENCE &amp; TECHNOLOGY, NAWABSHAH</w:t>
      </w:r>
    </w:p>
    <w:p>
      <w:pPr>
        <w:spacing w:after="600"/>
        <w:jc w:val="center"/>
      </w:pPr>
      <w:r>
        <w:rPr>
          <w:b/>
          <w:bCs/>
          <w:color w:val="1C5FA8"/>
          <w:sz w:val="22"/>
          <w:szCs w:val="22"/>
        </w:rPr>
        <w:t xml:space="preserve">DEPARTMENT OF ARTIFICIAL INTELLIGENCE</w:t>
      </w:r>
    </w:p>
    <w:p>
      <w:pPr>
        <w:spacing w:before="400"/>
      </w:pPr>
    </w:p>
    <w:p>
      <w:pPr>
        <w:spacing w:after="100"/>
        <w:jc w:val="center"/>
      </w:pPr>
      <w:r>
        <w:rPr>
          <w:b/>
          <w:bCs/>
          <w:color w:val="1E2A3A"/>
          <w:sz w:val="44"/>
          <w:szCs w:val="44"/>
        </w:rPr>
        <w:t xml:space="preserve">PROJECT REPORT</w:t>
      </w:r>
    </w:p>
    <w:p>
      <w:pPr>
        <w:spacing w:after="700"/>
        <w:jc w:val="center"/>
      </w:pPr>
      <w:r>
        <w:rPr>
          <w:b/>
          <w:bCs/>
          <w:color w:val="1C5FA8"/>
          <w:sz w:val="36"/>
          <w:szCs w:val="36"/>
        </w:rPr>
        <w:t xml:space="preserve">MultiMethod DiffSolver</w:t>
      </w:r>
    </w:p>
    <w:p>
      <w:pPr>
        <w:spacing w:after="60"/>
        <w:jc w:val="center"/>
      </w:pPr>
      <w:r>
        <w:rPr>
          <w:i/>
          <w:iCs/>
          <w:color w:val="5A5F66"/>
          <w:sz w:val="22"/>
          <w:szCs w:val="22"/>
        </w:rPr>
        <w:t xml:space="preserve">A MATLAB App Designer Based Differential Equation Solving System</w:t>
      </w:r>
    </w:p>
    <w:p>
      <w:pPr>
        <w:spacing w:before="800"/>
      </w:pPr>
    </w:p>
    <w:tbl>
      <w:tblPr>
        <w:tblW w:type="dxa" w:w="6200"/>
        <w:jc w:val="center"/>
        <w:tblBorders>
          <w:top w:val="none" w:color="FFFFFF" w:sz="0"/>
          <w:left w:val="none" w:color="FFFFFF" w:sz="0"/>
          <w:bottom w:val="none" w:color="FFFFFF" w:sz="0"/>
          <w:right w:val="none" w:color="FFFFFF" w:sz="0"/>
          <w:insideH w:val="none" w:color="FFFFFF" w:sz="0"/>
          <w:insideV w:val="none" w:color="FFFFFF" w:sz="0"/>
        </w:tblBorders>
      </w:tblPr>
      <w:tblGrid>
        <w:gridCol w:w="2600"/>
        <w:gridCol w:w="3600"/>
      </w:tblGrid>
      <w:tr>
        <w:tc>
          <w:tcPr>
            <w:tcW w:type="dxa" w:w="2600"/>
            <w:tcMar>
              <w:top w:type="dxa" w:w="100"/>
              <w:left w:type="dxa" w:w="120"/>
              <w:bottom w:type="dxa" w:w="100"/>
              <w:right w:type="dxa" w:w="120"/>
            </w:tcMar>
            <w:vAlign w:val="center"/>
          </w:tcPr>
          <w:p>
            <w:pPr>
              <w:jc w:val="left"/>
            </w:pPr>
            <w:r>
              <w:rPr>
                <w:b/>
                <w:bCs/>
                <w:color w:val="000000"/>
                <w:sz w:val="20"/>
                <w:szCs w:val="20"/>
              </w:rPr>
              <w:t xml:space="preserve">Subject:</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Numerical Computing and Computer Applications</w:t>
            </w:r>
          </w:p>
        </w:tc>
      </w:tr>
      <w:tr>
        <w:tc>
          <w:tcPr>
            <w:tcW w:type="dxa" w:w="2600"/>
            <w:tcMar>
              <w:top w:type="dxa" w:w="100"/>
              <w:left w:type="dxa" w:w="120"/>
              <w:bottom w:type="dxa" w:w="100"/>
              <w:right w:type="dxa" w:w="120"/>
            </w:tcMar>
            <w:vAlign w:val="center"/>
          </w:tcPr>
          <w:p>
            <w:pPr>
              <w:jc w:val="left"/>
            </w:pPr>
            <w:r>
              <w:rPr>
                <w:b/>
                <w:bCs/>
                <w:color w:val="000000"/>
                <w:sz w:val="20"/>
                <w:szCs w:val="20"/>
              </w:rPr>
              <w:t xml:space="preserve">Project Title:</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MultiMethod DiffSolver</w:t>
            </w:r>
          </w:p>
        </w:tc>
      </w:tr>
      <w:tr>
        <w:tc>
          <w:tcPr>
            <w:tcW w:type="dxa" w:w="2600"/>
            <w:tcMar>
              <w:top w:type="dxa" w:w="100"/>
              <w:left w:type="dxa" w:w="120"/>
              <w:bottom w:type="dxa" w:w="100"/>
              <w:right w:type="dxa" w:w="120"/>
            </w:tcMar>
            <w:vAlign w:val="center"/>
          </w:tcPr>
          <w:p>
            <w:pPr>
              <w:jc w:val="left"/>
            </w:pPr>
            <w:r>
              <w:rPr>
                <w:b/>
                <w:bCs/>
                <w:color w:val="000000"/>
                <w:sz w:val="20"/>
                <w:szCs w:val="20"/>
              </w:rPr>
              <w:t xml:space="preserve">Submitted By:</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Jawaria</w:t>
            </w:r>
          </w:p>
        </w:tc>
      </w:tr>
      <w:tr>
        <w:tc>
          <w:tcPr>
            <w:tcW w:type="dxa" w:w="2600"/>
            <w:tcMar>
              <w:top w:type="dxa" w:w="100"/>
              <w:left w:type="dxa" w:w="120"/>
              <w:bottom w:type="dxa" w:w="100"/>
              <w:right w:type="dxa" w:w="120"/>
            </w:tcMar>
            <w:vAlign w:val="center"/>
          </w:tcPr>
          <w:p>
            <w:pPr>
              <w:jc w:val="left"/>
            </w:pPr>
            <w:r>
              <w:rPr>
                <w:b/>
                <w:bCs/>
                <w:color w:val="000000"/>
                <w:sz w:val="20"/>
                <w:szCs w:val="20"/>
              </w:rPr>
              <w:t xml:space="preserve">Roll No:</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23AI-39</w:t>
            </w:r>
          </w:p>
        </w:tc>
      </w:tr>
      <w:tr>
        <w:tc>
          <w:tcPr>
            <w:tcW w:type="dxa" w:w="2600"/>
            <w:tcMar>
              <w:top w:type="dxa" w:w="100"/>
              <w:left w:type="dxa" w:w="120"/>
              <w:bottom w:type="dxa" w:w="100"/>
              <w:right w:type="dxa" w:w="120"/>
            </w:tcMar>
            <w:vAlign w:val="center"/>
          </w:tcPr>
          <w:p>
            <w:pPr>
              <w:jc w:val="left"/>
            </w:pPr>
            <w:r>
              <w:rPr>
                <w:b/>
                <w:bCs/>
                <w:color w:val="000000"/>
                <w:sz w:val="20"/>
                <w:szCs w:val="20"/>
              </w:rPr>
              <w:t xml:space="preserve">Submitted To:</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Mr. Syed Saeed Ahmed Shah</w:t>
            </w:r>
          </w:p>
        </w:tc>
      </w:tr>
      <w:tr>
        <w:tc>
          <w:tcPr>
            <w:tcW w:type="dxa" w:w="2600"/>
            <w:tcMar>
              <w:top w:type="dxa" w:w="100"/>
              <w:left w:type="dxa" w:w="120"/>
              <w:bottom w:type="dxa" w:w="100"/>
              <w:right w:type="dxa" w:w="120"/>
            </w:tcMar>
            <w:vAlign w:val="center"/>
          </w:tcPr>
          <w:p>
            <w:pPr>
              <w:jc w:val="left"/>
            </w:pPr>
            <w:r>
              <w:rPr>
                <w:b/>
                <w:bCs/>
                <w:color w:val="000000"/>
                <w:sz w:val="20"/>
                <w:szCs w:val="20"/>
              </w:rPr>
              <w:t xml:space="preserve">Tool Used:</w:t>
            </w:r>
          </w:p>
        </w:tc>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MATLAB (App Designer, Symbolic Math Toolbox)</w:t>
            </w:r>
          </w:p>
        </w:tc>
      </w:tr>
    </w:tbl>
    <w:p>
      <w:r>
        <w:br w:type="page"/>
      </w:r>
    </w:p>
    <w:p>
      <w:pPr>
        <w:pStyle w:val="Heading1"/>
        <w:pBdr>
          <w:bottom w:val="single" w:color="1C5FA8" w:sz="8" w:space="4"/>
        </w:pBdr>
        <w:spacing w:after="180" w:before="360"/>
      </w:pPr>
      <w:r>
        <w:t xml:space="preserve">Table of Contents</w:t>
      </w:r>
    </w:p>
    <w:p>
      <w:pPr>
        <w:tabs>
          <w:tab w:val="right" w:pos="9026" w:leader="dot"/>
        </w:tabs>
        <w:spacing w:after="140"/>
      </w:pPr>
      <w:r>
        <w:rPr>
          <w:sz w:val="22"/>
          <w:szCs w:val="22"/>
        </w:rPr>
        <w:t xml:space="preserve">1. Introduction</w:t>
      </w:r>
      <w:r>
        <w:rPr>
          <w:sz w:val="22"/>
          <w:szCs w:val="22"/>
        </w:rPr>
        <w:t xml:space="preserve">	3</w:t>
      </w:r>
    </w:p>
    <w:p>
      <w:pPr>
        <w:tabs>
          <w:tab w:val="right" w:pos="9026" w:leader="dot"/>
        </w:tabs>
        <w:spacing w:after="140"/>
      </w:pPr>
      <w:r>
        <w:rPr>
          <w:sz w:val="22"/>
          <w:szCs w:val="22"/>
        </w:rPr>
        <w:t xml:space="preserve">2. Objectives</w:t>
      </w:r>
      <w:r>
        <w:rPr>
          <w:sz w:val="22"/>
          <w:szCs w:val="22"/>
        </w:rPr>
        <w:t xml:space="preserve">	3</w:t>
      </w:r>
    </w:p>
    <w:p>
      <w:pPr>
        <w:tabs>
          <w:tab w:val="right" w:pos="9026" w:leader="dot"/>
        </w:tabs>
        <w:spacing w:after="140"/>
      </w:pPr>
      <w:r>
        <w:rPr>
          <w:sz w:val="22"/>
          <w:szCs w:val="22"/>
        </w:rPr>
        <w:t xml:space="preserve">3. Tools and Technologies Used</w:t>
      </w:r>
      <w:r>
        <w:rPr>
          <w:sz w:val="22"/>
          <w:szCs w:val="22"/>
        </w:rPr>
        <w:t xml:space="preserve">	3</w:t>
      </w:r>
    </w:p>
    <w:p>
      <w:pPr>
        <w:tabs>
          <w:tab w:val="right" w:pos="9026" w:leader="dot"/>
        </w:tabs>
        <w:spacing w:after="140"/>
      </w:pPr>
      <w:r>
        <w:rPr>
          <w:sz w:val="22"/>
          <w:szCs w:val="22"/>
        </w:rPr>
        <w:t xml:space="preserve">4. System Design and GUI Layout</w:t>
      </w:r>
      <w:r>
        <w:rPr>
          <w:sz w:val="22"/>
          <w:szCs w:val="22"/>
        </w:rPr>
        <w:t xml:space="preserve">	4</w:t>
      </w:r>
    </w:p>
    <w:p>
      <w:pPr>
        <w:tabs>
          <w:tab w:val="right" w:pos="9026" w:leader="dot"/>
        </w:tabs>
        <w:spacing w:after="140"/>
      </w:pPr>
      <w:r>
        <w:rPr>
          <w:sz w:val="22"/>
          <w:szCs w:val="22"/>
        </w:rPr>
        <w:t xml:space="preserve">5. Methodology</w:t>
      </w:r>
      <w:r>
        <w:rPr>
          <w:sz w:val="22"/>
          <w:szCs w:val="22"/>
        </w:rPr>
        <w:t xml:space="preserve">	4</w:t>
      </w:r>
    </w:p>
    <w:p>
      <w:pPr>
        <w:tabs>
          <w:tab w:val="right" w:pos="9026" w:leader="dot"/>
        </w:tabs>
        <w:spacing w:after="140"/>
      </w:pPr>
      <w:r>
        <w:rPr>
          <w:sz w:val="22"/>
          <w:szCs w:val="22"/>
        </w:rPr>
        <w:t xml:space="preserve">6. Code Structure and Key Functions</w:t>
      </w:r>
      <w:r>
        <w:rPr>
          <w:sz w:val="22"/>
          <w:szCs w:val="22"/>
        </w:rPr>
        <w:t xml:space="preserve">	5</w:t>
      </w:r>
    </w:p>
    <w:p>
      <w:pPr>
        <w:tabs>
          <w:tab w:val="right" w:pos="9026" w:leader="dot"/>
        </w:tabs>
        <w:spacing w:after="140"/>
      </w:pPr>
      <w:r>
        <w:rPr>
          <w:sz w:val="22"/>
          <w:szCs w:val="22"/>
        </w:rPr>
        <w:t xml:space="preserve">7. Results and Output</w:t>
      </w:r>
      <w:r>
        <w:rPr>
          <w:sz w:val="22"/>
          <w:szCs w:val="22"/>
        </w:rPr>
        <w:t xml:space="preserve">	6</w:t>
      </w:r>
    </w:p>
    <w:p>
      <w:pPr>
        <w:tabs>
          <w:tab w:val="right" w:pos="9026" w:leader="dot"/>
        </w:tabs>
        <w:spacing w:after="140"/>
      </w:pPr>
      <w:r>
        <w:rPr>
          <w:sz w:val="22"/>
          <w:szCs w:val="22"/>
        </w:rPr>
        <w:t xml:space="preserve">8. Comparative Discussion</w:t>
      </w:r>
      <w:r>
        <w:rPr>
          <w:sz w:val="22"/>
          <w:szCs w:val="22"/>
        </w:rPr>
        <w:t xml:space="preserve">	6</w:t>
      </w:r>
    </w:p>
    <w:p>
      <w:pPr>
        <w:tabs>
          <w:tab w:val="right" w:pos="9026" w:leader="dot"/>
        </w:tabs>
        <w:spacing w:after="140"/>
      </w:pPr>
      <w:r>
        <w:rPr>
          <w:sz w:val="22"/>
          <w:szCs w:val="22"/>
        </w:rPr>
        <w:t xml:space="preserve">9. Conclusion</w:t>
      </w:r>
      <w:r>
        <w:rPr>
          <w:sz w:val="22"/>
          <w:szCs w:val="22"/>
        </w:rPr>
        <w:t xml:space="preserve">	7</w:t>
      </w:r>
    </w:p>
    <w:p>
      <w:pPr>
        <w:tabs>
          <w:tab w:val="right" w:pos="9026" w:leader="dot"/>
        </w:tabs>
        <w:spacing w:after="140"/>
      </w:pPr>
      <w:r>
        <w:rPr>
          <w:sz w:val="22"/>
          <w:szCs w:val="22"/>
        </w:rPr>
        <w:t xml:space="preserve">10. References</w:t>
      </w:r>
      <w:r>
        <w:rPr>
          <w:sz w:val="22"/>
          <w:szCs w:val="22"/>
        </w:rPr>
        <w:t xml:space="preserve">	7</w:t>
      </w:r>
    </w:p>
    <w:p>
      <w:r>
        <w:br w:type="page"/>
      </w:r>
    </w:p>
    <w:p>
      <w:pPr>
        <w:pStyle w:val="Heading1"/>
        <w:pBdr>
          <w:bottom w:val="single" w:color="1C5FA8" w:sz="8" w:space="4"/>
        </w:pBdr>
        <w:spacing w:after="180" w:before="360"/>
      </w:pPr>
      <w:r>
        <w:t xml:space="preserve">1. Introduction</w:t>
      </w:r>
    </w:p>
    <w:p>
      <w:pPr>
        <w:spacing w:after="160" w:line="300"/>
        <w:jc w:val="both"/>
      </w:pPr>
      <w:r>
        <w:rPr>
          <w:sz w:val="22"/>
          <w:szCs w:val="22"/>
        </w:rPr>
        <w:t xml:space="preserve">Differential equations form the mathematical backbone of countless engineering and scientific systems, describing everything from population growth and heat transfer to electrical circuits and mechanical vibrations. Solving these equations — whether analytically or numerically — is a core skill in numerical computing, yet the process of switching between solution techniques, verifying results, and visualizing behaviour is often fragmented across separate tools and scripts.</w:t>
      </w:r>
    </w:p>
    <w:p>
      <w:pPr>
        <w:spacing w:after="160" w:line="300"/>
        <w:jc w:val="both"/>
      </w:pPr>
      <w:r>
        <w:rPr>
          <w:sz w:val="22"/>
          <w:szCs w:val="22"/>
        </w:rPr>
        <w:t xml:space="preserve">MultiMethod DiffSolver addresses this gap by providing a single, interactive MATLAB application that allows a user to enter a differential equation once and solve it using three distinct approaches: exact symbolic solving, the Euler method, and the fourth-order Runge-Kutta (RK4) method. Built entirely with MATLAB App Designer, the tool combines a clean graphical interface, real-time plotting, and exportable PDF reporting into one cohesive workflow, making it a practical companion for coursework in Numerical Computing and Computer Applications.</w:t>
      </w:r>
    </w:p>
    <w:p>
      <w:pPr>
        <w:pStyle w:val="Heading1"/>
        <w:pBdr>
          <w:bottom w:val="single" w:color="1C5FA8" w:sz="8" w:space="4"/>
        </w:pBdr>
        <w:spacing w:after="180" w:before="360"/>
      </w:pPr>
      <w:r>
        <w:t xml:space="preserve">2. Objectives</w:t>
      </w:r>
    </w:p>
    <w:p>
      <w:pPr>
        <w:pStyle w:val="ListParagraph"/>
        <w:numPr>
          <w:ilvl w:val="0"/>
          <w:numId w:val="1"/>
        </w:numPr>
        <w:spacing w:after="90" w:line="280"/>
      </w:pPr>
      <w:r>
        <w:t xml:space="preserve">Design a single, unified MATLAB GUI application capable of solving ordinary and symbolic differential equations.</w:t>
      </w:r>
    </w:p>
    <w:p>
      <w:pPr>
        <w:pStyle w:val="ListParagraph"/>
        <w:numPr>
          <w:ilvl w:val="0"/>
          <w:numId w:val="1"/>
        </w:numPr>
        <w:spacing w:after="90" w:line="280"/>
      </w:pPr>
      <w:r>
        <w:t xml:space="preserve">Implement and compare two classical numerical integration techniques: the Euler method and the fourth-order Runge-Kutta (RK4) method.</w:t>
      </w:r>
    </w:p>
    <w:p>
      <w:pPr>
        <w:pStyle w:val="ListParagraph"/>
        <w:numPr>
          <w:ilvl w:val="0"/>
          <w:numId w:val="1"/>
        </w:numPr>
        <w:spacing w:after="90" w:line="280"/>
      </w:pPr>
      <w:r>
        <w:t xml:space="preserve">Integrate MATLAB's Symbolic Math Toolbox to provide exact, closed-form solutions where possible.</w:t>
      </w:r>
    </w:p>
    <w:p>
      <w:pPr>
        <w:pStyle w:val="ListParagraph"/>
        <w:numPr>
          <w:ilvl w:val="0"/>
          <w:numId w:val="1"/>
        </w:numPr>
        <w:spacing w:after="90" w:line="280"/>
      </w:pPr>
      <w:r>
        <w:t xml:space="preserve">Provide real-time graphical visualization of the solution curve alongside the numerical/symbolic output.</w:t>
      </w:r>
    </w:p>
    <w:p>
      <w:pPr>
        <w:pStyle w:val="ListParagraph"/>
        <w:numPr>
          <w:ilvl w:val="0"/>
          <w:numId w:val="1"/>
        </w:numPr>
        <w:spacing w:after="90" w:line="280"/>
      </w:pPr>
      <w:r>
        <w:t xml:space="preserve">Allow the user to export the generated solution and plot as a standalone PDF report.</w:t>
      </w:r>
    </w:p>
    <w:p>
      <w:pPr>
        <w:pStyle w:val="ListParagraph"/>
        <w:numPr>
          <w:ilvl w:val="0"/>
          <w:numId w:val="1"/>
        </w:numPr>
        <w:spacing w:after="90" w:line="280"/>
      </w:pPr>
      <w:r>
        <w:t xml:space="preserve">Build an intuitive, guided interface with built-in usage examples so that a first-time user can operate the tool without external documentation.</w:t>
      </w:r>
    </w:p>
    <w:p>
      <w:pPr>
        <w:pStyle w:val="Heading1"/>
        <w:pBdr>
          <w:bottom w:val="single" w:color="1C5FA8" w:sz="8" w:space="4"/>
        </w:pBdr>
        <w:spacing w:after="180" w:before="360"/>
      </w:pPr>
      <w:r>
        <w:t xml:space="preserve">3. Tools and Technologies Used</w:t>
      </w:r>
    </w:p>
    <w:p>
      <w:pPr>
        <w:spacing w:after="160" w:line="300"/>
        <w:jc w:val="both"/>
      </w:pPr>
      <w:r>
        <w:rPr>
          <w:sz w:val="22"/>
          <w:szCs w:val="22"/>
        </w:rPr>
        <w:t xml:space="preserve">The project is implemented entirely within the MATLAB environment, combining App Designer for the interface with the Symbolic Math Toolbox for exact equation solving. The table below summarizes the core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E2A3A" w:val="clear"/>
            <w:tcMar>
              <w:top w:type="dxa" w:w="100"/>
              <w:left w:type="dxa" w:w="120"/>
              <w:bottom w:type="dxa" w:w="100"/>
              <w:right w:type="dxa" w:w="120"/>
            </w:tcMar>
            <w:vAlign w:val="center"/>
          </w:tcPr>
          <w:p>
            <w:pPr>
              <w:jc w:val="left"/>
            </w:pPr>
            <w:r>
              <w:rPr>
                <w:b/>
                <w:bCs/>
                <w:color w:val="FFFFFF"/>
                <w:sz w:val="20"/>
                <w:szCs w:val="20"/>
              </w:rPr>
              <w:t xml:space="preserve">Component</w:t>
            </w:r>
          </w:p>
        </w:tc>
        <w:tc>
          <w:tcPr>
            <w:tcW w:type="dxa" w:w="6000"/>
            <w:shd w:fill="1E2A3A"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3000"/>
            <w:tcMar>
              <w:top w:type="dxa" w:w="100"/>
              <w:left w:type="dxa" w:w="120"/>
              <w:bottom w:type="dxa" w:w="100"/>
              <w:right w:type="dxa" w:w="120"/>
            </w:tcMar>
            <w:vAlign w:val="center"/>
          </w:tcPr>
          <w:p>
            <w:pPr>
              <w:jc w:val="left"/>
            </w:pPr>
            <w:r>
              <w:rPr>
                <w:b/>
                <w:bCs/>
                <w:color w:val="000000"/>
                <w:sz w:val="20"/>
                <w:szCs w:val="20"/>
              </w:rPr>
              <w:t xml:space="preserve">Platform</w:t>
            </w:r>
          </w:p>
        </w:tc>
        <w:tc>
          <w:tcPr>
            <w:tcW w:type="dxa" w:w="6000"/>
            <w:tcMar>
              <w:top w:type="dxa" w:w="100"/>
              <w:left w:type="dxa" w:w="120"/>
              <w:bottom w:type="dxa" w:w="100"/>
              <w:right w:type="dxa" w:w="120"/>
            </w:tcMar>
            <w:vAlign w:val="center"/>
          </w:tcPr>
          <w:p>
            <w:pPr>
              <w:jc w:val="left"/>
            </w:pPr>
            <w:r>
              <w:rPr>
                <w:b w:val="false"/>
                <w:bCs w:val="false"/>
                <w:color w:val="000000"/>
                <w:sz w:val="20"/>
                <w:szCs w:val="20"/>
              </w:rPr>
              <w:t xml:space="preserve">MATLAB (App Designer)</w:t>
            </w:r>
          </w:p>
        </w:tc>
      </w:tr>
      <w:tr>
        <w:tc>
          <w:tcPr>
            <w:tcW w:type="dxa" w:w="3000"/>
            <w:shd w:fill="F2F3F5" w:val="clear"/>
            <w:tcMar>
              <w:top w:type="dxa" w:w="100"/>
              <w:left w:type="dxa" w:w="120"/>
              <w:bottom w:type="dxa" w:w="100"/>
              <w:right w:type="dxa" w:w="120"/>
            </w:tcMar>
            <w:vAlign w:val="center"/>
          </w:tcPr>
          <w:p>
            <w:pPr>
              <w:jc w:val="left"/>
            </w:pPr>
            <w:r>
              <w:rPr>
                <w:b/>
                <w:bCs/>
                <w:color w:val="000000"/>
                <w:sz w:val="20"/>
                <w:szCs w:val="20"/>
              </w:rPr>
              <w:t xml:space="preserve">Toolbox</w:t>
            </w:r>
          </w:p>
        </w:tc>
        <w:tc>
          <w:tcPr>
            <w:tcW w:type="dxa" w:w="6000"/>
            <w:shd w:fill="F2F3F5" w:val="clear"/>
            <w:tcMar>
              <w:top w:type="dxa" w:w="100"/>
              <w:left w:type="dxa" w:w="120"/>
              <w:bottom w:type="dxa" w:w="100"/>
              <w:right w:type="dxa" w:w="120"/>
            </w:tcMar>
            <w:vAlign w:val="center"/>
          </w:tcPr>
          <w:p>
            <w:pPr>
              <w:jc w:val="left"/>
            </w:pPr>
            <w:r>
              <w:rPr>
                <w:b w:val="false"/>
                <w:bCs w:val="false"/>
                <w:color w:val="000000"/>
                <w:sz w:val="20"/>
                <w:szCs w:val="20"/>
              </w:rPr>
              <w:t xml:space="preserve">Symbolic Math Toolbox (dsolve, str2sym, matlabFunction)</w:t>
            </w:r>
          </w:p>
        </w:tc>
      </w:tr>
      <w:tr>
        <w:tc>
          <w:tcPr>
            <w:tcW w:type="dxa" w:w="3000"/>
            <w:tcMar>
              <w:top w:type="dxa" w:w="100"/>
              <w:left w:type="dxa" w:w="120"/>
              <w:bottom w:type="dxa" w:w="100"/>
              <w:right w:type="dxa" w:w="120"/>
            </w:tcMar>
            <w:vAlign w:val="center"/>
          </w:tcPr>
          <w:p>
            <w:pPr>
              <w:jc w:val="left"/>
            </w:pPr>
            <w:r>
              <w:rPr>
                <w:b/>
                <w:bCs/>
                <w:color w:val="000000"/>
                <w:sz w:val="20"/>
                <w:szCs w:val="20"/>
              </w:rPr>
              <w:t xml:space="preserve">Interface</w:t>
            </w:r>
          </w:p>
        </w:tc>
        <w:tc>
          <w:tcPr>
            <w:tcW w:type="dxa" w:w="6000"/>
            <w:tcMar>
              <w:top w:type="dxa" w:w="100"/>
              <w:left w:type="dxa" w:w="120"/>
              <w:bottom w:type="dxa" w:w="100"/>
              <w:right w:type="dxa" w:w="120"/>
            </w:tcMar>
            <w:vAlign w:val="center"/>
          </w:tcPr>
          <w:p>
            <w:pPr>
              <w:jc w:val="left"/>
            </w:pPr>
            <w:r>
              <w:rPr>
                <w:b w:val="false"/>
                <w:bCs w:val="false"/>
                <w:color w:val="000000"/>
                <w:sz w:val="20"/>
                <w:szCs w:val="20"/>
              </w:rPr>
              <w:t xml:space="preserve">uifigure-based GUI: panels, dropdowns, buttons, text areas, and UIAxes</w:t>
            </w:r>
          </w:p>
        </w:tc>
      </w:tr>
      <w:tr>
        <w:tc>
          <w:tcPr>
            <w:tcW w:type="dxa" w:w="3000"/>
            <w:shd w:fill="F2F3F5" w:val="clear"/>
            <w:tcMar>
              <w:top w:type="dxa" w:w="100"/>
              <w:left w:type="dxa" w:w="120"/>
              <w:bottom w:type="dxa" w:w="100"/>
              <w:right w:type="dxa" w:w="120"/>
            </w:tcMar>
            <w:vAlign w:val="center"/>
          </w:tcPr>
          <w:p>
            <w:pPr>
              <w:jc w:val="left"/>
            </w:pPr>
            <w:r>
              <w:rPr>
                <w:b/>
                <w:bCs/>
                <w:color w:val="000000"/>
                <w:sz w:val="20"/>
                <w:szCs w:val="20"/>
              </w:rPr>
              <w:t xml:space="preserve">Numerical Methods</w:t>
            </w:r>
          </w:p>
        </w:tc>
        <w:tc>
          <w:tcPr>
            <w:tcW w:type="dxa" w:w="6000"/>
            <w:shd w:fill="F2F3F5" w:val="clear"/>
            <w:tcMar>
              <w:top w:type="dxa" w:w="100"/>
              <w:left w:type="dxa" w:w="120"/>
              <w:bottom w:type="dxa" w:w="100"/>
              <w:right w:type="dxa" w:w="120"/>
            </w:tcMar>
            <w:vAlign w:val="center"/>
          </w:tcPr>
          <w:p>
            <w:pPr>
              <w:jc w:val="left"/>
            </w:pPr>
            <w:r>
              <w:rPr>
                <w:b w:val="false"/>
                <w:bCs w:val="false"/>
                <w:color w:val="000000"/>
                <w:sz w:val="20"/>
                <w:szCs w:val="20"/>
              </w:rPr>
              <w:t xml:space="preserve">Euler Method, 4th-Order Runge-Kutta (RK4)</w:t>
            </w:r>
          </w:p>
        </w:tc>
      </w:tr>
      <w:tr>
        <w:tc>
          <w:tcPr>
            <w:tcW w:type="dxa" w:w="3000"/>
            <w:tcMar>
              <w:top w:type="dxa" w:w="100"/>
              <w:left w:type="dxa" w:w="120"/>
              <w:bottom w:type="dxa" w:w="100"/>
              <w:right w:type="dxa" w:w="120"/>
            </w:tcMar>
            <w:vAlign w:val="center"/>
          </w:tcPr>
          <w:p>
            <w:pPr>
              <w:jc w:val="left"/>
            </w:pPr>
            <w:r>
              <w:rPr>
                <w:b/>
                <w:bCs/>
                <w:color w:val="000000"/>
                <w:sz w:val="20"/>
                <w:szCs w:val="20"/>
              </w:rPr>
              <w:t xml:space="preserve">Output</w:t>
            </w:r>
          </w:p>
        </w:tc>
        <w:tc>
          <w:tcPr>
            <w:tcW w:type="dxa" w:w="6000"/>
            <w:tcMar>
              <w:top w:type="dxa" w:w="100"/>
              <w:left w:type="dxa" w:w="120"/>
              <w:bottom w:type="dxa" w:w="100"/>
              <w:right w:type="dxa" w:w="120"/>
            </w:tcMar>
            <w:vAlign w:val="center"/>
          </w:tcPr>
          <w:p>
            <w:pPr>
              <w:jc w:val="left"/>
            </w:pPr>
            <w:r>
              <w:rPr>
                <w:b w:val="false"/>
                <w:bCs w:val="false"/>
                <w:color w:val="000000"/>
                <w:sz w:val="20"/>
                <w:szCs w:val="20"/>
              </w:rPr>
              <w:t xml:space="preserve">On-screen solution list, live plot, exportable PDF report</w:t>
            </w:r>
          </w:p>
        </w:tc>
      </w:tr>
      <w:tr>
        <w:tc>
          <w:tcPr>
            <w:tcW w:type="dxa" w:w="3000"/>
            <w:shd w:fill="F2F3F5" w:val="clear"/>
            <w:tcMar>
              <w:top w:type="dxa" w:w="100"/>
              <w:left w:type="dxa" w:w="120"/>
              <w:bottom w:type="dxa" w:w="100"/>
              <w:right w:type="dxa" w:w="120"/>
            </w:tcMar>
            <w:vAlign w:val="center"/>
          </w:tcPr>
          <w:p>
            <w:pPr>
              <w:jc w:val="left"/>
            </w:pPr>
            <w:r>
              <w:rPr>
                <w:b/>
                <w:bCs/>
                <w:color w:val="000000"/>
                <w:sz w:val="20"/>
                <w:szCs w:val="20"/>
              </w:rPr>
              <w:t xml:space="preserve">Language</w:t>
            </w:r>
          </w:p>
        </w:tc>
        <w:tc>
          <w:tcPr>
            <w:tcW w:type="dxa" w:w="6000"/>
            <w:shd w:fill="F2F3F5" w:val="clear"/>
            <w:tcMar>
              <w:top w:type="dxa" w:w="100"/>
              <w:left w:type="dxa" w:w="120"/>
              <w:bottom w:type="dxa" w:w="100"/>
              <w:right w:type="dxa" w:w="120"/>
            </w:tcMar>
            <w:vAlign w:val="center"/>
          </w:tcPr>
          <w:p>
            <w:pPr>
              <w:jc w:val="left"/>
            </w:pPr>
            <w:r>
              <w:rPr>
                <w:b w:val="false"/>
                <w:bCs w:val="false"/>
                <w:color w:val="000000"/>
                <w:sz w:val="20"/>
                <w:szCs w:val="20"/>
              </w:rPr>
              <w:t xml:space="preserve">MATLAB Object-Oriented App (classdef, matlab.apps.AppBase)</w:t>
            </w:r>
          </w:p>
        </w:tc>
      </w:tr>
    </w:tbl>
    <w:p>
      <w:pPr>
        <w:spacing w:after="200"/>
      </w:pPr>
    </w:p>
    <w:p>
      <w:pPr>
        <w:pStyle w:val="Heading1"/>
        <w:pBdr>
          <w:bottom w:val="single" w:color="1C5FA8" w:sz="8" w:space="4"/>
        </w:pBdr>
        <w:spacing w:after="180" w:before="360"/>
      </w:pPr>
      <w:r>
        <w:t xml:space="preserve">4. System Design and GUI Layout</w:t>
      </w:r>
    </w:p>
    <w:p>
      <w:pPr>
        <w:spacing w:after="160" w:line="300"/>
        <w:jc w:val="both"/>
      </w:pPr>
      <w:r>
        <w:rPr>
          <w:sz w:val="22"/>
          <w:szCs w:val="22"/>
        </w:rPr>
        <w:t xml:space="preserve">The application is structured as a MATLAB class (main) that inherits from matlab.apps.AppBase, following the standard App Designer architecture. The interface is divided into three functional regions:</w:t>
      </w:r>
    </w:p>
    <w:p>
      <w:pPr>
        <w:pStyle w:val="ListParagraph"/>
        <w:numPr>
          <w:ilvl w:val="0"/>
          <w:numId w:val="1"/>
        </w:numPr>
        <w:spacing w:after="90" w:line="280"/>
      </w:pPr>
      <w:r>
        <w:t xml:space="preserve">Header Panel — displays the application title, "MultiMethod DiffSolver", on a dark navy background for visual branding.</w:t>
      </w:r>
    </w:p>
    <w:p>
      <w:pPr>
        <w:pStyle w:val="ListParagraph"/>
        <w:numPr>
          <w:ilvl w:val="0"/>
          <w:numId w:val="1"/>
        </w:numPr>
        <w:spacing w:after="90" w:line="280"/>
      </w:pPr>
      <w:r>
        <w:t xml:space="preserve">Input &amp; Control Panel — contains the equation entry field, a solving-method dropdown (Differential Equation, Ordinary Differential Equation, RK4), and four action buttons: Solve, Export PDF, Help, and Clear.</w:t>
      </w:r>
    </w:p>
    <w:p>
      <w:pPr>
        <w:pStyle w:val="ListParagraph"/>
        <w:numPr>
          <w:ilvl w:val="0"/>
          <w:numId w:val="1"/>
        </w:numPr>
        <w:spacing w:after="90" w:line="280"/>
      </w:pPr>
      <w:r>
        <w:t xml:space="preserve">Output Panel — a text area listing the computed (x, y) values or the symbolic expression, paired with a UIAxes graph that plots the solution curve.</w:t>
      </w:r>
    </w:p>
    <w:p>
      <w:pPr>
        <w:spacing w:after="160" w:line="300"/>
        <w:jc w:val="both"/>
      </w:pPr>
      <w:r>
        <w:rPr>
          <w:sz w:val="22"/>
          <w:szCs w:val="22"/>
        </w:rPr>
        <w:t xml:space="preserve">This layout keeps every control visible on a single screen (700 × 480 px window), minimizing the number of steps a user needs to go from entering an equation to viewing a solved, plotted result.</w:t>
      </w:r>
    </w:p>
    <w:p>
      <w:pPr>
        <w:pStyle w:val="Heading1"/>
        <w:pBdr>
          <w:bottom w:val="single" w:color="1C5FA8" w:sz="8" w:space="4"/>
        </w:pBdr>
        <w:spacing w:after="180" w:before="360"/>
      </w:pPr>
      <w:r>
        <w:t xml:space="preserve">5. Methodology</w:t>
      </w:r>
    </w:p>
    <w:p>
      <w:pPr>
        <w:spacing w:after="160" w:line="300"/>
        <w:jc w:val="both"/>
      </w:pPr>
      <w:r>
        <w:rPr>
          <w:sz w:val="22"/>
          <w:szCs w:val="22"/>
        </w:rPr>
        <w:t xml:space="preserve">Three independent solving pathways are implemented behind a single "Solve" action, selected through the method dropdown.</w:t>
      </w:r>
    </w:p>
    <w:p>
      <w:pPr>
        <w:pStyle w:val="Heading2"/>
        <w:spacing w:after="120" w:before="260"/>
      </w:pPr>
      <w:r>
        <w:t xml:space="preserve">5.1 Symbolic Solution (Differential Equation Mode)</w:t>
      </w:r>
    </w:p>
    <w:p>
      <w:pPr>
        <w:spacing w:after="160" w:line="300"/>
        <w:jc w:val="both"/>
      </w:pPr>
      <w:r>
        <w:rPr>
          <w:sz w:val="22"/>
          <w:szCs w:val="22"/>
        </w:rPr>
        <w:t xml:space="preserve">When the user selects "Differential Equation", the entered expression is normalized — converting shorthand such as dy/dx or diff(y,x) into the symbolic form diff(y(x),x), and a bare = into ==. The cleaned expression is parsed with str2sym and solved exactly using MATLAB's dsolve function, which returns a closed-form expression for y(x), including arbitrary constants (C1, C2) where the equation is not fully determined. For visualization, the constants are substituted with a default value of 1 and the resulting curve is plotted with fplot over the interval [0, 5].</w:t>
      </w:r>
    </w:p>
    <w:p>
      <w:pPr>
        <w:pStyle w:val="Heading2"/>
        <w:spacing w:after="120" w:before="260"/>
      </w:pPr>
      <w:r>
        <w:t xml:space="preserve">5.2 Euler Method (Ordinary Differential Equation Mode)</w:t>
      </w:r>
    </w:p>
    <w:p>
      <w:pPr>
        <w:spacing w:after="160" w:line="300"/>
        <w:jc w:val="both"/>
      </w:pPr>
      <w:r>
        <w:rPr>
          <w:sz w:val="22"/>
          <w:szCs w:val="22"/>
        </w:rPr>
        <w:t xml:space="preserve">The Euler method is the simplest first-order numerical technique for approximating the solution of an initial value problem dy/dx = f(x, y). Starting from an initial point (x0, y0), it advances the solution step-by-step using a fixed step size h:</w:t>
      </w:r>
    </w:p>
    <w:p>
      <w:pPr>
        <w:spacing w:after="200"/>
        <w:jc w:val="center"/>
      </w:pPr>
      <w:r>
        <w:rPr>
          <w:i/>
          <w:iCs/>
          <w:sz w:val="22"/>
          <w:szCs w:val="22"/>
        </w:rPr>
        <w:t xml:space="preserve">y(i+1) = y(i) + h · f(x(i), y(i))</w:t>
      </w:r>
    </w:p>
    <w:p>
      <w:pPr>
        <w:spacing w:after="160" w:line="300"/>
        <w:jc w:val="both"/>
      </w:pPr>
      <w:r>
        <w:rPr>
          <w:sz w:val="22"/>
          <w:szCs w:val="22"/>
        </w:rPr>
        <w:t xml:space="preserve">In the application, this is implemented in the odeEulerSolver helper function, which runs over 50 steps between x = 0 and x = 5, starting from the initial condition y(0) = 1.</w:t>
      </w:r>
    </w:p>
    <w:p>
      <w:pPr>
        <w:pStyle w:val="Heading2"/>
        <w:spacing w:after="120" w:before="260"/>
      </w:pPr>
      <w:r>
        <w:t xml:space="preserve">5.3 Fourth-Order Runge-Kutta Method (RK4 Mode)</w:t>
      </w:r>
    </w:p>
    <w:p>
      <w:pPr>
        <w:spacing w:after="160" w:line="300"/>
        <w:jc w:val="both"/>
      </w:pPr>
      <w:r>
        <w:rPr>
          <w:sz w:val="22"/>
          <w:szCs w:val="22"/>
        </w:rPr>
        <w:t xml:space="preserve">The RK4 method improves on Euler's approximation by sampling the slope function f(x, y) at four points within each step and combining them in a weighted average, giving a much smaller local truncation error. The rk4Solver function computes, at every step:</w:t>
      </w:r>
    </w:p>
    <w:p>
      <w:pPr>
        <w:pStyle w:val="ListParagraph"/>
        <w:numPr>
          <w:ilvl w:val="0"/>
          <w:numId w:val="1"/>
        </w:numPr>
        <w:spacing w:after="90" w:line="280"/>
      </w:pPr>
      <w:r>
        <w:t xml:space="preserve">k1 = f(x, y)</w:t>
      </w:r>
    </w:p>
    <w:p>
      <w:pPr>
        <w:pStyle w:val="ListParagraph"/>
        <w:numPr>
          <w:ilvl w:val="0"/>
          <w:numId w:val="1"/>
        </w:numPr>
        <w:spacing w:after="90" w:line="280"/>
      </w:pPr>
      <w:r>
        <w:t xml:space="preserve">k2 = f(x + h/2, y + h·k1/2)</w:t>
      </w:r>
    </w:p>
    <w:p>
      <w:pPr>
        <w:pStyle w:val="ListParagraph"/>
        <w:numPr>
          <w:ilvl w:val="0"/>
          <w:numId w:val="1"/>
        </w:numPr>
        <w:spacing w:after="90" w:line="280"/>
      </w:pPr>
      <w:r>
        <w:t xml:space="preserve">k3 = f(x + h/2, y + h·k2/2)</w:t>
      </w:r>
    </w:p>
    <w:p>
      <w:pPr>
        <w:pStyle w:val="ListParagraph"/>
        <w:numPr>
          <w:ilvl w:val="0"/>
          <w:numId w:val="1"/>
        </w:numPr>
        <w:spacing w:after="90" w:line="280"/>
      </w:pPr>
      <w:r>
        <w:t xml:space="preserve">k4 = f(x + h, y + h·k3)</w:t>
      </w:r>
    </w:p>
    <w:p>
      <w:pPr>
        <w:spacing w:after="160" w:line="300"/>
        <w:jc w:val="both"/>
      </w:pPr>
      <w:r>
        <w:rPr>
          <w:sz w:val="22"/>
          <w:szCs w:val="22"/>
        </w:rPr>
        <w:t xml:space="preserve">and updates the solution using y(i+1) = y(i) + (h/6)(k1 + 2k2 + 2k3 + k4), producing a smooth, highly accurate curve — as reflected in the sample output shown in Section 7, where the curve rises to a peak near x ≈ 1.4 before decaying smoothly toward x = 5.</w:t>
      </w:r>
    </w:p>
    <w:p>
      <w:pPr>
        <w:pStyle w:val="Heading1"/>
        <w:pBdr>
          <w:bottom w:val="single" w:color="1C5FA8" w:sz="8" w:space="4"/>
        </w:pBdr>
        <w:spacing w:after="180" w:before="360"/>
      </w:pPr>
      <w:r>
        <w:t xml:space="preserve">6. Code Structure and Key Functions</w:t>
      </w:r>
    </w:p>
    <w:p>
      <w:pPr>
        <w:spacing w:after="160" w:line="300"/>
        <w:jc w:val="both"/>
      </w:pPr>
      <w:r>
        <w:rPr>
          <w:sz w:val="22"/>
          <w:szCs w:val="22"/>
        </w:rPr>
        <w:t xml:space="preserve">The application logic is organized into three groups of methods within the main classdef, following App Designer conventions:</w:t>
      </w:r>
    </w:p>
    <w:p>
      <w:pPr>
        <w:pStyle w:val="Heading2"/>
        <w:spacing w:after="120" w:before="260"/>
      </w:pPr>
      <w:r>
        <w:t xml:space="preserve">6.1 Numerical Solvers</w:t>
      </w:r>
    </w:p>
    <w:p>
      <w:pPr>
        <w:pStyle w:val="ListParagraph"/>
        <w:numPr>
          <w:ilvl w:val="0"/>
          <w:numId w:val="1"/>
        </w:numPr>
        <w:spacing w:after="90" w:line="280"/>
      </w:pPr>
      <w:r>
        <w:t xml:space="preserve">rk4Solver(f, x0, y0, xEnd, steps) — implements the fourth-order Runge-Kutta algorithm described in Section 5.3.</w:t>
      </w:r>
    </w:p>
    <w:p>
      <w:pPr>
        <w:pStyle w:val="ListParagraph"/>
        <w:numPr>
          <w:ilvl w:val="0"/>
          <w:numId w:val="1"/>
        </w:numPr>
        <w:spacing w:after="90" w:line="280"/>
      </w:pPr>
      <w:r>
        <w:t xml:space="preserve">odeEulerSolver(f, x0, y0, xEnd, steps) — implements the first-order Euler method described in Section 5.2.</w:t>
      </w:r>
    </w:p>
    <w:p>
      <w:pPr>
        <w:pStyle w:val="Heading2"/>
        <w:spacing w:after="120" w:before="260"/>
      </w:pPr>
      <w:r>
        <w:t xml:space="preserve">6.2 Callback Functions</w:t>
      </w:r>
    </w:p>
    <w:p>
      <w:pPr>
        <w:pStyle w:val="ListParagraph"/>
        <w:numPr>
          <w:ilvl w:val="0"/>
          <w:numId w:val="1"/>
        </w:numPr>
        <w:spacing w:after="90" w:line="280"/>
      </w:pPr>
      <w:r>
        <w:t xml:space="preserve">btnSolveButtonPushed — reads the equation and selected method, dispatches to the correct solver (symbolic or numeric), formats the output text, and updates the plot. All logic is wrapped in a try/catch block so malformed input produces a readable error message instead of crashing the app.</w:t>
      </w:r>
    </w:p>
    <w:p>
      <w:pPr>
        <w:pStyle w:val="ListParagraph"/>
        <w:numPr>
          <w:ilvl w:val="0"/>
          <w:numId w:val="1"/>
        </w:numPr>
        <w:spacing w:after="90" w:line="280"/>
      </w:pPr>
      <w:r>
        <w:t xml:space="preserve">btnHelpButtonPushed — opens a uialert dialog listing example equations for each of the three solving modes, acting as inline documentation.</w:t>
      </w:r>
    </w:p>
    <w:p>
      <w:pPr>
        <w:pStyle w:val="ListParagraph"/>
        <w:numPr>
          <w:ilvl w:val="0"/>
          <w:numId w:val="1"/>
        </w:numPr>
        <w:spacing w:after="90" w:line="280"/>
      </w:pPr>
      <w:r>
        <w:t xml:space="preserve">btnClearButtonPushed — resets the equation field to its default example, clears the solution text area, and clears the plot axes.</w:t>
      </w:r>
    </w:p>
    <w:p>
      <w:pPr>
        <w:pStyle w:val="ListParagraph"/>
        <w:numPr>
          <w:ilvl w:val="0"/>
          <w:numId w:val="1"/>
        </w:numPr>
        <w:spacing w:after="90" w:line="280"/>
      </w:pPr>
      <w:r>
        <w:t xml:space="preserve">btnPDFButtonPushed — opens a Save dialog (uiputfile), renders the equation, method, and solution text onto an invisible figure, and exports it as a vector PDF using exportgraphics.</w:t>
      </w:r>
    </w:p>
    <w:p>
      <w:pPr>
        <w:pStyle w:val="Heading2"/>
        <w:spacing w:after="120" w:before="260"/>
      </w:pPr>
      <w:r>
        <w:t xml:space="preserve">6.3 Component Initialization</w:t>
      </w:r>
    </w:p>
    <w:p>
      <w:pPr>
        <w:spacing w:after="160" w:line="300"/>
        <w:jc w:val="both"/>
      </w:pPr>
      <w:r>
        <w:rPr>
          <w:sz w:val="22"/>
          <w:szCs w:val="22"/>
        </w:rPr>
        <w:t xml:space="preserve">The createComponents method builds every visual element — the header panel, labels, edit field, dropdown, buttons, text area, and axes — and assigns their positions, colors, and fonts, giving the interface its consistent dark-navy-and-white theme.</w:t>
      </w:r>
    </w:p>
    <w:p>
      <w:pPr>
        <w:pStyle w:val="Heading2"/>
        <w:spacing w:after="120" w:before="260"/>
      </w:pPr>
      <w:r>
        <w:t xml:space="preserve">6.4 Representative Code Snippet — RK4 Solver</w:t>
      </w:r>
    </w:p>
    <w:p>
      <w:pPr>
        <w:shd w:fill="1E1E1E" w:val="clear"/>
        <w:spacing w:after="0" w:line="240"/>
      </w:pPr>
      <w:r>
        <w:rPr>
          <w:rFonts w:ascii="Consolas" w:cs="Consolas" w:eastAsia="Consolas" w:hAnsi="Consolas"/>
          <w:color w:val="D4D4D4"/>
          <w:sz w:val="18"/>
          <w:szCs w:val="18"/>
        </w:rPr>
        <w:t xml:space="preserve">function [x, y] = rk4Solver(~, f, x0, y0, xEnd, steps)</w:t>
      </w:r>
    </w:p>
    <w:p>
      <w:pPr>
        <w:shd w:fill="1E1E1E" w:val="clear"/>
        <w:spacing w:after="0" w:line="240"/>
      </w:pPr>
      <w:r>
        <w:rPr>
          <w:rFonts w:ascii="Consolas" w:cs="Consolas" w:eastAsia="Consolas" w:hAnsi="Consolas"/>
          <w:color w:val="D4D4D4"/>
          <w:sz w:val="18"/>
          <w:szCs w:val="18"/>
        </w:rPr>
        <w:t xml:space="preserve">    h = (xEnd - x0) / steps;</w:t>
      </w:r>
    </w:p>
    <w:p>
      <w:pPr>
        <w:shd w:fill="1E1E1E" w:val="clear"/>
        <w:spacing w:after="0" w:line="240"/>
      </w:pPr>
      <w:r>
        <w:rPr>
          <w:rFonts w:ascii="Consolas" w:cs="Consolas" w:eastAsia="Consolas" w:hAnsi="Consolas"/>
          <w:color w:val="D4D4D4"/>
          <w:sz w:val="18"/>
          <w:szCs w:val="18"/>
        </w:rPr>
        <w:t xml:space="preserve">    x = zeros(steps + 1, 1);</w:t>
      </w:r>
    </w:p>
    <w:p>
      <w:pPr>
        <w:shd w:fill="1E1E1E" w:val="clear"/>
        <w:spacing w:after="0" w:line="240"/>
      </w:pPr>
      <w:r>
        <w:rPr>
          <w:rFonts w:ascii="Consolas" w:cs="Consolas" w:eastAsia="Consolas" w:hAnsi="Consolas"/>
          <w:color w:val="D4D4D4"/>
          <w:sz w:val="18"/>
          <w:szCs w:val="18"/>
        </w:rPr>
        <w:t xml:space="preserve">    y = zeros(steps + 1, 1);</w:t>
      </w:r>
    </w:p>
    <w:p>
      <w:pPr>
        <w:shd w:fill="1E1E1E" w:val="clear"/>
        <w:spacing w:after="0" w:line="240"/>
      </w:pPr>
      <w:r>
        <w:rPr>
          <w:rFonts w:ascii="Consolas" w:cs="Consolas" w:eastAsia="Consolas" w:hAnsi="Consolas"/>
          <w:color w:val="D4D4D4"/>
          <w:sz w:val="18"/>
          <w:szCs w:val="18"/>
        </w:rPr>
        <w:t xml:space="preserve">    x(1) = x0; y(1) = y0;</w:t>
      </w:r>
    </w:p>
    <w:p>
      <w:pPr>
        <w:shd w:fill="1E1E1E" w:val="clear"/>
        <w:spacing w:after="0" w:line="240"/>
      </w:pPr>
      <w:r>
        <w:rPr>
          <w:rFonts w:ascii="Consolas" w:cs="Consolas" w:eastAsia="Consolas" w:hAnsi="Consolas"/>
          <w:color w:val="D4D4D4"/>
          <w:sz w:val="18"/>
          <w:szCs w:val="18"/>
        </w:rPr>
        <w:t xml:space="preserve">    for i = 1:steps</w:t>
      </w:r>
    </w:p>
    <w:p>
      <w:pPr>
        <w:shd w:fill="1E1E1E" w:val="clear"/>
        <w:spacing w:after="0" w:line="240"/>
      </w:pPr>
      <w:r>
        <w:rPr>
          <w:rFonts w:ascii="Consolas" w:cs="Consolas" w:eastAsia="Consolas" w:hAnsi="Consolas"/>
          <w:color w:val="D4D4D4"/>
          <w:sz w:val="18"/>
          <w:szCs w:val="18"/>
        </w:rPr>
        <w:t xml:space="preserve">        xi = x(i); yi = y(i);</w:t>
      </w:r>
    </w:p>
    <w:p>
      <w:pPr>
        <w:shd w:fill="1E1E1E" w:val="clear"/>
        <w:spacing w:after="0" w:line="240"/>
      </w:pPr>
      <w:r>
        <w:rPr>
          <w:rFonts w:ascii="Consolas" w:cs="Consolas" w:eastAsia="Consolas" w:hAnsi="Consolas"/>
          <w:color w:val="D4D4D4"/>
          <w:sz w:val="18"/>
          <w:szCs w:val="18"/>
        </w:rPr>
        <w:t xml:space="preserve">        k1 = f(xi, yi);</w:t>
      </w:r>
    </w:p>
    <w:p>
      <w:pPr>
        <w:shd w:fill="1E1E1E" w:val="clear"/>
        <w:spacing w:after="0" w:line="240"/>
      </w:pPr>
      <w:r>
        <w:rPr>
          <w:rFonts w:ascii="Consolas" w:cs="Consolas" w:eastAsia="Consolas" w:hAnsi="Consolas"/>
          <w:color w:val="D4D4D4"/>
          <w:sz w:val="18"/>
          <w:szCs w:val="18"/>
        </w:rPr>
        <w:t xml:space="preserve">        k2 = f(xi + h/2, yi + h*k1/2);</w:t>
      </w:r>
    </w:p>
    <w:p>
      <w:pPr>
        <w:shd w:fill="1E1E1E" w:val="clear"/>
        <w:spacing w:after="0" w:line="240"/>
      </w:pPr>
      <w:r>
        <w:rPr>
          <w:rFonts w:ascii="Consolas" w:cs="Consolas" w:eastAsia="Consolas" w:hAnsi="Consolas"/>
          <w:color w:val="D4D4D4"/>
          <w:sz w:val="18"/>
          <w:szCs w:val="18"/>
        </w:rPr>
        <w:t xml:space="preserve">        k3 = f(xi + h/2, yi + h*k2/2);</w:t>
      </w:r>
    </w:p>
    <w:p>
      <w:pPr>
        <w:shd w:fill="1E1E1E" w:val="clear"/>
        <w:spacing w:after="0" w:line="240"/>
      </w:pPr>
      <w:r>
        <w:rPr>
          <w:rFonts w:ascii="Consolas" w:cs="Consolas" w:eastAsia="Consolas" w:hAnsi="Consolas"/>
          <w:color w:val="D4D4D4"/>
          <w:sz w:val="18"/>
          <w:szCs w:val="18"/>
        </w:rPr>
        <w:t xml:space="preserve">        k4 = f(xi + h, yi + h*k3);</w:t>
      </w:r>
    </w:p>
    <w:p>
      <w:pPr>
        <w:shd w:fill="1E1E1E" w:val="clear"/>
        <w:spacing w:after="0" w:line="240"/>
      </w:pPr>
      <w:r>
        <w:rPr>
          <w:rFonts w:ascii="Consolas" w:cs="Consolas" w:eastAsia="Consolas" w:hAnsi="Consolas"/>
          <w:color w:val="D4D4D4"/>
          <w:sz w:val="18"/>
          <w:szCs w:val="18"/>
        </w:rPr>
        <w:t xml:space="preserve">        y(i+1) = yi + (h/6)*(k1 + 2*k2 + 2*k3 + k4);</w:t>
      </w:r>
    </w:p>
    <w:p>
      <w:pPr>
        <w:shd w:fill="1E1E1E" w:val="clear"/>
        <w:spacing w:after="0" w:line="240"/>
      </w:pPr>
      <w:r>
        <w:rPr>
          <w:rFonts w:ascii="Consolas" w:cs="Consolas" w:eastAsia="Consolas" w:hAnsi="Consolas"/>
          <w:color w:val="D4D4D4"/>
          <w:sz w:val="18"/>
          <w:szCs w:val="18"/>
        </w:rPr>
        <w:t xml:space="preserve">        x(i+1) = xi + h;</w:t>
      </w:r>
    </w:p>
    <w:p>
      <w:pPr>
        <w:shd w:fill="1E1E1E" w:val="clear"/>
        <w:spacing w:after="0" w:line="240"/>
      </w:pPr>
      <w:r>
        <w:rPr>
          <w:rFonts w:ascii="Consolas" w:cs="Consolas" w:eastAsia="Consolas" w:hAnsi="Consolas"/>
          <w:color w:val="D4D4D4"/>
          <w:sz w:val="18"/>
          <w:szCs w:val="18"/>
        </w:rPr>
        <w:t xml:space="preserve">    end</w:t>
      </w:r>
    </w:p>
    <w:p>
      <w:pPr>
        <w:shd w:fill="1E1E1E" w:val="clear"/>
        <w:spacing w:after="0" w:line="240"/>
      </w:pPr>
      <w:r>
        <w:rPr>
          <w:rFonts w:ascii="Consolas" w:cs="Consolas" w:eastAsia="Consolas" w:hAnsi="Consolas"/>
          <w:color w:val="D4D4D4"/>
          <w:sz w:val="18"/>
          <w:szCs w:val="18"/>
        </w:rPr>
        <w:t xml:space="preserve">end</w:t>
      </w:r>
    </w:p>
    <w:p>
      <w:pPr>
        <w:spacing w:after="240"/>
      </w:pPr>
    </w:p>
    <w:p>
      <w:pPr>
        <w:pStyle w:val="Heading1"/>
        <w:pBdr>
          <w:bottom w:val="single" w:color="1C5FA8" w:sz="8" w:space="4"/>
        </w:pBdr>
        <w:spacing w:after="180" w:before="360"/>
      </w:pPr>
      <w:r>
        <w:t xml:space="preserve">7. Results and Output</w:t>
      </w:r>
    </w:p>
    <w:p>
      <w:pPr>
        <w:spacing w:after="160" w:line="300"/>
        <w:jc w:val="both"/>
      </w:pPr>
      <w:r>
        <w:rPr>
          <w:sz w:val="22"/>
          <w:szCs w:val="22"/>
        </w:rPr>
        <w:t xml:space="preserve">The figure below shows the application in operation, solving the equation sin(x·y) + exp(-x) using the RK4 method with initial condition y(0) = 1 over the interval x ∈ [0, 5]. The solution list on the left displays the computed (x, y) pairs at each step, while the panel on the right plots the resulting curve, which rises to a peak of approximately y = 2.46 near x = 1.4 before decreasing smoothly.</w:t>
      </w:r>
    </w:p>
    <w:p>
      <w:pPr>
        <w:spacing w:before="200"/>
        <w:jc w:val="center"/>
      </w:pPr>
      <w:r>
        <w:drawing>
          <wp:inline distT="0" distB="0" distL="0" distR="0">
            <wp:extent cx="5334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71900"/>
                    </a:xfrm>
                    <a:prstGeom prst="rect">
                      <a:avLst/>
                    </a:prstGeom>
                  </pic:spPr>
                </pic:pic>
              </a:graphicData>
            </a:graphic>
          </wp:inline>
        </w:drawing>
      </w:r>
    </w:p>
    <w:p>
      <w:pPr>
        <w:spacing w:after="300" w:before="100"/>
        <w:jc w:val="center"/>
      </w:pPr>
      <w:r>
        <w:rPr>
          <w:i/>
          <w:iCs/>
          <w:color w:val="5A5F66"/>
          <w:sz w:val="20"/>
          <w:szCs w:val="20"/>
        </w:rPr>
        <w:t xml:space="preserve">Figure 1: MultiMethod DiffSolver — RK4 solution of sin(x·y) + exp(-x)</w:t>
      </w:r>
    </w:p>
    <w:p>
      <w:pPr>
        <w:spacing w:after="160" w:line="300"/>
        <w:jc w:val="both"/>
      </w:pPr>
      <w:r>
        <w:rPr>
          <w:sz w:val="22"/>
          <w:szCs w:val="22"/>
        </w:rPr>
        <w:t xml:space="preserve">This behaviour is consistent with expectations for the RK4 method: because it evaluates the slope function at four points per step and combines them in a weighted average, the resulting curve is noticeably smoother and more accurate than an equivalent Euler-method run at the same step size, with no visible oscillation or drift over the 50-step interval.</w:t>
      </w:r>
    </w:p>
    <w:p>
      <w:pPr>
        <w:pStyle w:val="Heading1"/>
        <w:pBdr>
          <w:bottom w:val="single" w:color="1C5FA8" w:sz="8" w:space="4"/>
        </w:pBdr>
        <w:spacing w:after="180" w:before="360"/>
      </w:pPr>
      <w:r>
        <w:t xml:space="preserve">8. Comparative Discussion</w:t>
      </w:r>
    </w:p>
    <w:p>
      <w:pPr>
        <w:spacing w:after="160" w:line="300"/>
        <w:jc w:val="both"/>
      </w:pPr>
      <w:r>
        <w:rPr>
          <w:sz w:val="22"/>
          <w:szCs w:val="22"/>
        </w:rPr>
        <w:t xml:space="preserve">The application's ability to switch between solving modes on the same equation makes the trade-offs between numerical methods directly observable. The table below summarizes the key differences between the Euler and RK4 methods as implemented in this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1E2A3A" w:val="clear"/>
            <w:tcMar>
              <w:top w:type="dxa" w:w="100"/>
              <w:left w:type="dxa" w:w="120"/>
              <w:bottom w:type="dxa" w:w="100"/>
              <w:right w:type="dxa" w:w="120"/>
            </w:tcMar>
            <w:vAlign w:val="center"/>
          </w:tcPr>
          <w:p>
            <w:pPr>
              <w:jc w:val="left"/>
            </w:pPr>
            <w:r>
              <w:rPr>
                <w:b/>
                <w:bCs/>
                <w:color w:val="FFFFFF"/>
                <w:sz w:val="20"/>
                <w:szCs w:val="20"/>
              </w:rPr>
              <w:t xml:space="preserve">Criteria</w:t>
            </w:r>
          </w:p>
        </w:tc>
        <w:tc>
          <w:tcPr>
            <w:tcW w:type="dxa" w:w="3300"/>
            <w:shd w:fill="1E2A3A" w:val="clear"/>
            <w:tcMar>
              <w:top w:type="dxa" w:w="100"/>
              <w:left w:type="dxa" w:w="120"/>
              <w:bottom w:type="dxa" w:w="100"/>
              <w:right w:type="dxa" w:w="120"/>
            </w:tcMar>
            <w:vAlign w:val="center"/>
          </w:tcPr>
          <w:p>
            <w:pPr>
              <w:jc w:val="left"/>
            </w:pPr>
            <w:r>
              <w:rPr>
                <w:b/>
                <w:bCs/>
                <w:color w:val="FFFFFF"/>
                <w:sz w:val="20"/>
                <w:szCs w:val="20"/>
              </w:rPr>
              <w:t xml:space="preserve">Euler Method</w:t>
            </w:r>
          </w:p>
        </w:tc>
        <w:tc>
          <w:tcPr>
            <w:tcW w:type="dxa" w:w="3300"/>
            <w:shd w:fill="1E2A3A" w:val="clear"/>
            <w:tcMar>
              <w:top w:type="dxa" w:w="100"/>
              <w:left w:type="dxa" w:w="120"/>
              <w:bottom w:type="dxa" w:w="100"/>
              <w:right w:type="dxa" w:w="120"/>
            </w:tcMar>
            <w:vAlign w:val="center"/>
          </w:tcPr>
          <w:p>
            <w:pPr>
              <w:jc w:val="left"/>
            </w:pPr>
            <w:r>
              <w:rPr>
                <w:b/>
                <w:bCs/>
                <w:color w:val="FFFFFF"/>
                <w:sz w:val="20"/>
                <w:szCs w:val="20"/>
              </w:rPr>
              <w:t xml:space="preserve">RK4 Method</w:t>
            </w:r>
          </w:p>
        </w:tc>
      </w:tr>
      <w:tr>
        <w:tc>
          <w:tcPr>
            <w:tcW w:type="dxa" w:w="2400"/>
            <w:tcMar>
              <w:top w:type="dxa" w:w="100"/>
              <w:left w:type="dxa" w:w="120"/>
              <w:bottom w:type="dxa" w:w="100"/>
              <w:right w:type="dxa" w:w="120"/>
            </w:tcMar>
            <w:vAlign w:val="center"/>
          </w:tcPr>
          <w:p>
            <w:pPr>
              <w:jc w:val="left"/>
            </w:pPr>
            <w:r>
              <w:rPr>
                <w:b/>
                <w:bCs/>
                <w:color w:val="000000"/>
                <w:sz w:val="20"/>
                <w:szCs w:val="20"/>
              </w:rPr>
              <w:t xml:space="preserve">Order of Accuracy</w:t>
            </w:r>
          </w:p>
        </w:tc>
        <w:tc>
          <w:tcPr>
            <w:tcW w:type="dxa" w:w="3300"/>
            <w:shd w:fill="F2F3F5" w:val="clear"/>
            <w:tcMar>
              <w:top w:type="dxa" w:w="100"/>
              <w:left w:type="dxa" w:w="120"/>
              <w:bottom w:type="dxa" w:w="100"/>
              <w:right w:type="dxa" w:w="120"/>
            </w:tcMar>
            <w:vAlign w:val="center"/>
          </w:tcPr>
          <w:p>
            <w:pPr>
              <w:jc w:val="left"/>
            </w:pPr>
            <w:r>
              <w:rPr>
                <w:b w:val="false"/>
                <w:bCs w:val="false"/>
                <w:color w:val="000000"/>
                <w:sz w:val="20"/>
                <w:szCs w:val="20"/>
              </w:rPr>
              <w:t xml:space="preserve">First-order (O(h))</w:t>
            </w:r>
          </w:p>
        </w:tc>
        <w:tc>
          <w:tcPr>
            <w:tcW w:type="dxa" w:w="3300"/>
            <w:shd w:fill="F2F3F5" w:val="clear"/>
            <w:tcMar>
              <w:top w:type="dxa" w:w="100"/>
              <w:left w:type="dxa" w:w="120"/>
              <w:bottom w:type="dxa" w:w="100"/>
              <w:right w:type="dxa" w:w="120"/>
            </w:tcMar>
            <w:vAlign w:val="center"/>
          </w:tcPr>
          <w:p>
            <w:pPr>
              <w:jc w:val="left"/>
            </w:pPr>
            <w:r>
              <w:rPr>
                <w:b w:val="false"/>
                <w:bCs w:val="false"/>
                <w:color w:val="000000"/>
                <w:sz w:val="20"/>
                <w:szCs w:val="20"/>
              </w:rPr>
              <w:t xml:space="preserve">Fourth-order (O(h⁴))</w:t>
            </w:r>
          </w:p>
        </w:tc>
      </w:tr>
      <w:tr>
        <w:tc>
          <w:tcPr>
            <w:tcW w:type="dxa" w:w="2400"/>
            <w:tcMar>
              <w:top w:type="dxa" w:w="100"/>
              <w:left w:type="dxa" w:w="120"/>
              <w:bottom w:type="dxa" w:w="100"/>
              <w:right w:type="dxa" w:w="120"/>
            </w:tcMar>
            <w:vAlign w:val="center"/>
          </w:tcPr>
          <w:p>
            <w:pPr>
              <w:jc w:val="left"/>
            </w:pPr>
            <w:r>
              <w:rPr>
                <w:b/>
                <w:bCs/>
                <w:color w:val="000000"/>
                <w:sz w:val="20"/>
                <w:szCs w:val="20"/>
              </w:rPr>
              <w:t xml:space="preserve">Function Evaluations / Step</w:t>
            </w:r>
          </w:p>
        </w:tc>
        <w:tc>
          <w:tcPr>
            <w:tcW w:type="dxa" w:w="3300"/>
            <w:tcMar>
              <w:top w:type="dxa" w:w="100"/>
              <w:left w:type="dxa" w:w="120"/>
              <w:bottom w:type="dxa" w:w="100"/>
              <w:right w:type="dxa" w:w="120"/>
            </w:tcMar>
            <w:vAlign w:val="center"/>
          </w:tcPr>
          <w:p>
            <w:pPr>
              <w:jc w:val="left"/>
            </w:pPr>
            <w:r>
              <w:rPr>
                <w:b w:val="false"/>
                <w:bCs w:val="false"/>
                <w:color w:val="000000"/>
                <w:sz w:val="20"/>
                <w:szCs w:val="20"/>
              </w:rPr>
              <w:t xml:space="preserve">1</w:t>
            </w:r>
          </w:p>
        </w:tc>
        <w:tc>
          <w:tcPr>
            <w:tcW w:type="dxa" w:w="3300"/>
            <w:tcMar>
              <w:top w:type="dxa" w:w="100"/>
              <w:left w:type="dxa" w:w="120"/>
              <w:bottom w:type="dxa" w:w="100"/>
              <w:right w:type="dxa" w:w="120"/>
            </w:tcMar>
            <w:vAlign w:val="center"/>
          </w:tcPr>
          <w:p>
            <w:pPr>
              <w:jc w:val="left"/>
            </w:pPr>
            <w:r>
              <w:rPr>
                <w:b w:val="false"/>
                <w:bCs w:val="false"/>
                <w:color w:val="000000"/>
                <w:sz w:val="20"/>
                <w:szCs w:val="20"/>
              </w:rPr>
              <w:t xml:space="preserve">4</w:t>
            </w:r>
          </w:p>
        </w:tc>
      </w:tr>
      <w:tr>
        <w:tc>
          <w:tcPr>
            <w:tcW w:type="dxa" w:w="2400"/>
            <w:tcMar>
              <w:top w:type="dxa" w:w="100"/>
              <w:left w:type="dxa" w:w="120"/>
              <w:bottom w:type="dxa" w:w="100"/>
              <w:right w:type="dxa" w:w="120"/>
            </w:tcMar>
            <w:vAlign w:val="center"/>
          </w:tcPr>
          <w:p>
            <w:pPr>
              <w:jc w:val="left"/>
            </w:pPr>
            <w:r>
              <w:rPr>
                <w:b/>
                <w:bCs/>
                <w:color w:val="000000"/>
                <w:sz w:val="20"/>
                <w:szCs w:val="20"/>
              </w:rPr>
              <w:t xml:space="preserve">Computational Cost</w:t>
            </w:r>
          </w:p>
        </w:tc>
        <w:tc>
          <w:tcPr>
            <w:tcW w:type="dxa" w:w="3300"/>
            <w:shd w:fill="F2F3F5" w:val="clear"/>
            <w:tcMar>
              <w:top w:type="dxa" w:w="100"/>
              <w:left w:type="dxa" w:w="120"/>
              <w:bottom w:type="dxa" w:w="100"/>
              <w:right w:type="dxa" w:w="120"/>
            </w:tcMar>
            <w:vAlign w:val="center"/>
          </w:tcPr>
          <w:p>
            <w:pPr>
              <w:jc w:val="left"/>
            </w:pPr>
            <w:r>
              <w:rPr>
                <w:b w:val="false"/>
                <w:bCs w:val="false"/>
                <w:color w:val="000000"/>
                <w:sz w:val="20"/>
                <w:szCs w:val="20"/>
              </w:rPr>
              <w:t xml:space="preserve">Low</w:t>
            </w:r>
          </w:p>
        </w:tc>
        <w:tc>
          <w:tcPr>
            <w:tcW w:type="dxa" w:w="3300"/>
            <w:shd w:fill="F2F3F5" w:val="clear"/>
            <w:tcMar>
              <w:top w:type="dxa" w:w="100"/>
              <w:left w:type="dxa" w:w="120"/>
              <w:bottom w:type="dxa" w:w="100"/>
              <w:right w:type="dxa" w:w="120"/>
            </w:tcMar>
            <w:vAlign w:val="center"/>
          </w:tcPr>
          <w:p>
            <w:pPr>
              <w:jc w:val="left"/>
            </w:pPr>
            <w:r>
              <w:rPr>
                <w:b w:val="false"/>
                <w:bCs w:val="false"/>
                <w:color w:val="000000"/>
                <w:sz w:val="20"/>
                <w:szCs w:val="20"/>
              </w:rPr>
              <w:t xml:space="preserve">Moderate</w:t>
            </w:r>
          </w:p>
        </w:tc>
      </w:tr>
      <w:tr>
        <w:tc>
          <w:tcPr>
            <w:tcW w:type="dxa" w:w="2400"/>
            <w:tcMar>
              <w:top w:type="dxa" w:w="100"/>
              <w:left w:type="dxa" w:w="120"/>
              <w:bottom w:type="dxa" w:w="100"/>
              <w:right w:type="dxa" w:w="120"/>
            </w:tcMar>
            <w:vAlign w:val="center"/>
          </w:tcPr>
          <w:p>
            <w:pPr>
              <w:jc w:val="left"/>
            </w:pPr>
            <w:r>
              <w:rPr>
                <w:b/>
                <w:bCs/>
                <w:color w:val="000000"/>
                <w:sz w:val="20"/>
                <w:szCs w:val="20"/>
              </w:rPr>
              <w:t xml:space="preserve">Stability / Smoothness</w:t>
            </w:r>
          </w:p>
        </w:tc>
        <w:tc>
          <w:tcPr>
            <w:tcW w:type="dxa" w:w="3300"/>
            <w:tcMar>
              <w:top w:type="dxa" w:w="100"/>
              <w:left w:type="dxa" w:w="120"/>
              <w:bottom w:type="dxa" w:w="100"/>
              <w:right w:type="dxa" w:w="120"/>
            </w:tcMar>
            <w:vAlign w:val="center"/>
          </w:tcPr>
          <w:p>
            <w:pPr>
              <w:jc w:val="left"/>
            </w:pPr>
            <w:r>
              <w:rPr>
                <w:b w:val="false"/>
                <w:bCs w:val="false"/>
                <w:color w:val="000000"/>
                <w:sz w:val="20"/>
                <w:szCs w:val="20"/>
              </w:rPr>
              <w:t xml:space="preserve">Prone to drift on stiff or oscillatory equations</w:t>
            </w:r>
          </w:p>
        </w:tc>
        <w:tc>
          <w:tcPr>
            <w:tcW w:type="dxa" w:w="3300"/>
            <w:tcMar>
              <w:top w:type="dxa" w:w="100"/>
              <w:left w:type="dxa" w:w="120"/>
              <w:bottom w:type="dxa" w:w="100"/>
              <w:right w:type="dxa" w:w="120"/>
            </w:tcMar>
            <w:vAlign w:val="center"/>
          </w:tcPr>
          <w:p>
            <w:pPr>
              <w:jc w:val="left"/>
            </w:pPr>
            <w:r>
              <w:rPr>
                <w:b w:val="false"/>
                <w:bCs w:val="false"/>
                <w:color w:val="000000"/>
                <w:sz w:val="20"/>
                <w:szCs w:val="20"/>
              </w:rPr>
              <w:t xml:space="preserve">Stable and smooth for a much wider range of equations</w:t>
            </w:r>
          </w:p>
        </w:tc>
      </w:tr>
      <w:tr>
        <w:tc>
          <w:tcPr>
            <w:tcW w:type="dxa" w:w="2400"/>
            <w:tcMar>
              <w:top w:type="dxa" w:w="100"/>
              <w:left w:type="dxa" w:w="120"/>
              <w:bottom w:type="dxa" w:w="100"/>
              <w:right w:type="dxa" w:w="120"/>
            </w:tcMar>
            <w:vAlign w:val="center"/>
          </w:tcPr>
          <w:p>
            <w:pPr>
              <w:jc w:val="left"/>
            </w:pPr>
            <w:r>
              <w:rPr>
                <w:b/>
                <w:bCs/>
                <w:color w:val="000000"/>
                <w:sz w:val="20"/>
                <w:szCs w:val="20"/>
              </w:rPr>
              <w:t xml:space="preserve">Best Suited For</w:t>
            </w:r>
          </w:p>
        </w:tc>
        <w:tc>
          <w:tcPr>
            <w:tcW w:type="dxa" w:w="3300"/>
            <w:shd w:fill="F2F3F5" w:val="clear"/>
            <w:tcMar>
              <w:top w:type="dxa" w:w="100"/>
              <w:left w:type="dxa" w:w="120"/>
              <w:bottom w:type="dxa" w:w="100"/>
              <w:right w:type="dxa" w:w="120"/>
            </w:tcMar>
            <w:vAlign w:val="center"/>
          </w:tcPr>
          <w:p>
            <w:pPr>
              <w:jc w:val="left"/>
            </w:pPr>
            <w:r>
              <w:rPr>
                <w:b w:val="false"/>
                <w:bCs w:val="false"/>
                <w:color w:val="000000"/>
                <w:sz w:val="20"/>
                <w:szCs w:val="20"/>
              </w:rPr>
              <w:t xml:space="preserve">Quick approximations, teaching basic concepts</w:t>
            </w:r>
          </w:p>
        </w:tc>
        <w:tc>
          <w:tcPr>
            <w:tcW w:type="dxa" w:w="3300"/>
            <w:shd w:fill="F2F3F5" w:val="clear"/>
            <w:tcMar>
              <w:top w:type="dxa" w:w="100"/>
              <w:left w:type="dxa" w:w="120"/>
              <w:bottom w:type="dxa" w:w="100"/>
              <w:right w:type="dxa" w:w="120"/>
            </w:tcMar>
            <w:vAlign w:val="center"/>
          </w:tcPr>
          <w:p>
            <w:pPr>
              <w:jc w:val="left"/>
            </w:pPr>
            <w:r>
              <w:rPr>
                <w:b w:val="false"/>
                <w:bCs w:val="false"/>
                <w:color w:val="000000"/>
                <w:sz w:val="20"/>
                <w:szCs w:val="20"/>
              </w:rPr>
              <w:t xml:space="preserve">Accurate simulations where precision matters</w:t>
            </w:r>
          </w:p>
        </w:tc>
      </w:tr>
    </w:tbl>
    <w:p>
      <w:pPr>
        <w:spacing w:after="200"/>
      </w:pPr>
    </w:p>
    <w:p>
      <w:pPr>
        <w:spacing w:after="160" w:line="300"/>
        <w:jc w:val="both"/>
      </w:pPr>
      <w:r>
        <w:rPr>
          <w:sz w:val="22"/>
          <w:szCs w:val="22"/>
        </w:rPr>
        <w:t xml:space="preserve">Where a closed-form solution exists, the symbolic dsolve mode provides an exact benchmark against which both numerical methods can be validated, closing the loop between analytical and computational approaches within a single tool.</w:t>
      </w:r>
    </w:p>
    <w:p>
      <w:pPr>
        <w:pStyle w:val="Heading1"/>
        <w:pBdr>
          <w:bottom w:val="single" w:color="1C5FA8" w:sz="8" w:space="4"/>
        </w:pBdr>
        <w:spacing w:after="180" w:before="360"/>
      </w:pPr>
      <w:r>
        <w:t xml:space="preserve">9. Conclusion</w:t>
      </w:r>
    </w:p>
    <w:p>
      <w:pPr>
        <w:spacing w:after="160" w:line="300"/>
        <w:jc w:val="both"/>
      </w:pPr>
      <w:r>
        <w:rPr>
          <w:sz w:val="22"/>
          <w:szCs w:val="22"/>
        </w:rPr>
        <w:t xml:space="preserve">MultiMethod DiffSolver successfully demonstrates how symbolic computation and numerical integration techniques can be unified within a single, user-friendly MATLAB application. By combining the Euler method, the fourth-order Runge-Kutta method, and exact symbolic solving under one interface, the project allows direct, side-by-side exploration of how different solution strategies behave on the same differential equation.</w:t>
      </w:r>
    </w:p>
    <w:p>
      <w:pPr>
        <w:spacing w:after="160" w:line="300"/>
        <w:jc w:val="both"/>
      </w:pPr>
      <w:r>
        <w:rPr>
          <w:sz w:val="22"/>
          <w:szCs w:val="22"/>
        </w:rPr>
        <w:t xml:space="preserve">Beyond its numerical core, the inclusion of input validation, a built-in help guide, and one-click PDF export reflects sound software design practice, turning a course exercise in numerical methods into a complete, usable tool. Future extensions could include additional methods such as the Midpoint or Adams-Bashforth schemes, adjustable step size and interval controls, and support for systems of coupled differential equations.</w:t>
      </w:r>
    </w:p>
    <w:p>
      <w:pPr>
        <w:pStyle w:val="Heading1"/>
        <w:pBdr>
          <w:bottom w:val="single" w:color="1C5FA8" w:sz="8" w:space="4"/>
        </w:pBdr>
        <w:spacing w:after="180" w:before="360"/>
      </w:pPr>
      <w:r>
        <w:t xml:space="preserve">10. References</w:t>
      </w:r>
    </w:p>
    <w:p>
      <w:pPr>
        <w:pStyle w:val="ListParagraph"/>
        <w:numPr>
          <w:ilvl w:val="0"/>
          <w:numId w:val="1"/>
        </w:numPr>
        <w:spacing w:after="90" w:line="280"/>
      </w:pPr>
      <w:r>
        <w:t xml:space="preserve">MathWorks. "App Designer Documentation." MATLAB Documentation.</w:t>
      </w:r>
    </w:p>
    <w:p>
      <w:pPr>
        <w:pStyle w:val="ListParagraph"/>
        <w:numPr>
          <w:ilvl w:val="0"/>
          <w:numId w:val="1"/>
        </w:numPr>
        <w:spacing w:after="90" w:line="280"/>
      </w:pPr>
      <w:r>
        <w:t xml:space="preserve">MathWorks. "Symbolic Math Toolbox — dsolve." MATLAB Documentation.</w:t>
      </w:r>
    </w:p>
    <w:p>
      <w:pPr>
        <w:pStyle w:val="ListParagraph"/>
        <w:numPr>
          <w:ilvl w:val="0"/>
          <w:numId w:val="1"/>
        </w:numPr>
        <w:spacing w:after="90" w:line="280"/>
      </w:pPr>
      <w:r>
        <w:t xml:space="preserve">Chapra, S. C., &amp; Canale, R. P. "Numerical Methods for Engineers." McGraw-Hill Education.</w:t>
      </w:r>
    </w:p>
    <w:p>
      <w:pPr>
        <w:pStyle w:val="ListParagraph"/>
        <w:numPr>
          <w:ilvl w:val="0"/>
          <w:numId w:val="1"/>
        </w:numPr>
        <w:spacing w:after="90" w:line="280"/>
      </w:pPr>
      <w:r>
        <w:t xml:space="preserve">Course Material — Numerical Computing and Computer Applications, Department of AI, QUEST Nawabshah.</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F66"/>
        <w:sz w:val="18"/>
        <w:szCs w:val="18"/>
      </w:rPr>
      <w:t xml:space="preserve">Page </w:t>
    </w:r>
    <w:r>
      <w:rPr>
        <w:color w:val="5A5F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F66"/>
        <w:sz w:val="16"/>
        <w:szCs w:val="16"/>
      </w:rPr>
      <w:t xml:space="preserve">MultiMethod DiffSolver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Calibri" w:cs="Calibri" w:eastAsia="Calibri" w:hAnsi="Calibri"/>
      <w:b/>
      <w:bCs/>
      <w:color w:val="1E2A3A"/>
      <w:sz w:val="30"/>
      <w:szCs w:val="30"/>
    </w:rPr>
  </w:style>
  <w:style w:type="paragraph" w:styleId="Heading2">
    <w:name w:val="Heading 2"/>
    <w:basedOn w:val="Normal"/>
    <w:next w:val="Normal"/>
    <w:qFormat/>
    <w:pPr>
      <w:spacing w:after="100" w:before="220"/>
    </w:pPr>
    <w:rPr>
      <w:rFonts w:ascii="Calibri" w:cs="Calibri" w:eastAsia="Calibri" w:hAnsi="Calibri"/>
      <w:b/>
      <w:bCs/>
      <w:color w:val="1C5F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df52aef17d22990abcc894229a0792256c22f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MultiMethod DiffSolver - Project Report</dc:title>
  <dc:creator>Jawaria</dc:creator>
  <cp:lastModifiedBy>Un-named</cp:lastModifiedBy>
  <cp:revision>1</cp:revision>
  <dcterms:created xsi:type="dcterms:W3CDTF">2026-08-24T09:42:57.752Z</dcterms:created>
  <dcterms:modified xsi:type="dcterms:W3CDTF">2026-08-24T09:42:57.753Z</dcterms:modified>
</cp:coreProperties>
</file>

<file path=docProps/custom.xml><?xml version="1.0" encoding="utf-8"?>
<Properties xmlns="http://schemas.openxmlformats.org/officeDocument/2006/custom-properties" xmlns:vt="http://schemas.openxmlformats.org/officeDocument/2006/docPropsVTypes"/>
</file>