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1F4E78"/>
          <w:sz w:val="36"/>
        </w:rPr>
        <w:t>INFORME TÉCNICO DE RESULTADOS DE EVALUACIÓN</w:t>
      </w:r>
    </w:p>
    <w:p>
      <w:pPr>
        <w:spacing w:after="400"/>
        <w:jc w:val="center"/>
      </w:pPr>
      <w:r>
        <w:rPr>
          <w:rFonts w:ascii="Arial" w:hAnsi="Arial"/>
          <w:i/>
          <w:color w:val="595959"/>
          <w:sz w:val="23"/>
        </w:rPr>
        <w:t>Métricas y Diagnóstico Empírico de la Red Vision Transformer (ViT) para Patrones de Nubes</w:t>
      </w:r>
    </w:p>
    <w:p>
      <w:pPr>
        <w:keepNext/>
        <w:spacing w:before="0" w:after="160"/>
      </w:pPr>
      <w:r>
        <w:rPr>
          <w:rFonts w:ascii="Arial" w:hAnsi="Arial"/>
          <w:b/>
          <w:color w:val="1F4E78"/>
          <w:sz w:val="30"/>
        </w:rPr>
        <w:t>1. Resumen del Desempeño y Métrica de Control</w:t>
      </w:r>
    </w:p>
    <w:p>
      <w:pPr>
        <w:spacing w:after="120" w:line="276" w:lineRule="auto"/>
      </w:pPr>
      <w:r>
        <w:rPr>
          <w:rFonts w:ascii="Arial" w:hAnsi="Arial"/>
          <w:color w:val="262626"/>
          <w:sz w:val="21"/>
        </w:rPr>
        <w:t>El entrenamiento y validación de la red Vision Transformer (ViT-B16) para la clasificación multi-etiqueta de nubes se dividió empíricamente en dos fases consecutivas (extracción fija de características y ajuste fino de parámetros completos). A continuación, se presenta la tabulación formal de los resultados cuantitativos clave obtenidos al final de los hitos principales de optimización: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D9E1F2"/>
          </w:tcPr>
          <w:p>
            <w:r>
              <w:rPr>
                <w:rFonts w:ascii="Arial" w:hAnsi="Arial"/>
                <w:b/>
                <w:sz w:val="20"/>
              </w:rPr>
              <w:t>Fase del Modelo</w:t>
            </w:r>
          </w:p>
        </w:tc>
        <w:tc>
          <w:tcPr>
            <w:tcW w:type="dxa" w:w="1560"/>
            <w:shd w:fill="D9E1F2"/>
          </w:tcPr>
          <w:p>
            <w:r>
              <w:rPr>
                <w:rFonts w:ascii="Arial" w:hAnsi="Arial"/>
                <w:b/>
                <w:sz w:val="20"/>
              </w:rPr>
              <w:t>Época</w:t>
            </w:r>
          </w:p>
        </w:tc>
        <w:tc>
          <w:tcPr>
            <w:tcW w:type="dxa" w:w="1560"/>
            <w:shd w:fill="D9E1F2"/>
          </w:tcPr>
          <w:p>
            <w:r>
              <w:rPr>
                <w:rFonts w:ascii="Arial" w:hAnsi="Arial"/>
                <w:b/>
                <w:sz w:val="20"/>
              </w:rPr>
              <w:t>Loss (Train)</w:t>
            </w:r>
          </w:p>
        </w:tc>
        <w:tc>
          <w:tcPr>
            <w:tcW w:type="dxa" w:w="1560"/>
            <w:shd w:fill="D9E1F2"/>
          </w:tcPr>
          <w:p>
            <w:r>
              <w:rPr>
                <w:rFonts w:ascii="Arial" w:hAnsi="Arial"/>
                <w:b/>
                <w:sz w:val="20"/>
              </w:rPr>
              <w:t>Loss (Val)</w:t>
            </w:r>
          </w:p>
        </w:tc>
        <w:tc>
          <w:tcPr>
            <w:tcW w:type="dxa" w:w="1560"/>
            <w:shd w:fill="D9E1F2"/>
          </w:tcPr>
          <w:p>
            <w:r>
              <w:rPr>
                <w:rFonts w:ascii="Arial" w:hAnsi="Arial"/>
                <w:b/>
                <w:sz w:val="20"/>
              </w:rPr>
              <w:t>Mean PR AUC (Train)</w:t>
            </w:r>
          </w:p>
        </w:tc>
        <w:tc>
          <w:tcPr>
            <w:tcW w:type="dxa" w:w="1560"/>
            <w:shd w:fill="D9E1F2"/>
          </w:tcPr>
          <w:p>
            <w:r>
              <w:rPr>
                <w:rFonts w:ascii="Arial" w:hAnsi="Arial"/>
                <w:b/>
                <w:sz w:val="20"/>
              </w:rPr>
              <w:t>Mean PR AUC (Val)</w:t>
            </w:r>
          </w:p>
        </w:tc>
      </w:tr>
      <w:tr>
        <w:tc>
          <w:tcPr>
            <w:tcW w:type="dxa" w:w="1560"/>
          </w:tcPr>
          <w:p>
            <w:r>
              <w:rPr>
                <w:rFonts w:ascii="Arial" w:hAnsi="Arial"/>
                <w:sz w:val="19"/>
              </w:rPr>
              <w:t>Fase 0 (Congelado) - Inicio</w:t>
            </w:r>
          </w:p>
        </w:tc>
        <w:tc>
          <w:tcPr>
            <w:tcW w:type="dxa" w:w="1560"/>
          </w:tcPr>
          <w:p>
            <w:r>
              <w:rPr>
                <w:rFonts w:ascii="Arial" w:hAnsi="Arial"/>
                <w:sz w:val="19"/>
              </w:rPr>
              <w:t>Época 1</w:t>
            </w:r>
          </w:p>
        </w:tc>
        <w:tc>
          <w:tcPr>
            <w:tcW w:type="dxa" w:w="1560"/>
          </w:tcPr>
          <w:p>
            <w:r>
              <w:rPr>
                <w:rFonts w:ascii="Arial" w:hAnsi="Arial"/>
                <w:sz w:val="19"/>
              </w:rPr>
              <w:t>0.7347</w:t>
            </w:r>
          </w:p>
        </w:tc>
        <w:tc>
          <w:tcPr>
            <w:tcW w:type="dxa" w:w="1560"/>
          </w:tcPr>
          <w:p>
            <w:r>
              <w:rPr>
                <w:rFonts w:ascii="Arial" w:hAnsi="Arial"/>
                <w:sz w:val="19"/>
              </w:rPr>
              <w:t>0.6749</w:t>
            </w:r>
          </w:p>
        </w:tc>
        <w:tc>
          <w:tcPr>
            <w:tcW w:type="dxa" w:w="1560"/>
          </w:tcPr>
          <w:p>
            <w:r>
              <w:rPr>
                <w:rFonts w:ascii="Arial" w:hAnsi="Arial"/>
                <w:sz w:val="19"/>
              </w:rPr>
              <w:t>0.639</w:t>
            </w:r>
          </w:p>
        </w:tc>
        <w:tc>
          <w:tcPr>
            <w:tcW w:type="dxa" w:w="1560"/>
          </w:tcPr>
          <w:p>
            <w:r>
              <w:rPr>
                <w:rFonts w:ascii="Arial" w:hAnsi="Arial"/>
                <w:sz w:val="19"/>
              </w:rPr>
              <w:t>0.638</w:t>
            </w:r>
          </w:p>
        </w:tc>
      </w:tr>
      <w:tr>
        <w:tc>
          <w:tcPr>
            <w:tcW w:type="dxa" w:w="1560"/>
            <w:shd w:fill="F2F2F2"/>
          </w:tcPr>
          <w:p>
            <w:r>
              <w:rPr>
                <w:rFonts w:ascii="Arial" w:hAnsi="Arial"/>
                <w:sz w:val="19"/>
              </w:rPr>
              <w:t>Fase 0 (Congelado) - Óptimo</w:t>
            </w:r>
          </w:p>
        </w:tc>
        <w:tc>
          <w:tcPr>
            <w:tcW w:type="dxa" w:w="1560"/>
            <w:shd w:fill="F2F2F2"/>
          </w:tcPr>
          <w:p>
            <w:r>
              <w:rPr>
                <w:rFonts w:ascii="Arial" w:hAnsi="Arial"/>
                <w:sz w:val="19"/>
              </w:rPr>
              <w:t>Época 7</w:t>
            </w:r>
          </w:p>
        </w:tc>
        <w:tc>
          <w:tcPr>
            <w:tcW w:type="dxa" w:w="1560"/>
            <w:shd w:fill="F2F2F2"/>
          </w:tcPr>
          <w:p>
            <w:r>
              <w:rPr>
                <w:rFonts w:ascii="Arial" w:hAnsi="Arial"/>
                <w:sz w:val="19"/>
              </w:rPr>
              <w:t>0.6835</w:t>
            </w:r>
          </w:p>
        </w:tc>
        <w:tc>
          <w:tcPr>
            <w:tcW w:type="dxa" w:w="1560"/>
            <w:shd w:fill="F2F2F2"/>
          </w:tcPr>
          <w:p>
            <w:r>
              <w:rPr>
                <w:rFonts w:ascii="Arial" w:hAnsi="Arial"/>
                <w:sz w:val="19"/>
              </w:rPr>
              <w:t>0.7312</w:t>
            </w:r>
          </w:p>
        </w:tc>
        <w:tc>
          <w:tcPr>
            <w:tcW w:type="dxa" w:w="1560"/>
            <w:shd w:fill="F2F2F2"/>
          </w:tcPr>
          <w:p>
            <w:r>
              <w:rPr>
                <w:rFonts w:ascii="Arial" w:hAnsi="Arial"/>
                <w:sz w:val="19"/>
              </w:rPr>
              <w:t>0.671</w:t>
            </w:r>
          </w:p>
        </w:tc>
        <w:tc>
          <w:tcPr>
            <w:tcW w:type="dxa" w:w="1560"/>
            <w:shd w:fill="F2F2F2"/>
          </w:tcPr>
          <w:p>
            <w:r>
              <w:rPr>
                <w:rFonts w:ascii="Arial" w:hAnsi="Arial"/>
                <w:sz w:val="19"/>
              </w:rPr>
              <w:t>0.664</w:t>
            </w:r>
          </w:p>
        </w:tc>
      </w:tr>
      <w:tr>
        <w:tc>
          <w:tcPr>
            <w:tcW w:type="dxa" w:w="1560"/>
          </w:tcPr>
          <w:p>
            <w:r>
              <w:rPr>
                <w:rFonts w:ascii="Arial" w:hAnsi="Arial"/>
                <w:sz w:val="19"/>
              </w:rPr>
              <w:t>Fase 0 (Congelado) - Cierre</w:t>
            </w:r>
          </w:p>
        </w:tc>
        <w:tc>
          <w:tcPr>
            <w:tcW w:type="dxa" w:w="1560"/>
          </w:tcPr>
          <w:p>
            <w:r>
              <w:rPr>
                <w:rFonts w:ascii="Arial" w:hAnsi="Arial"/>
                <w:sz w:val="19"/>
              </w:rPr>
              <w:t>Época 10</w:t>
            </w:r>
          </w:p>
        </w:tc>
        <w:tc>
          <w:tcPr>
            <w:tcW w:type="dxa" w:w="1560"/>
          </w:tcPr>
          <w:p>
            <w:r>
              <w:rPr>
                <w:rFonts w:ascii="Arial" w:hAnsi="Arial"/>
                <w:sz w:val="19"/>
              </w:rPr>
              <w:t>0.7256</w:t>
            </w:r>
          </w:p>
        </w:tc>
        <w:tc>
          <w:tcPr>
            <w:tcW w:type="dxa" w:w="1560"/>
          </w:tcPr>
          <w:p>
            <w:r>
              <w:rPr>
                <w:rFonts w:ascii="Arial" w:hAnsi="Arial"/>
                <w:sz w:val="19"/>
              </w:rPr>
              <w:t>0.7395</w:t>
            </w:r>
          </w:p>
        </w:tc>
        <w:tc>
          <w:tcPr>
            <w:tcW w:type="dxa" w:w="1560"/>
          </w:tcPr>
          <w:p>
            <w:r>
              <w:rPr>
                <w:rFonts w:ascii="Arial" w:hAnsi="Arial"/>
                <w:sz w:val="19"/>
              </w:rPr>
              <w:t>0.680</w:t>
            </w:r>
          </w:p>
        </w:tc>
        <w:tc>
          <w:tcPr>
            <w:tcW w:type="dxa" w:w="1560"/>
          </w:tcPr>
          <w:p>
            <w:r>
              <w:rPr>
                <w:rFonts w:ascii="Arial" w:hAnsi="Arial"/>
                <w:sz w:val="19"/>
              </w:rPr>
              <w:t>0.658</w:t>
            </w:r>
          </w:p>
        </w:tc>
      </w:tr>
      <w:tr>
        <w:tc>
          <w:tcPr>
            <w:tcW w:type="dxa" w:w="1560"/>
            <w:shd w:fill="F2F2F2"/>
          </w:tcPr>
          <w:p>
            <w:r>
              <w:rPr>
                <w:rFonts w:ascii="Arial" w:hAnsi="Arial"/>
                <w:sz w:val="19"/>
              </w:rPr>
              <w:t>Fase 1 (Descongelado)</w:t>
            </w:r>
          </w:p>
        </w:tc>
        <w:tc>
          <w:tcPr>
            <w:tcW w:type="dxa" w:w="1560"/>
            <w:shd w:fill="F2F2F2"/>
          </w:tcPr>
          <w:p>
            <w:r>
              <w:rPr>
                <w:rFonts w:ascii="Arial" w:hAnsi="Arial"/>
                <w:sz w:val="19"/>
              </w:rPr>
              <w:t>Época 1</w:t>
            </w:r>
          </w:p>
        </w:tc>
        <w:tc>
          <w:tcPr>
            <w:tcW w:type="dxa" w:w="1560"/>
            <w:shd w:fill="F2F2F2"/>
          </w:tcPr>
          <w:p>
            <w:r>
              <w:rPr>
                <w:rFonts w:ascii="Arial" w:hAnsi="Arial"/>
                <w:sz w:val="19"/>
              </w:rPr>
              <w:t>1.3987</w:t>
            </w:r>
          </w:p>
        </w:tc>
        <w:tc>
          <w:tcPr>
            <w:tcW w:type="dxa" w:w="1560"/>
            <w:shd w:fill="F2F2F2"/>
          </w:tcPr>
          <w:p>
            <w:r>
              <w:rPr>
                <w:rFonts w:ascii="Arial" w:hAnsi="Arial"/>
                <w:sz w:val="19"/>
              </w:rPr>
              <w:t>0.7215</w:t>
            </w:r>
          </w:p>
        </w:tc>
        <w:tc>
          <w:tcPr>
            <w:tcW w:type="dxa" w:w="1560"/>
            <w:shd w:fill="F2F2F2"/>
          </w:tcPr>
          <w:p>
            <w:r>
              <w:rPr>
                <w:rFonts w:ascii="Arial" w:hAnsi="Arial"/>
                <w:sz w:val="19"/>
              </w:rPr>
              <w:t>0.538</w:t>
            </w:r>
          </w:p>
        </w:tc>
        <w:tc>
          <w:tcPr>
            <w:tcW w:type="dxa" w:w="1560"/>
            <w:shd w:fill="F2F2F2"/>
          </w:tcPr>
          <w:p>
            <w:r>
              <w:rPr>
                <w:rFonts w:ascii="Arial" w:hAnsi="Arial"/>
                <w:sz w:val="19"/>
              </w:rPr>
              <w:t>0.518</w:t>
            </w:r>
          </w:p>
        </w:tc>
      </w:tr>
    </w:tbl>
    <w:p>
      <w:pPr>
        <w:spacing w:before="160"/>
      </w:pPr>
    </w:p>
    <w:p>
      <w:pPr>
        <w:keepNext/>
        <w:spacing w:before="280" w:after="120"/>
      </w:pPr>
      <w:r>
        <w:rPr>
          <w:rFonts w:ascii="Arial" w:hAnsi="Arial"/>
          <w:b/>
          <w:color w:val="1F4E78"/>
          <w:sz w:val="30"/>
        </w:rPr>
        <w:t>2. Desglose del Criterio de Precisión-Recall (PR AUC) por Clase Atmosférica</w:t>
      </w:r>
    </w:p>
    <w:p>
      <w:pPr>
        <w:spacing w:after="120" w:line="276" w:lineRule="auto"/>
      </w:pPr>
      <w:r>
        <w:rPr>
          <w:rFonts w:ascii="Arial" w:hAnsi="Arial"/>
          <w:color w:val="262626"/>
          <w:sz w:val="21"/>
        </w:rPr>
        <w:t>Debido al fuerte desbalance inherente en los patrones morfológicos nubosos, el análisis del área bajo la curva Precisión-Recall desagrega el rendimiento real del clasificador:</w:t>
      </w:r>
    </w:p>
    <w:p>
      <w:pPr>
        <w:pStyle w:val="ListBullet"/>
        <w:spacing w:after="120" w:line="276" w:lineRule="auto"/>
      </w:pPr>
      <w:r>
        <w:rPr>
          <w:rFonts w:ascii="Arial" w:hAnsi="Arial"/>
          <w:b/>
          <w:color w:val="262626"/>
          <w:sz w:val="21"/>
        </w:rPr>
        <w:t xml:space="preserve">Clase 'Sugar' (Patrón Predominante): </w:t>
      </w:r>
      <w:r>
        <w:rPr>
          <w:rFonts w:ascii="Arial" w:hAnsi="Arial"/>
          <w:color w:val="262626"/>
          <w:sz w:val="21"/>
        </w:rPr>
        <w:t>Demostró el desempeño más sobresaliente y consistente del sistema, alcanzando un PR AUC de 0.814 en entrenamiento y un pico de 0.795 en validación (Época 3). Esto indica que los parches correspondientes a formaciones de tipo 'azúcar' poseen un contraste y bordes macroscópicos que la matriz de atención logra aislar con facilidad, incluso sobre embeddings inicializados aleatoriamente.</w:t>
      </w:r>
    </w:p>
    <w:p>
      <w:pPr>
        <w:pStyle w:val="ListBullet"/>
        <w:spacing w:after="120" w:line="276" w:lineRule="auto"/>
      </w:pPr>
      <w:r>
        <w:rPr>
          <w:rFonts w:ascii="Arial" w:hAnsi="Arial"/>
          <w:b/>
          <w:color w:val="262626"/>
          <w:sz w:val="21"/>
        </w:rPr>
        <w:t xml:space="preserve">Clase 'Flower': </w:t>
      </w:r>
      <w:r>
        <w:rPr>
          <w:rFonts w:ascii="Arial" w:hAnsi="Arial"/>
          <w:color w:val="262626"/>
          <w:sz w:val="21"/>
        </w:rPr>
        <w:t>Mostró una progresión favorable durante la Fase 0, escalando desde un PR AUC inicial de 0.575 hasta un máximo en validación de 0.684 en la Época 9. Representa una de las tipologías con mejor respuesta al ajuste lineal del cabezal.</w:t>
      </w:r>
    </w:p>
    <w:p>
      <w:pPr>
        <w:pStyle w:val="ListBullet"/>
        <w:spacing w:after="120" w:line="276" w:lineRule="auto"/>
      </w:pPr>
      <w:r>
        <w:rPr>
          <w:rFonts w:ascii="Arial" w:hAnsi="Arial"/>
          <w:b/>
          <w:color w:val="262626"/>
          <w:sz w:val="21"/>
        </w:rPr>
        <w:t xml:space="preserve">Clase 'Gravel': </w:t>
      </w:r>
      <w:r>
        <w:rPr>
          <w:rFonts w:ascii="Arial" w:hAnsi="Arial"/>
          <w:color w:val="262626"/>
          <w:sz w:val="21"/>
        </w:rPr>
        <w:t>Presentó un estancamiento severo a lo largo de todo el experimento, oscilando rígidamente en un rango de PR AUC entre 0.643 y 0.654 en entrenamiento, y estabilizándose en 0.639 en validación, sin responder sensiblemente a las iteraciones.</w:t>
      </w:r>
    </w:p>
    <w:p>
      <w:pPr>
        <w:pStyle w:val="ListBullet"/>
        <w:spacing w:after="120" w:line="276" w:lineRule="auto"/>
      </w:pPr>
      <w:r>
        <w:rPr>
          <w:rFonts w:ascii="Arial" w:hAnsi="Arial"/>
          <w:b/>
          <w:color w:val="262626"/>
          <w:sz w:val="21"/>
        </w:rPr>
        <w:t xml:space="preserve">Clase 'Fish' (Falso Positivo Crítico): </w:t>
      </w:r>
      <w:r>
        <w:rPr>
          <w:rFonts w:ascii="Arial" w:hAnsi="Arial"/>
          <w:color w:val="262626"/>
          <w:sz w:val="21"/>
        </w:rPr>
        <w:t>Registró el peor desempeño absoluto de la red, limitándose a un PR AUC de validación de apenas 0.509 en la época de apertura y un máximo de 0.546. Su baja firma visual y el alto solapamiento con otras categorías limitan la capacidad de generalización del clasificador.</w:t>
      </w:r>
    </w:p>
    <w:p>
      <w:pPr>
        <w:keepNext/>
        <w:spacing w:before="280" w:after="120"/>
      </w:pPr>
      <w:r>
        <w:rPr>
          <w:rFonts w:ascii="Arial" w:hAnsi="Arial"/>
          <w:b/>
          <w:color w:val="1F4E78"/>
          <w:sz w:val="30"/>
        </w:rPr>
        <w:t>3. Diagnóstico Analítico y Anomalía de Convergencia en la Fase 1</w:t>
      </w:r>
    </w:p>
    <w:p>
      <w:pPr>
        <w:spacing w:after="120" w:line="276" w:lineRule="auto"/>
      </w:pPr>
      <w:r>
        <w:rPr>
          <w:rFonts w:ascii="Arial" w:hAnsi="Arial"/>
          <w:color w:val="262626"/>
          <w:sz w:val="21"/>
        </w:rPr>
        <w:t>El núcleo del informe radica en la interpretación científica del drástico quiebre observado al pasar de la Fase 0 a la Fase 1:</w:t>
      </w:r>
    </w:p>
    <w:p>
      <w:pPr>
        <w:pStyle w:val="ListBullet"/>
        <w:spacing w:after="120" w:line="276" w:lineRule="auto"/>
      </w:pPr>
      <w:r>
        <w:rPr>
          <w:rFonts w:ascii="Arial" w:hAnsi="Arial"/>
          <w:b/>
          <w:color w:val="262626"/>
          <w:sz w:val="21"/>
        </w:rPr>
        <w:t xml:space="preserve">Comportamiento en Fase 0 (Feature Extraction Aleatorio): </w:t>
      </w:r>
      <w:r>
        <w:rPr>
          <w:rFonts w:ascii="Arial" w:hAnsi="Arial"/>
          <w:color w:val="262626"/>
          <w:sz w:val="21"/>
        </w:rPr>
        <w:t>Durante las primeras 10 épocas, al mantener fijas las capas base, el optimizador únicamente ajustó los parámetros de la capa Dense de salida. Al operar sobre proyecciones aleatorias (ya que el ViT no contenía pesos preentrenados de ImageNet), el clasificador actuó como un discriminador lineal sobre un espacio de características estático pero estable, alcanzando un plateau artificial de validación de 0.664.</w:t>
      </w:r>
    </w:p>
    <w:p>
      <w:pPr>
        <w:pStyle w:val="ListBullet"/>
        <w:spacing w:after="120" w:line="276" w:lineRule="auto"/>
      </w:pPr>
      <w:r>
        <w:rPr>
          <w:rFonts w:ascii="Arial" w:hAnsi="Arial"/>
          <w:b/>
          <w:color w:val="262626"/>
          <w:sz w:val="21"/>
        </w:rPr>
        <w:t xml:space="preserve">Colapso en Fase 1 (Fine-Tuning Inestable): </w:t>
      </w:r>
      <w:r>
        <w:rPr>
          <w:rFonts w:ascii="Arial" w:hAnsi="Arial"/>
          <w:color w:val="262626"/>
          <w:sz w:val="21"/>
        </w:rPr>
        <w:t>Al definir base_layer.trainable = True en la época 11, la pérdida (Loss) de entrenamiento sufrió una explosión inmediata saltando a 1.3987, mientras que el PR AUC medio cayó catastróficamente a 0.518 en validación. Este fenómeno se fundamenta en que liberar las 12 pesadas capas de atención del Transformer con una tasa de aprendizaje alta (α = 0.01) y sin un periodo previo de calentamiento (Learning Rate Warmup) desestabilizó por completo las representaciones espaciales latentes que el cabezal Dense ya había memorizado, induciendo un olvido catastrófico y una degradación severa de los gradientes.</w:t>
      </w:r>
    </w:p>
    <w:p>
      <w:pPr>
        <w:keepNext/>
        <w:spacing w:before="280" w:after="120"/>
      </w:pPr>
      <w:r>
        <w:rPr>
          <w:rFonts w:ascii="Arial" w:hAnsi="Arial"/>
          <w:b/>
          <w:color w:val="1F4E78"/>
          <w:sz w:val="30"/>
        </w:rPr>
        <w:t>4. Conclusiones y Plan de Acción Académico</w:t>
      </w:r>
    </w:p>
    <w:p>
      <w:pPr>
        <w:spacing w:after="120" w:line="276" w:lineRule="auto"/>
      </w:pPr>
      <w:r>
        <w:rPr>
          <w:rFonts w:ascii="Arial" w:hAnsi="Arial"/>
          <w:color w:val="262626"/>
          <w:sz w:val="21"/>
        </w:rPr>
        <w:t>1. La arquitectura Vision Transformer nativa es altamente sensible a la escala de datos y a la inicialización. El experimento demuestra que entrenar un ViT desde cero con parámetros aleatorios bajo optimizadores estándar sin restricciones estrictas degrada la convergencia.</w:t>
      </w:r>
    </w:p>
    <w:p>
      <w:pPr>
        <w:spacing w:after="120" w:line="276" w:lineRule="auto"/>
      </w:pPr>
      <w:r>
        <w:rPr>
          <w:rFonts w:ascii="Arial" w:hAnsi="Arial"/>
          <w:color w:val="262626"/>
          <w:sz w:val="21"/>
        </w:rPr>
        <w:t>2. El coeficiente Dice implementado cumplió su rol de control en la estructura matemática, pero se ve opacado por la inestabilidad en el cálculo de probabilidades base de la red.</w:t>
      </w:r>
    </w:p>
    <w:p>
      <w:pPr>
        <w:spacing w:after="120" w:line="276" w:lineRule="auto"/>
      </w:pPr>
      <w:r>
        <w:rPr>
          <w:rFonts w:ascii="Arial" w:hAnsi="Arial"/>
          <w:color w:val="262626"/>
          <w:sz w:val="21"/>
        </w:rPr>
        <w:t>3. Recomendación Prioritaria: Para revertir la caída de la Fase 1 y superar la barrera del 0.66 de PR AUC, es obligatorio: (a) re-entrenar la Fase 1 utilizando una tasa de aprendizaje reducida en al menos dos órdenes de magnitud (α = 1e-4 o 5e-5), y (b) acoplar un esquema de inicialización por transferencia de conocimiento (Transfer Learning) importando un backbone de ViT con pesos consolidados.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