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Transformer Encoder-Decoder</w:t>
      </w:r>
    </w:p>
    <w:p>
      <w:pPr>
        <w:spacing w:after="240"/>
        <w:jc w:val="center"/>
      </w:pPr>
      <w:r>
        <w:rPr>
          <w:rFonts w:ascii="Arial" w:cs="Arial" w:eastAsia="Arial" w:hAnsi="Arial"/>
          <w:color w:val="2E75B6"/>
          <w:sz w:val="36"/>
          <w:szCs w:val="36"/>
        </w:rPr>
        <w:t xml:space="preserve">Segmentación Semántica de Nubes Satelitales</w:t>
      </w:r>
    </w:p>
    <w:p>
      <w:pPr>
        <w:spacing w:after="180"/>
        <w:jc w:val="center"/>
      </w:pPr>
      <w:r>
        <w:rPr>
          <w:rFonts w:ascii="Arial" w:cs="Arial" w:eastAsia="Arial" w:hAnsi="Arial"/>
          <w:i/>
          <w:iCs/>
          <w:color w:val="555555"/>
          <w:sz w:val="26"/>
          <w:szCs w:val="26"/>
        </w:rPr>
        <w:t xml:space="preserve">Understanding Clouds from Satellite Images</w:t>
      </w:r>
    </w:p>
    <w:p>
      <w:pPr>
        <w:spacing w:after="2400"/>
        <w:jc w:val="center"/>
      </w:pPr>
      <w:r>
        <w:rPr>
          <w:rFonts w:ascii="Arial" w:cs="Arial" w:eastAsia="Arial" w:hAnsi="Arial"/>
          <w:color w:val="888888"/>
          <w:sz w:val="22"/>
          <w:szCs w:val="22"/>
        </w:rPr>
        <w:t xml:space="preserve">Reporte Técnico — 2026</w:t>
      </w:r>
    </w:p>
    <w:p>
      <w:r>
        <w:br w:type="page"/>
      </w:r>
    </w:p>
    <w:p>
      <w:pPr>
        <w:pStyle w:val="Heading1"/>
        <w:spacing w:after="160" w:before="320"/>
      </w:pPr>
      <w:r>
        <w:rPr>
          <w:rFonts w:ascii="Arial" w:cs="Arial" w:eastAsia="Arial" w:hAnsi="Arial"/>
          <w:b/>
          <w:bCs/>
          <w:color w:val="1F4E79"/>
          <w:sz w:val="32"/>
          <w:szCs w:val="32"/>
        </w:rPr>
        <w:t xml:space="preserve">1. Descripción del Problema</w:t>
      </w:r>
    </w:p>
    <w:p>
      <w:pPr>
        <w:spacing w:after="120"/>
      </w:pPr>
      <w:r>
        <w:rPr>
          <w:rFonts w:ascii="Arial" w:cs="Arial" w:eastAsia="Arial" w:hAnsi="Arial"/>
          <w:sz w:val="22"/>
          <w:szCs w:val="22"/>
        </w:rPr>
        <w:t xml:space="preserve">Este proyecto aborda la segmentación semántica multilabel de nubes satelitales utilizando el dataset de la competencia Understanding Clouds from Satellite Images (Kaggle). El objetivo es entrenar un modelo basado en arquitectura Transformer capaz de, dada una imagen RGB satelital, producir cuatro máscaras binarias independientes, una por cada tipo de formación nubosa.</w:t>
      </w:r>
    </w:p>
    <w:p>
      <w:pPr>
        <w:spacing w:after="120"/>
      </w:pPr>
      <w:r>
        <w:rPr>
          <w:rFonts w:ascii="Arial" w:cs="Arial" w:eastAsia="Arial" w:hAnsi="Arial"/>
          <w:sz w:val="22"/>
          <w:szCs w:val="22"/>
        </w:rPr>
        <w:t xml:space="preserve">Las cuatro clases objetivo son:</w:t>
      </w:r>
    </w:p>
    <w:p>
      <w:pPr>
        <w:pStyle w:val="ListParagraph"/>
        <w:numPr>
          <w:ilvl w:val="0"/>
          <w:numId w:val="2"/>
        </w:numPr>
        <w:spacing w:after="80"/>
      </w:pPr>
      <w:r>
        <w:rPr>
          <w:rFonts w:ascii="Arial" w:cs="Arial" w:eastAsia="Arial" w:hAnsi="Arial"/>
          <w:sz w:val="22"/>
          <w:szCs w:val="22"/>
        </w:rPr>
        <w:t xml:space="preserve">Fish: patrones de nubes con forma de pez, asociados a convección celular cerrada</w:t>
      </w:r>
    </w:p>
    <w:p>
      <w:pPr>
        <w:pStyle w:val="ListParagraph"/>
        <w:numPr>
          <w:ilvl w:val="0"/>
          <w:numId w:val="2"/>
        </w:numPr>
        <w:spacing w:after="80"/>
      </w:pPr>
      <w:r>
        <w:rPr>
          <w:rFonts w:ascii="Arial" w:cs="Arial" w:eastAsia="Arial" w:hAnsi="Arial"/>
          <w:sz w:val="22"/>
          <w:szCs w:val="22"/>
        </w:rPr>
        <w:t xml:space="preserve">Flower: estructuras convectivas circulares o en roseta</w:t>
      </w:r>
    </w:p>
    <w:p>
      <w:pPr>
        <w:pStyle w:val="ListParagraph"/>
        <w:numPr>
          <w:ilvl w:val="0"/>
          <w:numId w:val="2"/>
        </w:numPr>
        <w:spacing w:after="80"/>
      </w:pPr>
      <w:r>
        <w:rPr>
          <w:rFonts w:ascii="Arial" w:cs="Arial" w:eastAsia="Arial" w:hAnsi="Arial"/>
          <w:sz w:val="22"/>
          <w:szCs w:val="22"/>
        </w:rPr>
        <w:t xml:space="preserve">Gravel: texturas granulares propias de convección abierta</w:t>
      </w:r>
    </w:p>
    <w:p>
      <w:pPr>
        <w:pStyle w:val="ListParagraph"/>
        <w:numPr>
          <w:ilvl w:val="0"/>
          <w:numId w:val="2"/>
        </w:numPr>
        <w:spacing w:after="80"/>
      </w:pPr>
      <w:r>
        <w:rPr>
          <w:rFonts w:ascii="Arial" w:cs="Arial" w:eastAsia="Arial" w:hAnsi="Arial"/>
          <w:sz w:val="22"/>
          <w:szCs w:val="22"/>
        </w:rPr>
        <w:t xml:space="preserve">Sugar: nubes delgadas y desorganizadas de convección somera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Cada imagen puede contener cero, una o varias clases simultáneamente, configurando una tarea de segmentación multilabel a nivel de píxel. Las anotaciones se suministran en formato RLE (Run-Length Encoding) y son decodificadas a matrices binarias durante el preprocesamiento.</w:t>
      </w:r>
    </w:p>
    <w:p>
      <w:pPr>
        <w:pStyle w:val="Heading1"/>
        <w:spacing w:after="160" w:before="320"/>
      </w:pPr>
      <w:r>
        <w:rPr>
          <w:rFonts w:ascii="Arial" w:cs="Arial" w:eastAsia="Arial" w:hAnsi="Arial"/>
          <w:b/>
          <w:bCs/>
          <w:color w:val="1F4E79"/>
          <w:sz w:val="32"/>
          <w:szCs w:val="32"/>
        </w:rPr>
        <w:t xml:space="preserve">2. Configuración Experimental</w:t>
      </w:r>
    </w:p>
    <w:p>
      <w:pPr>
        <w:pStyle w:val="Heading2"/>
        <w:spacing w:after="120" w:before="240"/>
      </w:pPr>
      <w:r>
        <w:rPr>
          <w:rFonts w:ascii="Arial" w:cs="Arial" w:eastAsia="Arial" w:hAnsi="Arial"/>
          <w:b/>
          <w:bCs/>
          <w:color w:val="2E75B6"/>
          <w:sz w:val="26"/>
          <w:szCs w:val="26"/>
        </w:rPr>
        <w:t xml:space="preserve">2.1 Hiperparámetros</w:t>
      </w:r>
    </w:p>
    <w:p>
      <w:pPr>
        <w:spacing w:after="120"/>
      </w:pPr>
      <w:r>
        <w:rPr>
          <w:rFonts w:ascii="Arial" w:cs="Arial" w:eastAsia="Arial" w:hAnsi="Arial"/>
          <w:sz w:val="22"/>
          <w:szCs w:val="22"/>
        </w:rPr>
        <w:t xml:space="preserve">La siguiente tabla resume los parámetros de configuración del experimento: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Épocas máximas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Tamaño de batch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Resolución de entrada (img_size)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384 × 384 px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Tamaño de parche (patch_size)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 × 16 px</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Dimensión de embedding (embed_dim)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Número de cabezas de atención (num_heads)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Capas Transformer (num_layers)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Dimensión MLP interna (mlp_dim)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512</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Dropout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Learning rate inicial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 10⁻⁴</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Learning rate máximo (OneCycleLR)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 × 10⁻⁴</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Fracción de validación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Threshold inicial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Paciencia early stopping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 épocas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Min delta early stopping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Weight decay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 × 10⁻⁵</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Grad clipping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Mixed precision (AMP)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Activado</w:t>
            </w:r>
          </w:p>
        </w:tc>
      </w:tr>
    </w:tbl>
    <w:p>
      <w:r>
        <w:br w:type="page"/>
      </w:r>
    </w:p>
    <w:p>
      <w:pPr>
        <w:pStyle w:val="Heading1"/>
        <w:spacing w:after="160" w:before="320"/>
      </w:pPr>
      <w:r>
        <w:rPr>
          <w:rFonts w:ascii="Arial" w:cs="Arial" w:eastAsia="Arial" w:hAnsi="Arial"/>
          <w:b/>
          <w:bCs/>
          <w:color w:val="1F4E79"/>
          <w:sz w:val="32"/>
          <w:szCs w:val="32"/>
        </w:rPr>
        <w:t xml:space="preserve">3. Dataset y Preparación de Datos</w:t>
      </w:r>
    </w:p>
    <w:p>
      <w:pPr>
        <w:pStyle w:val="Heading2"/>
        <w:spacing w:after="120" w:before="240"/>
      </w:pPr>
      <w:r>
        <w:rPr>
          <w:rFonts w:ascii="Arial" w:cs="Arial" w:eastAsia="Arial" w:hAnsi="Arial"/>
          <w:b/>
          <w:bCs/>
          <w:color w:val="2E75B6"/>
          <w:sz w:val="26"/>
          <w:szCs w:val="26"/>
        </w:rPr>
        <w:t xml:space="preserve">3.1 Distribución de Clases</w:t>
      </w:r>
    </w:p>
    <w:p>
      <w:pPr>
        <w:spacing w:after="120"/>
      </w:pPr>
      <w:r>
        <w:rPr>
          <w:rFonts w:ascii="Arial" w:cs="Arial" w:eastAsia="Arial" w:hAnsi="Arial"/>
          <w:sz w:val="22"/>
          <w:szCs w:val="22"/>
        </w:rPr>
        <w:t xml:space="preserve">El dataset fue dividido en conjuntos de entrenamiento y validación con proporción 80/20, aplicando estratificación sobre el número de clases por imagen (num_labels) para garantizar representación balanceada en ambas particiones.</w:t>
      </w:r>
    </w:p>
    <w:p>
      <w:pPr>
        <w:spacing w:after="80"/>
      </w:pPr>
    </w:p>
    <w:p>
      <w:pPr>
        <w:spacing w:after="60" w:before="120"/>
        <w:jc w:val="center"/>
      </w:pPr>
      <w:r>
        <w:drawing>
          <wp:inline distT="0" distB="0" distL="0" distR="0">
            <wp:extent cx="3619500" cy="1905000"/>
            <wp:effectExtent t="0" r="0" b="0" l="0"/>
            <wp:docPr id="1" name="Distribución de clases" descr="Distribución de clases" title="Distribución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050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1. Distribución proporcional de num_labels en entrenamiento (4,436 imágenes) y validación (1,110 imágenes). Las proporciones son casi idénticas en ambas particiones, confirmando la estratificación correcta.</w:t>
      </w:r>
    </w:p>
    <w:p>
      <w:pPr>
        <w:pStyle w:val="Heading2"/>
        <w:spacing w:after="120" w:before="240"/>
      </w:pPr>
      <w:r>
        <w:rPr>
          <w:rFonts w:ascii="Arial" w:cs="Arial" w:eastAsia="Arial" w:hAnsi="Arial"/>
          <w:b/>
          <w:bCs/>
          <w:color w:val="2E75B6"/>
          <w:sz w:val="26"/>
          <w:szCs w:val="26"/>
        </w:rPr>
        <w:t xml:space="preserve">3.2 Verificación de Batches</w:t>
      </w:r>
    </w:p>
    <w:p>
      <w:pPr>
        <w:spacing w:after="120"/>
      </w:pPr>
      <w:r>
        <w:rPr>
          <w:rFonts w:ascii="Arial" w:cs="Arial" w:eastAsia="Arial" w:hAnsi="Arial"/>
          <w:sz w:val="22"/>
          <w:szCs w:val="22"/>
        </w:rPr>
        <w:t xml:space="preserve">Los DataLoaders generan batches con dimensiones [4, 3, 384, 384] para imágenes y [4, 4, 384, 384] para máscaras (batch_size=4, menor que el modelo CNN anterior para acomodar la mayor demanda de memoria del Transformer).</w:t>
      </w:r>
    </w:p>
    <w:p>
      <w:pPr>
        <w:spacing w:after="60" w:before="120"/>
        <w:jc w:val="center"/>
      </w:pPr>
      <w:r>
        <w:drawing>
          <wp:inline distT="0" distB="0" distL="0" distR="0">
            <wp:extent cx="3619500" cy="762000"/>
            <wp:effectExtent t="0" r="0" b="0" l="0"/>
            <wp:docPr id="1" name="Batch shapes" descr="Batch shapes" title="Batch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7620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2. Dimensiones verificadas de un batch de entrenamiento: imágenes [4, 3, 384, 384] y máscaras [4, 4, 384, 384].</w:t>
      </w:r>
    </w:p>
    <w:p>
      <w:pPr>
        <w:pStyle w:val="Heading2"/>
        <w:spacing w:after="120" w:before="240"/>
      </w:pPr>
      <w:r>
        <w:rPr>
          <w:rFonts w:ascii="Arial" w:cs="Arial" w:eastAsia="Arial" w:hAnsi="Arial"/>
          <w:b/>
          <w:bCs/>
          <w:color w:val="2E75B6"/>
          <w:sz w:val="26"/>
          <w:szCs w:val="26"/>
        </w:rPr>
        <w:t xml:space="preserve">3.3 Preprocesamiento y Aumentación</w:t>
      </w:r>
    </w:p>
    <w:p>
      <w:pPr>
        <w:spacing w:after="120"/>
      </w:pPr>
      <w:r>
        <w:rPr>
          <w:rFonts w:ascii="Arial" w:cs="Arial" w:eastAsia="Arial" w:hAnsi="Arial"/>
          <w:sz w:val="22"/>
          <w:szCs w:val="22"/>
        </w:rPr>
        <w:t xml:space="preserve">El preprocesamiento es idéntico al del modelo CNN de referencia: lectura BGR con OpenCV, conversión a RGB, redimensionado a 384 × 384 px, normalización al rango [0, 1] y decodificación de máscaras RLE en formato column-major con interpolación NEAREST_NEIGHBOR.</w:t>
      </w:r>
    </w:p>
    <w:p>
      <w:pPr>
        <w:spacing w:after="120"/>
      </w:pPr>
      <w:r>
        <w:rPr>
          <w:rFonts w:ascii="Arial" w:cs="Arial" w:eastAsia="Arial" w:hAnsi="Arial"/>
          <w:sz w:val="22"/>
          <w:szCs w:val="22"/>
        </w:rPr>
        <w:t xml:space="preserve">Las aumentaciones aplicadas durante entrenamiento son:</w:t>
      </w:r>
    </w:p>
    <w:p>
      <w:pPr>
        <w:pStyle w:val="ListParagraph"/>
        <w:numPr>
          <w:ilvl w:val="0"/>
          <w:numId w:val="2"/>
        </w:numPr>
        <w:spacing w:after="80"/>
      </w:pPr>
      <w:r>
        <w:rPr>
          <w:rFonts w:ascii="Arial" w:cs="Arial" w:eastAsia="Arial" w:hAnsi="Arial"/>
          <w:sz w:val="22"/>
          <w:szCs w:val="22"/>
        </w:rPr>
        <w:t xml:space="preserve">Flip horizontal (p = 0.5) y vertical (p = 0.5)</w:t>
      </w:r>
    </w:p>
    <w:p>
      <w:pPr>
        <w:pStyle w:val="ListParagraph"/>
        <w:numPr>
          <w:ilvl w:val="0"/>
          <w:numId w:val="2"/>
        </w:numPr>
        <w:spacing w:after="80"/>
      </w:pPr>
      <w:r>
        <w:rPr>
          <w:rFonts w:ascii="Arial" w:cs="Arial" w:eastAsia="Arial" w:hAnsi="Arial"/>
          <w:sz w:val="22"/>
          <w:szCs w:val="22"/>
        </w:rPr>
        <w:t xml:space="preserve">Rotación aleatoria en 90°, 180° o 270° (p = 0.5)</w:t>
      </w:r>
    </w:p>
    <w:p>
      <w:pPr>
        <w:pStyle w:val="ListParagraph"/>
        <w:numPr>
          <w:ilvl w:val="0"/>
          <w:numId w:val="2"/>
        </w:numPr>
        <w:spacing w:after="80"/>
      </w:pPr>
      <w:r>
        <w:rPr>
          <w:rFonts w:ascii="Arial" w:cs="Arial" w:eastAsia="Arial" w:hAnsi="Arial"/>
          <w:sz w:val="22"/>
          <w:szCs w:val="22"/>
        </w:rPr>
        <w:t xml:space="preserve">Variación de brillo ±20% (p = 0.4)</w:t>
      </w:r>
    </w:p>
    <w:p>
      <w:pPr>
        <w:pStyle w:val="ListParagraph"/>
        <w:numPr>
          <w:ilvl w:val="0"/>
          <w:numId w:val="2"/>
        </w:numPr>
        <w:spacing w:after="80"/>
      </w:pPr>
      <w:r>
        <w:rPr>
          <w:rFonts w:ascii="Arial" w:cs="Arial" w:eastAsia="Arial" w:hAnsi="Arial"/>
          <w:sz w:val="22"/>
          <w:szCs w:val="22"/>
        </w:rPr>
        <w:t xml:space="preserve">Ajuste de contraste ±20% (p = 0.3)</w:t>
      </w:r>
    </w:p>
    <w:p>
      <w:pPr>
        <w:pStyle w:val="ListParagraph"/>
        <w:numPr>
          <w:ilvl w:val="0"/>
          <w:numId w:val="2"/>
        </w:numPr>
        <w:spacing w:after="80"/>
      </w:pPr>
      <w:r>
        <w:rPr>
          <w:rFonts w:ascii="Arial" w:cs="Arial" w:eastAsia="Arial" w:hAnsi="Arial"/>
          <w:sz w:val="22"/>
          <w:szCs w:val="22"/>
        </w:rPr>
        <w:t xml:space="preserve">Corrección gamma en rango [0.85, 1.15] (p = 0.2)</w:t>
      </w:r>
    </w:p>
    <w:p>
      <w:pPr>
        <w:pStyle w:val="ListParagraph"/>
        <w:numPr>
          <w:ilvl w:val="0"/>
          <w:numId w:val="2"/>
        </w:numPr>
        <w:spacing w:after="80"/>
      </w:pPr>
      <w:r>
        <w:rPr>
          <w:rFonts w:ascii="Arial" w:cs="Arial" w:eastAsia="Arial" w:hAnsi="Arial"/>
          <w:sz w:val="22"/>
          <w:szCs w:val="22"/>
        </w:rPr>
        <w:t xml:space="preserve">Ruido gaussiano suave σ = 0.015 (p = 0.15)</w:t>
      </w:r>
    </w:p>
    <w:p>
      <w:r>
        <w:br w:type="page"/>
      </w:r>
    </w:p>
    <w:p>
      <w:pPr>
        <w:pStyle w:val="Heading1"/>
        <w:spacing w:after="160" w:before="320"/>
      </w:pPr>
      <w:r>
        <w:rPr>
          <w:rFonts w:ascii="Arial" w:cs="Arial" w:eastAsia="Arial" w:hAnsi="Arial"/>
          <w:b/>
          <w:bCs/>
          <w:color w:val="1F4E79"/>
          <w:sz w:val="32"/>
          <w:szCs w:val="32"/>
        </w:rPr>
        <w:t xml:space="preserve">4. Arquitectura del Modelo — TransformerSegmenter</w:t>
      </w:r>
    </w:p>
    <w:p>
      <w:pPr>
        <w:spacing w:after="120"/>
      </w:pPr>
      <w:r>
        <w:rPr>
          <w:rFonts w:ascii="Arial" w:cs="Arial" w:eastAsia="Arial" w:hAnsi="Arial"/>
          <w:sz w:val="22"/>
          <w:szCs w:val="22"/>
        </w:rPr>
        <w:t xml:space="preserve">Se implementó una arquitectura híbrida ViT-style desde cero bajo la clase TransformerSegmenter, sin pesos preentrenados. El modelo combina un encoder basado en mecanismo de auto-atención (Transformer) con un decoder completamente convolucional que recupera la resolución espacial original.</w:t>
      </w:r>
    </w:p>
    <w:p>
      <w:pPr>
        <w:spacing w:after="120"/>
      </w:pPr>
      <w:r>
        <w:rPr>
          <w:rFonts w:ascii="Arial" w:cs="Arial" w:eastAsia="Arial" w:hAnsi="Arial"/>
          <w:sz w:val="22"/>
          <w:szCs w:val="22"/>
        </w:rPr>
        <w:t xml:space="preserve">El flujo general es: imagen RGB → división en parches → embedding lineal → codificación posicional → encoder Transformer → reshape a mapa 2D → decoder convolucional → 4 máscaras de salida.</w:t>
      </w:r>
    </w:p>
    <w:p>
      <w:pPr>
        <w:pStyle w:val="Heading2"/>
        <w:spacing w:after="120" w:before="240"/>
      </w:pPr>
      <w:r>
        <w:rPr>
          <w:rFonts w:ascii="Arial" w:cs="Arial" w:eastAsia="Arial" w:hAnsi="Arial"/>
          <w:b/>
          <w:bCs/>
          <w:color w:val="2E75B6"/>
          <w:sz w:val="26"/>
          <w:szCs w:val="26"/>
        </w:rPr>
        <w:t xml:space="preserve">4.1 Módulo PatchEmbedding</w:t>
      </w:r>
    </w:p>
    <w:p>
      <w:pPr>
        <w:spacing w:after="120"/>
      </w:pPr>
      <w:r>
        <w:rPr>
          <w:rFonts w:ascii="Arial" w:cs="Arial" w:eastAsia="Arial" w:hAnsi="Arial"/>
          <w:sz w:val="22"/>
          <w:szCs w:val="22"/>
        </w:rPr>
        <w:t xml:space="preserve">La imagen de entrada (3 × 384 × 384) se divide en parches de 16 × 16 px mediante una convolución 2D con kernel_size=16 y stride=16, produciendo un mapa de 24 × 24 = 576 tokens. Cada token tiene dimensión embed_dim=256, equivalente a la proyección lineal de ViT. No se aplica bias (coherente con la normalización posterior).</w:t>
      </w:r>
    </w:p>
    <w:p>
      <w:pPr>
        <w:pStyle w:val="Heading2"/>
        <w:spacing w:after="120" w:before="240"/>
      </w:pPr>
      <w:r>
        <w:rPr>
          <w:rFonts w:ascii="Arial" w:cs="Arial" w:eastAsia="Arial" w:hAnsi="Arial"/>
          <w:b/>
          <w:bCs/>
          <w:color w:val="2E75B6"/>
          <w:sz w:val="26"/>
          <w:szCs w:val="26"/>
        </w:rPr>
        <w:t xml:space="preserve">4.2 Codificación Posicional</w:t>
      </w:r>
    </w:p>
    <w:p>
      <w:pPr>
        <w:spacing w:after="120"/>
      </w:pPr>
      <w:r>
        <w:rPr>
          <w:rFonts w:ascii="Arial" w:cs="Arial" w:eastAsia="Arial" w:hAnsi="Arial"/>
          <w:sz w:val="22"/>
          <w:szCs w:val="22"/>
        </w:rPr>
        <w:t xml:space="preserve">Se usa un embedding posicional aprendible (nn.Parameter, init trunc_normal_ σ=0.02) de forma [1, 576, 256], sumado directamente a los tokens antes del encoder. Esta es la estrategia estándar de ViT, donde el modelo aprende la posición relativa de cada parche en lugar de usar codificación sinusoidal fija.</w:t>
      </w:r>
    </w:p>
    <w:p>
      <w:pPr>
        <w:pStyle w:val="Heading2"/>
        <w:spacing w:after="120" w:before="240"/>
      </w:pPr>
      <w:r>
        <w:rPr>
          <w:rFonts w:ascii="Arial" w:cs="Arial" w:eastAsia="Arial" w:hAnsi="Arial"/>
          <w:b/>
          <w:bCs/>
          <w:color w:val="2E75B6"/>
          <w:sz w:val="26"/>
          <w:szCs w:val="26"/>
        </w:rPr>
        <w:t xml:space="preserve">4.3 Encoder Transformer</w:t>
      </w:r>
    </w:p>
    <w:p>
      <w:pPr>
        <w:spacing w:after="120"/>
      </w:pPr>
      <w:r>
        <w:rPr>
          <w:rFonts w:ascii="Arial" w:cs="Arial" w:eastAsia="Arial" w:hAnsi="Arial"/>
          <w:sz w:val="22"/>
          <w:szCs w:val="22"/>
        </w:rPr>
        <w:t xml:space="preserve">Se apilan 4 capas TransformerEncoderLayer con las siguientes características:</w:t>
      </w:r>
    </w:p>
    <w:p>
      <w:pPr>
        <w:pStyle w:val="ListParagraph"/>
        <w:numPr>
          <w:ilvl w:val="0"/>
          <w:numId w:val="2"/>
        </w:numPr>
        <w:spacing w:after="80"/>
      </w:pPr>
      <w:r>
        <w:rPr>
          <w:rFonts w:ascii="Arial" w:cs="Arial" w:eastAsia="Arial" w:hAnsi="Arial"/>
          <w:sz w:val="22"/>
          <w:szCs w:val="22"/>
        </w:rPr>
        <w:t xml:space="preserve">d_model = 256, nhead = 8 → dimensión por cabeza = 32</w:t>
      </w:r>
    </w:p>
    <w:p>
      <w:pPr>
        <w:pStyle w:val="ListParagraph"/>
        <w:numPr>
          <w:ilvl w:val="0"/>
          <w:numId w:val="2"/>
        </w:numPr>
        <w:spacing w:after="80"/>
      </w:pPr>
      <w:r>
        <w:rPr>
          <w:rFonts w:ascii="Arial" w:cs="Arial" w:eastAsia="Arial" w:hAnsi="Arial"/>
          <w:sz w:val="22"/>
          <w:szCs w:val="22"/>
        </w:rPr>
        <w:t xml:space="preserve">dim_feedforward = 512 (mlp_dim)</w:t>
      </w:r>
    </w:p>
    <w:p>
      <w:pPr>
        <w:pStyle w:val="ListParagraph"/>
        <w:numPr>
          <w:ilvl w:val="0"/>
          <w:numId w:val="2"/>
        </w:numPr>
        <w:spacing w:after="80"/>
      </w:pPr>
      <w:r>
        <w:rPr>
          <w:rFonts w:ascii="Arial" w:cs="Arial" w:eastAsia="Arial" w:hAnsi="Arial"/>
          <w:sz w:val="22"/>
          <w:szCs w:val="22"/>
        </w:rPr>
        <w:t xml:space="preserve">Activación GELU (más suave que ReLU, estándar en Transformers)</w:t>
      </w:r>
    </w:p>
    <w:p>
      <w:pPr>
        <w:pStyle w:val="ListParagraph"/>
        <w:numPr>
          <w:ilvl w:val="0"/>
          <w:numId w:val="2"/>
        </w:numPr>
        <w:spacing w:after="80"/>
      </w:pPr>
      <w:r>
        <w:rPr>
          <w:rFonts w:ascii="Arial" w:cs="Arial" w:eastAsia="Arial" w:hAnsi="Arial"/>
          <w:sz w:val="22"/>
          <w:szCs w:val="22"/>
        </w:rPr>
        <w:t xml:space="preserve">Pre-Norm (norm_first=True): LayerNorm aplicada antes de atención y FFN, más estable que Post-Norm</w:t>
      </w:r>
    </w:p>
    <w:p>
      <w:pPr>
        <w:pStyle w:val="ListParagraph"/>
        <w:numPr>
          <w:ilvl w:val="0"/>
          <w:numId w:val="2"/>
        </w:numPr>
        <w:spacing w:after="80"/>
      </w:pPr>
      <w:r>
        <w:rPr>
          <w:rFonts w:ascii="Arial" w:cs="Arial" w:eastAsia="Arial" w:hAnsi="Arial"/>
          <w:sz w:val="22"/>
          <w:szCs w:val="22"/>
        </w:rPr>
        <w:t xml:space="preserve">Dropout = 10% en atención y FFN</w:t>
      </w:r>
    </w:p>
    <w:p>
      <w:pPr>
        <w:pStyle w:val="ListParagraph"/>
        <w:numPr>
          <w:ilvl w:val="0"/>
          <w:numId w:val="2"/>
        </w:numPr>
        <w:spacing w:after="80"/>
      </w:pPr>
      <w:r>
        <w:rPr>
          <w:rFonts w:ascii="Arial" w:cs="Arial" w:eastAsia="Arial" w:hAnsi="Arial"/>
          <w:sz w:val="22"/>
          <w:szCs w:val="22"/>
        </w:rPr>
        <w:t xml:space="preserve">batch_first=True para eficiencia en PyTorch</w:t>
      </w:r>
    </w:p>
    <w:p>
      <w:pPr>
        <w:pStyle w:val="Heading2"/>
        <w:spacing w:after="120" w:before="240"/>
      </w:pPr>
      <w:r>
        <w:rPr>
          <w:rFonts w:ascii="Arial" w:cs="Arial" w:eastAsia="Arial" w:hAnsi="Arial"/>
          <w:b/>
          <w:bCs/>
          <w:color w:val="2E75B6"/>
          <w:sz w:val="26"/>
          <w:szCs w:val="26"/>
        </w:rPr>
        <w:t xml:space="preserve">4.4 Decoder Convolucional</w:t>
      </w:r>
    </w:p>
    <w:p>
      <w:pPr>
        <w:spacing w:after="120"/>
      </w:pPr>
      <w:r>
        <w:rPr>
          <w:rFonts w:ascii="Arial" w:cs="Arial" w:eastAsia="Arial" w:hAnsi="Arial"/>
          <w:sz w:val="22"/>
          <w:szCs w:val="22"/>
        </w:rPr>
        <w:t xml:space="preserve">Los tokens de salida del Transformer (576 × 256) se reorganizan en un tensor 2D (256 × 24 × 24) y se procesan por un decoder de cuatro etapas de upsampling ×2, cada una con ConvTranspose2d → BatchNorm2d → ReLU: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Módulo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Entrada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Salida</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Dropout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PatchEmbedding (Conv2d 16×16, s=16)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 (RGB)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256</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576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 Embedding (aprendible)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576 × 256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576 × 256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TransformerEncoder × 4 (GELU, Pre-Norm)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576 × 256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576 × 256</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Reshape a mapa 2D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576 × 256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 × 24 × 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ConvTranspose2d ×2 (256→256)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256 × 24 × 24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256 × 48 × 48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ConvTranspose2d ×2 (256→128)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 × 48 × 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 × 96 × 96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ConvTranspose2d ×2 (128→64)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128 × 96 × 96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64 × 192 × 192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ConvTranspose2d ×2 (64→32)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 × 192 × 192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 × 384 × 384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Conv2d 1×1 (final)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32 × 384 × 384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 × 384 × 384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120"/>
      </w:pPr>
    </w:p>
    <w:p>
      <w:pPr>
        <w:spacing w:after="120"/>
      </w:pPr>
      <w:r>
        <w:rPr>
          <w:rFonts w:ascii="Arial" w:cs="Arial" w:eastAsia="Arial" w:hAnsi="Arial"/>
          <w:sz w:val="22"/>
          <w:szCs w:val="22"/>
        </w:rPr>
        <w:t xml:space="preserve">La convolución final 1×1 proyecta a 4 canales (uno por clase) sin activación; la función sigmoide se aplica en inferencia. El modelo tiene aproximadamente 9.4 millones de parámetros entrenables con la configuración utilizada.</w:t>
      </w:r>
    </w:p>
    <w:p>
      <w:pPr>
        <w:pStyle w:val="Heading1"/>
        <w:spacing w:after="160" w:before="320"/>
      </w:pPr>
      <w:r>
        <w:rPr>
          <w:rFonts w:ascii="Arial" w:cs="Arial" w:eastAsia="Arial" w:hAnsi="Arial"/>
          <w:b/>
          <w:bCs/>
          <w:color w:val="1F4E79"/>
          <w:sz w:val="32"/>
          <w:szCs w:val="32"/>
        </w:rPr>
        <w:t xml:space="preserve">5. Función de Pérdida</w:t>
      </w:r>
    </w:p>
    <w:p>
      <w:pPr>
        <w:spacing w:after="120"/>
      </w:pPr>
      <w:r>
        <w:rPr>
          <w:rFonts w:ascii="Arial" w:cs="Arial" w:eastAsia="Arial" w:hAnsi="Arial"/>
          <w:sz w:val="22"/>
          <w:szCs w:val="22"/>
        </w:rPr>
        <w:t xml:space="preserve">Se utilizó la misma función de pérdida combinada (ComboSegmentationLoss) que en el modelo CNN de referencia, ponderando tres términos complementarios:</w:t>
      </w:r>
    </w:p>
    <w:p>
      <w:pPr>
        <w:pStyle w:val="ListParagraph"/>
        <w:numPr>
          <w:ilvl w:val="0"/>
          <w:numId w:val="2"/>
        </w:numPr>
        <w:spacing w:after="80"/>
      </w:pPr>
      <w:r>
        <w:rPr>
          <w:rFonts w:ascii="Arial" w:cs="Arial" w:eastAsia="Arial" w:hAnsi="Arial"/>
          <w:sz w:val="22"/>
          <w:szCs w:val="22"/>
        </w:rPr>
        <w:t xml:space="preserve">BCE con logits — peso 0.5: pérdida pixel a pixel estándar</w:t>
      </w:r>
    </w:p>
    <w:p>
      <w:pPr>
        <w:pStyle w:val="ListParagraph"/>
        <w:numPr>
          <w:ilvl w:val="0"/>
          <w:numId w:val="2"/>
        </w:numPr>
        <w:spacing w:after="80"/>
      </w:pPr>
      <w:r>
        <w:rPr>
          <w:rFonts w:ascii="Arial" w:cs="Arial" w:eastAsia="Arial" w:hAnsi="Arial"/>
          <w:sz w:val="22"/>
          <w:szCs w:val="22"/>
        </w:rPr>
        <w:t xml:space="preserve">Dice Loss — peso 0.7: optimiza directamente el coeficiente Dice, robusto ante desbalance de clases</w:t>
      </w:r>
    </w:p>
    <w:p>
      <w:pPr>
        <w:pStyle w:val="ListParagraph"/>
        <w:numPr>
          <w:ilvl w:val="0"/>
          <w:numId w:val="2"/>
        </w:numPr>
        <w:spacing w:after="80"/>
      </w:pPr>
      <w:r>
        <w:rPr>
          <w:rFonts w:ascii="Arial" w:cs="Arial" w:eastAsia="Arial" w:hAnsi="Arial"/>
          <w:sz w:val="22"/>
          <w:szCs w:val="22"/>
        </w:rPr>
        <w:t xml:space="preserve">Focal Loss — peso 0.2 (γ = 2.0): enfatiza píxeles difíciles de clasificar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La pérdida total es: L = 0.5·BCE + 0.7·DiceLoss + 0.2·FocalLoss. Esta combinación es consistente con el experimento CNN, lo que permite una comparación controlada donde el único factor que varía es la arquitectura del modelo.</w:t>
      </w:r>
    </w:p>
    <w:p>
      <w:pPr>
        <w:pStyle w:val="Heading1"/>
        <w:spacing w:after="160" w:before="320"/>
      </w:pPr>
      <w:r>
        <w:rPr>
          <w:rFonts w:ascii="Arial" w:cs="Arial" w:eastAsia="Arial" w:hAnsi="Arial"/>
          <w:b/>
          <w:bCs/>
          <w:color w:val="1F4E79"/>
          <w:sz w:val="32"/>
          <w:szCs w:val="32"/>
        </w:rPr>
        <w:t xml:space="preserve">6. Estrategia de Optimización</w:t>
      </w:r>
    </w:p>
    <w:p>
      <w:pPr>
        <w:spacing w:after="120"/>
      </w:pPr>
      <w:r>
        <w:rPr>
          <w:rFonts w:ascii="Arial" w:cs="Arial" w:eastAsia="Arial" w:hAnsi="Arial"/>
          <w:sz w:val="22"/>
          <w:szCs w:val="22"/>
        </w:rPr>
        <w:t xml:space="preserve">Se utilizó el optimizador AdamW con lr_inicial=2×10⁻⁴ y weight_decay=5×10⁻⁵. El schedule de learning rate fue OneCycleLR con:</w:t>
      </w:r>
    </w:p>
    <w:p>
      <w:pPr>
        <w:pStyle w:val="ListParagraph"/>
        <w:numPr>
          <w:ilvl w:val="0"/>
          <w:numId w:val="2"/>
        </w:numPr>
        <w:spacing w:after="80"/>
      </w:pPr>
      <w:r>
        <w:rPr>
          <w:rFonts w:ascii="Arial" w:cs="Arial" w:eastAsia="Arial" w:hAnsi="Arial"/>
          <w:sz w:val="22"/>
          <w:szCs w:val="22"/>
        </w:rPr>
        <w:t xml:space="preserve">max_lr = 6×10⁻⁴</w:t>
      </w:r>
    </w:p>
    <w:p>
      <w:pPr>
        <w:pStyle w:val="ListParagraph"/>
        <w:numPr>
          <w:ilvl w:val="0"/>
          <w:numId w:val="2"/>
        </w:numPr>
        <w:spacing w:after="80"/>
      </w:pPr>
      <w:r>
        <w:rPr>
          <w:rFonts w:ascii="Arial" w:cs="Arial" w:eastAsia="Arial" w:hAnsi="Arial"/>
          <w:sz w:val="22"/>
          <w:szCs w:val="22"/>
        </w:rPr>
        <w:t xml:space="preserve">pct_start = 0.15 (calentamiento en el 15% inicial de los steps)</w:t>
      </w:r>
    </w:p>
    <w:p>
      <w:pPr>
        <w:pStyle w:val="ListParagraph"/>
        <w:numPr>
          <w:ilvl w:val="0"/>
          <w:numId w:val="2"/>
        </w:numPr>
        <w:spacing w:after="80"/>
      </w:pPr>
      <w:r>
        <w:rPr>
          <w:rFonts w:ascii="Arial" w:cs="Arial" w:eastAsia="Arial" w:hAnsi="Arial"/>
          <w:sz w:val="22"/>
          <w:szCs w:val="22"/>
        </w:rPr>
        <w:t xml:space="preserve">div_factor = 10.0 (lr inicial = max_lr / 10 = 6×10⁻⁵)</w:t>
      </w:r>
    </w:p>
    <w:p>
      <w:pPr>
        <w:pStyle w:val="ListParagraph"/>
        <w:numPr>
          <w:ilvl w:val="0"/>
          <w:numId w:val="2"/>
        </w:numPr>
        <w:spacing w:after="80"/>
      </w:pPr>
      <w:r>
        <w:rPr>
          <w:rFonts w:ascii="Arial" w:cs="Arial" w:eastAsia="Arial" w:hAnsi="Arial"/>
          <w:sz w:val="22"/>
          <w:szCs w:val="22"/>
        </w:rPr>
        <w:t xml:space="preserve">final_div_factor = 200.0 (lr final ≈ 3×10⁻⁷)</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El gradient clipping con norma máxima 1.0 y Mixed Precision (AMP) se mantienen activos. El early stopping monitoreó el Dice de validación con paciencia de 6 épocas y min_delta=0.0005.</w:t>
      </w:r>
    </w:p>
    <w:p>
      <w:pPr>
        <w:spacing w:after="120"/>
      </w:pPr>
      <w:r>
        <w:rPr>
          <w:rFonts w:ascii="Arial" w:cs="Arial" w:eastAsia="Arial" w:hAnsi="Arial"/>
          <w:sz w:val="22"/>
          <w:szCs w:val="22"/>
        </w:rPr>
        <w:t xml:space="preserve">Nota: el learning rate máximo (6×10⁻⁴) es inferior al del modelo CNN (1×10⁻³), lo cual es una práctica recomendada para Transformers, que son más sensibles a tasas de aprendizaje elevadas.</w:t>
      </w:r>
    </w:p>
    <w:p>
      <w:r>
        <w:br w:type="page"/>
      </w:r>
    </w:p>
    <w:p>
      <w:pPr>
        <w:pStyle w:val="Heading1"/>
        <w:spacing w:after="160" w:before="320"/>
      </w:pPr>
      <w:r>
        <w:rPr>
          <w:rFonts w:ascii="Arial" w:cs="Arial" w:eastAsia="Arial" w:hAnsi="Arial"/>
          <w:b/>
          <w:bCs/>
          <w:color w:val="1F4E79"/>
          <w:sz w:val="32"/>
          <w:szCs w:val="32"/>
        </w:rPr>
        <w:t xml:space="preserve">7. Resultados de Entrenamiento</w:t>
      </w:r>
    </w:p>
    <w:p>
      <w:pPr>
        <w:pStyle w:val="Heading2"/>
        <w:spacing w:after="120" w:before="240"/>
      </w:pPr>
      <w:r>
        <w:rPr>
          <w:rFonts w:ascii="Arial" w:cs="Arial" w:eastAsia="Arial" w:hAnsi="Arial"/>
          <w:b/>
          <w:bCs/>
          <w:color w:val="2E75B6"/>
          <w:sz w:val="26"/>
          <w:szCs w:val="26"/>
        </w:rPr>
        <w:t xml:space="preserve">7.1 Early Stopping</w:t>
      </w:r>
    </w:p>
    <w:p>
      <w:pPr>
        <w:spacing w:after="120"/>
      </w:pPr>
      <w:r>
        <w:rPr>
          <w:rFonts w:ascii="Arial" w:cs="Arial" w:eastAsia="Arial" w:hAnsi="Arial"/>
          <w:sz w:val="22"/>
          <w:szCs w:val="22"/>
        </w:rPr>
        <w:t xml:space="preserve">El modelo activó el early stopping en la época 22, luego de 6 épocas consecutivas sin mejora relevante (min_delta=0.0005). El mejor checkpoint se guardó en la época 16, con un Dice de validación de 0.3543 (threshold=0.5 durante entrenamiento).</w:t>
      </w:r>
    </w:p>
    <w:p>
      <w:pPr>
        <w:spacing w:after="60" w:before="120"/>
        <w:jc w:val="center"/>
      </w:pPr>
      <w:r>
        <w:drawing>
          <wp:inline distT="0" distB="0" distL="0" distR="0">
            <wp:extent cx="4381500" cy="3238500"/>
            <wp:effectExtent t="0" r="0" b="0" l="0"/>
            <wp:docPr id="1" name="Log de entrenamiento" descr="Log de entrenamiento" title="Log de entr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385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3. Log de entrenamiento completo. Se observa que el mejor modelo se alcanzó en la época 16 (val_dice=0.3544, val_iou=0.2446). A partir de la época 17, no se registraron mejoras superiores al umbral mínimo, activándose el early stopping en la época 22.</w:t>
      </w:r>
    </w:p>
    <w:p>
      <w:pPr>
        <w:pStyle w:val="Heading2"/>
        <w:spacing w:after="120" w:before="240"/>
      </w:pPr>
      <w:r>
        <w:rPr>
          <w:rFonts w:ascii="Arial" w:cs="Arial" w:eastAsia="Arial" w:hAnsi="Arial"/>
          <w:b/>
          <w:bCs/>
          <w:color w:val="2E75B6"/>
          <w:sz w:val="26"/>
          <w:szCs w:val="26"/>
        </w:rPr>
        <w:t xml:space="preserve">7.2 Curvas de Entrenamiento</w:t>
      </w:r>
    </w:p>
    <w:p>
      <w:pPr>
        <w:spacing w:after="120"/>
      </w:pPr>
      <w:r>
        <w:rPr>
          <w:rFonts w:ascii="Arial" w:cs="Arial" w:eastAsia="Arial" w:hAnsi="Arial"/>
          <w:sz w:val="22"/>
          <w:szCs w:val="22"/>
        </w:rPr>
        <w:t xml:space="preserve">Las curvas muestran el comportamiento de las métricas durante el entrenamiento hasta la activación del early stopping en la época 22.</w:t>
      </w:r>
    </w:p>
    <w:p>
      <w:pPr>
        <w:spacing w:after="60" w:before="120"/>
        <w:jc w:val="center"/>
      </w:pPr>
      <w:r>
        <w:drawing>
          <wp:inline distT="0" distB="0" distL="0" distR="0">
            <wp:extent cx="4191000" cy="2952750"/>
            <wp:effectExtent t="0" r="0" b="0" l="0"/>
            <wp:docPr id="1" name="Curva de pérdida" descr="Curva de pérdida" title="Curva de pér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527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4. Curva de pérdida compuesta en entrenamiento y validación. A diferencia del modelo CNN, la pérdida de validación presenta mayor varianza (oscilaciones más pronunciadas), característica típica de Transformers entrenados desde cero con datasets de tamaño moderado.</w:t>
      </w:r>
    </w:p>
    <w:p>
      <w:pPr>
        <w:spacing w:after="60" w:before="120"/>
        <w:jc w:val="center"/>
      </w:pPr>
      <w:r>
        <w:drawing>
          <wp:inline distT="0" distB="0" distL="0" distR="0">
            <wp:extent cx="4191000" cy="2952750"/>
            <wp:effectExtent t="0" r="0" b="0" l="0"/>
            <wp:docPr id="1" name="Curva Dice" descr="Curva Dice" title="Curva 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9527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5. Evolución del coeficiente Dice promedio. El modelo alcanza su mejor Dice de validación (~0.378) en el threshold óptimo, con una tendencia de mejora hasta la época 16.</w:t>
      </w:r>
    </w:p>
    <w:p>
      <w:pPr>
        <w:spacing w:after="60" w:before="120"/>
        <w:jc w:val="center"/>
      </w:pPr>
      <w:r>
        <w:drawing>
          <wp:inline distT="0" distB="0" distL="0" distR="0">
            <wp:extent cx="4191000" cy="2952750"/>
            <wp:effectExtent t="0" r="0" b="0" l="0"/>
            <wp:docPr id="1" name="Curva IoU" descr="Curva IoU" title="Curva I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9527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6. Evolución del IoU promedio. Muestra comportamiento consistente con el Dice, con alta varianza en validación que se estabiliza en las últimas épocas del entrenamiento.</w:t>
      </w:r>
    </w:p>
    <w:p>
      <w:pPr>
        <w:pStyle w:val="Heading2"/>
        <w:spacing w:after="120" w:before="240"/>
      </w:pPr>
      <w:r>
        <w:rPr>
          <w:rFonts w:ascii="Arial" w:cs="Arial" w:eastAsia="Arial" w:hAnsi="Arial"/>
          <w:b/>
          <w:bCs/>
          <w:color w:val="2E75B6"/>
          <w:sz w:val="26"/>
          <w:szCs w:val="26"/>
        </w:rPr>
        <w:t xml:space="preserve">7.3 Historial de Últimas Épocas</w:t>
      </w:r>
    </w:p>
    <w:p>
      <w:pPr>
        <w:spacing w:after="120"/>
      </w:pPr>
      <w:r>
        <w:rPr>
          <w:rFonts w:ascii="Arial" w:cs="Arial" w:eastAsia="Arial" w:hAnsi="Arial"/>
          <w:sz w:val="22"/>
          <w:szCs w:val="22"/>
        </w:rPr>
        <w:t xml:space="preserve">La siguiente tabla muestra las métricas detalladas por clase en las épocas finales antes del early stopping, evidenciando la estabilización del modelo en torno a los valores obtenidos en la época 16:</w:t>
      </w:r>
    </w:p>
    <w:p>
      <w:pPr>
        <w:spacing w:after="60" w:before="120"/>
        <w:jc w:val="center"/>
      </w:pPr>
      <w:r>
        <w:drawing>
          <wp:inline distT="0" distB="0" distL="0" distR="0">
            <wp:extent cx="5143500" cy="1047750"/>
            <wp:effectExtent t="0" r="0" b="0" l="0"/>
            <wp:docPr id="1" name="Historial final" descr="Historial final" title="Historial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0477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7. Métricas por clase en las épocas 18-22. Se observa que los valores de validación oscilan sin superar el umbral mínimo de mejora, confirmando la decisión del early stopping.</w:t>
      </w:r>
    </w:p>
    <w:p>
      <w:r>
        <w:br w:type="page"/>
      </w:r>
    </w:p>
    <w:p>
      <w:pPr>
        <w:pStyle w:val="Heading1"/>
        <w:spacing w:after="160" w:before="320"/>
      </w:pPr>
      <w:r>
        <w:rPr>
          <w:rFonts w:ascii="Arial" w:cs="Arial" w:eastAsia="Arial" w:hAnsi="Arial"/>
          <w:b/>
          <w:bCs/>
          <w:color w:val="1F4E79"/>
          <w:sz w:val="32"/>
          <w:szCs w:val="32"/>
        </w:rPr>
        <w:t xml:space="preserve">8. Búsqueda de Threshold Óptimo</w:t>
      </w:r>
    </w:p>
    <w:p>
      <w:pPr>
        <w:spacing w:after="120"/>
      </w:pPr>
      <w:r>
        <w:rPr>
          <w:rFonts w:ascii="Arial" w:cs="Arial" w:eastAsia="Arial" w:hAnsi="Arial"/>
          <w:sz w:val="22"/>
          <w:szCs w:val="22"/>
        </w:rPr>
        <w:t xml:space="preserve">Tras cargar el mejor checkpoint (época 16, Dice_val=0.3543 con threshold=0.5), se realizó una búsqueda sistemática del threshold óptimo en el rango [0.30, 0.70] con paso de 0.10 sobre el conjunto de validación completo.</w:t>
      </w:r>
    </w:p>
    <w:p>
      <w:pPr>
        <w:spacing w:after="60" w:before="120"/>
        <w:jc w:val="center"/>
      </w:pPr>
      <w:r>
        <w:drawing>
          <wp:inline distT="0" distB="0" distL="0" distR="0">
            <wp:extent cx="4953000" cy="2095500"/>
            <wp:effectExtent t="0" r="0" b="0" l="0"/>
            <wp:docPr id="1" name="Tabla threshold y métricas finales" descr="Tabla threshold y métricas finales" title="Tabla threshold y métricas f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0955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8. Búsqueda de threshold (parte superior), resumen final del modelo (parte central) y métricas por clase (parte inferior). El threshold óptimo encontrado es 0.30.</w:t>
      </w:r>
    </w:p>
    <w:p>
      <w:pPr>
        <w:spacing w:after="120"/>
      </w:pPr>
      <w:r>
        <w:rPr>
          <w:rFonts w:ascii="Arial" w:cs="Arial" w:eastAsia="Arial" w:hAnsi="Arial"/>
          <w:sz w:val="22"/>
          <w:szCs w:val="22"/>
        </w:rPr>
        <w:t xml:space="preserve">El threshold óptimo fue 0.30, lo cual indica que el modelo asigna probabilidades relativamente bajas a los píxeles de nube, posiblemente debido a la menor capacidad del Transformer para capturar patrones locales finos sin preentrenamiento. Reducir el threshold mejora el recall, recuperando más área de nube y aumentando el Dice. Los resultados finales con threshold=0.30 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Dice promedio (4 clases)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0.3778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IoU promedio (4 clases)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0.2553</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Dice — Fish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0.3203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Dice — Flower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0.4039</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Dice — Gravel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0.3661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Dice — Sugar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0.4210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IoU — Fish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0.2074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IoU — Flower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0.2893</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IoU — Gravel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0.2446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IoU — Sugar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0.2799</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Pérdida de validación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0.7112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Mejor época (checkpoint)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r>
    </w:tbl>
    <w:p>
      <w:pPr>
        <w:pStyle w:val="Heading1"/>
        <w:spacing w:after="160" w:before="320"/>
      </w:pPr>
      <w:r>
        <w:rPr>
          <w:rFonts w:ascii="Arial" w:cs="Arial" w:eastAsia="Arial" w:hAnsi="Arial"/>
          <w:b/>
          <w:bCs/>
          <w:color w:val="1F4E79"/>
          <w:sz w:val="32"/>
          <w:szCs w:val="32"/>
        </w:rPr>
        <w:t xml:space="preserve">9. Análisis de Métricas por Clase</w:t>
      </w:r>
    </w:p>
    <w:p>
      <w:pPr>
        <w:spacing w:after="120"/>
      </w:pPr>
      <w:r>
        <w:rPr>
          <w:rFonts w:ascii="Arial" w:cs="Arial" w:eastAsia="Arial" w:hAnsi="Arial"/>
          <w:sz w:val="22"/>
          <w:szCs w:val="22"/>
        </w:rPr>
        <w:t xml:space="preserve">La distribución del rendimiento por clase es consistente con el modelo CNN de referencia: Fish presenta el Dice más bajo (0.320) y Sugar el más alto (0.421). Sin embargo, todos los valores son sustancialmente menores que los obtenidos con la CNN, lo que se discute en la sección de conclusiones.</w:t>
      </w:r>
    </w:p>
    <w:p>
      <w:pPr>
        <w:spacing w:after="60" w:before="120"/>
        <w:jc w:val="center"/>
      </w:pPr>
      <w:r>
        <w:drawing>
          <wp:inline distT="0" distB="0" distL="0" distR="0">
            <wp:extent cx="3619500" cy="4572000"/>
            <wp:effectExtent t="0" r="0" b="0" l="0"/>
            <wp:docPr id="1" name="Barras Dice e IoU por clase" descr="Barras Dice e IoU por clase" title="Barras Dice e IoU por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45720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9. Dice e IoU por clase con threshold=0.30. Sugar y Flower son las clases mejor segmentadas; Fish es consistentemente la más difícil.</w:t>
      </w:r>
    </w:p>
    <w:p>
      <w:r>
        <w:br w:type="page"/>
      </w:r>
    </w:p>
    <w:p>
      <w:pPr>
        <w:pStyle w:val="Heading1"/>
        <w:spacing w:after="160" w:before="320"/>
      </w:pPr>
      <w:r>
        <w:rPr>
          <w:rFonts w:ascii="Arial" w:cs="Arial" w:eastAsia="Arial" w:hAnsi="Arial"/>
          <w:b/>
          <w:bCs/>
          <w:color w:val="1F4E79"/>
          <w:sz w:val="32"/>
          <w:szCs w:val="32"/>
        </w:rPr>
        <w:t xml:space="preserve">10. Ejemplos de Predicción</w:t>
      </w:r>
    </w:p>
    <w:p>
      <w:pPr>
        <w:spacing w:after="120"/>
      </w:pPr>
      <w:r>
        <w:rPr>
          <w:rFonts w:ascii="Arial" w:cs="Arial" w:eastAsia="Arial" w:hAnsi="Arial"/>
          <w:sz w:val="22"/>
          <w:szCs w:val="22"/>
        </w:rPr>
        <w:t xml:space="preserve">Las siguientes figuras comparan las máscaras reales (ground truth) con las predicciones del modelo sobre imágenes del conjunto de validación. Se muestran ejemplos de la clase Fish, que es la más representativa de las dificultades del modelo.</w:t>
      </w:r>
    </w:p>
    <w:p>
      <w:pPr>
        <w:spacing w:after="60" w:before="120"/>
        <w:jc w:val="center"/>
      </w:pPr>
      <w:r>
        <w:drawing>
          <wp:inline distT="0" distB="0" distL="0" distR="0">
            <wp:extent cx="2571750" cy="3524250"/>
            <wp:effectExtent t="0" r="0" b="0" l="0"/>
            <wp:docPr id="1" name="Predicción ejemplo 1" descr="Predicción ejemplo 1" title="Predicción ejempl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71750" cy="35242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10. Ejemplo de predicción con clase Fish. El modelo tiende a sobreestimar el área de nube, produciendo máscaras más grandes que el ground truth, efecto amplificado por el threshold bajo (0.30).</w:t>
      </w:r>
    </w:p>
    <w:p>
      <w:pPr>
        <w:spacing w:after="60" w:before="120"/>
        <w:jc w:val="center"/>
      </w:pPr>
      <w:r>
        <w:drawing>
          <wp:inline distT="0" distB="0" distL="0" distR="0">
            <wp:extent cx="2571750" cy="3524250"/>
            <wp:effectExtent t="0" r="0" b="0" l="0"/>
            <wp:docPr id="1" name="Predicción ejemplo 2" descr="Predicción ejemplo 2" title="Predicción ejempl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71750" cy="35242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11. Segundo ejemplo con clase Fish. La predicción captura la región general pero con bordes menos definidos y extensión mayor que la máscara real.</w:t>
      </w:r>
    </w:p>
    <w:p>
      <w:pPr>
        <w:spacing w:after="60" w:before="120"/>
        <w:jc w:val="center"/>
      </w:pPr>
      <w:r>
        <w:drawing>
          <wp:inline distT="0" distB="0" distL="0" distR="0">
            <wp:extent cx="2571750" cy="3524250"/>
            <wp:effectExtent t="0" r="0" b="0" l="0"/>
            <wp:docPr id="1" name="Predicción ejemplo 3" descr="Predicción ejemplo 3" title="Predicción ejempl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71750" cy="35242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Figura 12. Tercer ejemplo con clase Fish. Se observa que el modelo mantiene cierta capacidad de localización espacial, aunque con menor precisión que el modelo CNN de referencia.</w:t>
      </w:r>
    </w:p>
    <w:p>
      <w:r>
        <w:br w:type="page"/>
      </w:r>
    </w:p>
    <w:p>
      <w:pPr>
        <w:pStyle w:val="Heading1"/>
        <w:spacing w:after="160" w:before="320"/>
      </w:pPr>
      <w:r>
        <w:rPr>
          <w:rFonts w:ascii="Arial" w:cs="Arial" w:eastAsia="Arial" w:hAnsi="Arial"/>
          <w:b/>
          <w:bCs/>
          <w:color w:val="1F4E79"/>
          <w:sz w:val="32"/>
          <w:szCs w:val="32"/>
        </w:rPr>
        <w:t xml:space="preserve">11. Comparación con CNN Encoder-Decoder</w:t>
      </w:r>
    </w:p>
    <w:p>
      <w:pPr>
        <w:spacing w:after="120"/>
      </w:pPr>
      <w:r>
        <w:rPr>
          <w:rFonts w:ascii="Arial" w:cs="Arial" w:eastAsia="Arial" w:hAnsi="Arial"/>
          <w:sz w:val="22"/>
          <w:szCs w:val="22"/>
        </w:rPr>
        <w:t xml:space="preserve">La siguiente tabla compara los resultados finales del Transformer con los del modelo CNN encoder-decoder entrenado sobre el mismo dataset y bajo las mismas condiciones de evaluación: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2430"/>
        <w:gridCol w:w="10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2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CNN Enc-Dec</w:t>
            </w:r>
          </w:p>
        </w:tc>
        <w:tc>
          <w:tcPr>
            <w:tcW w:type="dxa" w:w="2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Transformer</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Dice promedio</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0.557</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0.378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−0.179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IoU promedio</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0.402</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−0.147</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Dice — Fish</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0.462</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0.320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−0.142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Dice — Flower</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0.642</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−0.238</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Dice — Gravel</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0.525</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0.366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−0.159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Dice — Sugar</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−0.179</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Threshold óptimo</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Épocas entrenadas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 (ES)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Params. (aprox.)</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~7.8M</w:t>
            </w:r>
          </w:p>
        </w:tc>
        <w:tc>
          <w:tcPr>
            <w:tcW w:type="dxa" w:w="2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~9.4M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+1.6M</w:t>
            </w:r>
          </w:p>
        </w:tc>
      </w:tr>
    </w:tbl>
    <w:p>
      <w:pPr>
        <w:spacing w:after="120"/>
      </w:pPr>
    </w:p>
    <w:p>
      <w:pPr>
        <w:pStyle w:val="Heading1"/>
        <w:spacing w:after="160" w:before="320"/>
      </w:pPr>
      <w:r>
        <w:rPr>
          <w:rFonts w:ascii="Arial" w:cs="Arial" w:eastAsia="Arial" w:hAnsi="Arial"/>
          <w:b/>
          <w:bCs/>
          <w:color w:val="1F4E79"/>
          <w:sz w:val="32"/>
          <w:szCs w:val="32"/>
        </w:rPr>
        <w:t xml:space="preserve">12. Conclusiones</w:t>
      </w:r>
    </w:p>
    <w:p>
      <w:pPr>
        <w:spacing w:after="120"/>
      </w:pPr>
      <w:r>
        <w:rPr>
          <w:rFonts w:ascii="Arial" w:cs="Arial" w:eastAsia="Arial" w:hAnsi="Arial"/>
          <w:sz w:val="22"/>
          <w:szCs w:val="22"/>
        </w:rPr>
        <w:t xml:space="preserve">Se entrenó exitosamente un Transformer encoder-decoder desde cero para segmentación semántica multilabel de nubes satelitales. Los principales hallazgos son:</w:t>
      </w:r>
    </w:p>
    <w:p>
      <w:pPr>
        <w:pStyle w:val="ListParagraph"/>
        <w:numPr>
          <w:ilvl w:val="0"/>
          <w:numId w:val="2"/>
        </w:numPr>
        <w:spacing w:after="80"/>
      </w:pPr>
      <w:r>
        <w:rPr>
          <w:rFonts w:ascii="Arial" w:cs="Arial" w:eastAsia="Arial" w:hAnsi="Arial"/>
          <w:sz w:val="22"/>
          <w:szCs w:val="22"/>
        </w:rPr>
        <w:t xml:space="preserve">El Transformer obtuvo un Dice promedio de 0.378 y IoU de 0.255, sustancialmente por debajo de la CNN de referencia (Dice=0.557, IoU=0.402)</w:t>
      </w:r>
    </w:p>
    <w:p>
      <w:pPr>
        <w:pStyle w:val="ListParagraph"/>
        <w:numPr>
          <w:ilvl w:val="0"/>
          <w:numId w:val="2"/>
        </w:numPr>
        <w:spacing w:after="80"/>
      </w:pPr>
      <w:r>
        <w:rPr>
          <w:rFonts w:ascii="Arial" w:cs="Arial" w:eastAsia="Arial" w:hAnsi="Arial"/>
          <w:sz w:val="22"/>
          <w:szCs w:val="22"/>
        </w:rPr>
        <w:t xml:space="preserve">El threshold óptimo fue 0.30 (frente a 0.40 de la CNN), indicando que el Transformer asigna probabilidades más bajas en promedio y requiere un punto de decisión más permisivo para recuperar área de nube</w:t>
      </w:r>
    </w:p>
    <w:p>
      <w:pPr>
        <w:pStyle w:val="ListParagraph"/>
        <w:numPr>
          <w:ilvl w:val="0"/>
          <w:numId w:val="2"/>
        </w:numPr>
        <w:spacing w:after="80"/>
      </w:pPr>
      <w:r>
        <w:rPr>
          <w:rFonts w:ascii="Arial" w:cs="Arial" w:eastAsia="Arial" w:hAnsi="Arial"/>
          <w:sz w:val="22"/>
          <w:szCs w:val="22"/>
        </w:rPr>
        <w:t xml:space="preserve">El early stopping se activó en la época 22 (mejor modelo en época 16), mientras la CNN completó las 30 épocas, lo que sugiere que el Transformer convergió más rápido pero con menor rendimiento final</w:t>
      </w:r>
    </w:p>
    <w:p>
      <w:pPr>
        <w:pStyle w:val="ListParagraph"/>
        <w:numPr>
          <w:ilvl w:val="0"/>
          <w:numId w:val="2"/>
        </w:numPr>
        <w:spacing w:after="80"/>
      </w:pPr>
      <w:r>
        <w:rPr>
          <w:rFonts w:ascii="Arial" w:cs="Arial" w:eastAsia="Arial" w:hAnsi="Arial"/>
          <w:sz w:val="22"/>
          <w:szCs w:val="22"/>
        </w:rPr>
        <w:t xml:space="preserve">La mayor varianza en las curvas de validación (especialmente pérdida y Dice) es característica de Transformers entrenados desde cero sobre datasets de tamaño moderado sin preentrenamiento</w:t>
      </w:r>
    </w:p>
    <w:p>
      <w:pPr>
        <w:pStyle w:val="ListParagraph"/>
        <w:numPr>
          <w:ilvl w:val="0"/>
          <w:numId w:val="2"/>
        </w:numPr>
        <w:spacing w:after="80"/>
      </w:pPr>
      <w:r>
        <w:rPr>
          <w:rFonts w:ascii="Arial" w:cs="Arial" w:eastAsia="Arial" w:hAnsi="Arial"/>
          <w:sz w:val="22"/>
          <w:szCs w:val="22"/>
        </w:rPr>
        <w:t xml:space="preserve">A pesar de tener más parámetros (~9.4M vs ~7.8M), el Transformer generalizó peor, probablemente porque los Transformers requieren datasets mucho más grandes o preentrenamiento para superar a las CNN en tareas de visión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La brecha de rendimiento sugiere que, para este dataset y configuración de entrenamiento, los inductivos sesgos espaciales de la CNN (equivarianza traslacional, jerarquía de características locales) son ventajas significativas sobre la atención global del Transformer. Como trabajo futuro, el uso de ViT preentrenado (e.g., ViT-B/16 en ImageNet-21k) o arquitecturas híbridas como Swin Transformer podrían cerrar esta brecha considerablemente.</w:t>
      </w:r>
    </w:p>
    <w:p>
      <w:pPr>
        <w:pStyle w:val="Heading1"/>
        <w:spacing w:after="160" w:before="320"/>
      </w:pPr>
      <w:r>
        <w:rPr>
          <w:rFonts w:ascii="Arial" w:cs="Arial" w:eastAsia="Arial" w:hAnsi="Arial"/>
          <w:b/>
          <w:bCs/>
          <w:color w:val="1F4E79"/>
          <w:sz w:val="32"/>
          <w:szCs w:val="32"/>
        </w:rPr>
        <w:t xml:space="preserve">Referencias</w:t>
      </w:r>
    </w:p>
    <w:p>
      <w:pPr>
        <w:spacing w:after="120"/>
      </w:pPr>
      <w:r>
        <w:rPr>
          <w:rFonts w:ascii="Arial" w:cs="Arial" w:eastAsia="Arial" w:hAnsi="Arial"/>
          <w:sz w:val="22"/>
          <w:szCs w:val="22"/>
        </w:rPr>
        <w:t xml:space="preserve">[1] A. Dosovitskiy et al., 'An Image is Worth 16×16 Words: Transformers for Image Recognition at Scale,' ICLR, 2021.</w:t>
      </w:r>
    </w:p>
    <w:p>
      <w:pPr>
        <w:spacing w:after="120"/>
      </w:pPr>
      <w:r>
        <w:rPr>
          <w:rFonts w:ascii="Arial" w:cs="Arial" w:eastAsia="Arial" w:hAnsi="Arial"/>
          <w:sz w:val="22"/>
          <w:szCs w:val="22"/>
        </w:rPr>
        <w:t xml:space="preserve">[2] O. Ronneberger, P. Fischer, and T. Brox, 'U-Net: Convolutional Networks for Biomedical Image Segmentation,' MICCAI, 2015.</w:t>
      </w:r>
    </w:p>
    <w:p>
      <w:pPr>
        <w:spacing w:after="120"/>
      </w:pPr>
      <w:r>
        <w:rPr>
          <w:rFonts w:ascii="Arial" w:cs="Arial" w:eastAsia="Arial" w:hAnsi="Arial"/>
          <w:sz w:val="22"/>
          <w:szCs w:val="22"/>
        </w:rPr>
        <w:t xml:space="preserve">[3] T.-Y. Lin et al., 'Focal Loss for Dense Object Detection,' ICCV, 2017.</w:t>
      </w:r>
    </w:p>
    <w:p>
      <w:pPr>
        <w:spacing w:after="120"/>
      </w:pPr>
      <w:r>
        <w:rPr>
          <w:rFonts w:ascii="Arial" w:cs="Arial" w:eastAsia="Arial" w:hAnsi="Arial"/>
          <w:sz w:val="22"/>
          <w:szCs w:val="22"/>
        </w:rPr>
        <w:t xml:space="preserve">[4] I. Loshchilov and F. Hutter, 'Decoupled Weight Decay Regularization,' ICLR, 2019.</w:t>
      </w:r>
    </w:p>
    <w:p>
      <w:pPr>
        <w:spacing w:after="120"/>
      </w:pPr>
      <w:r>
        <w:rPr>
          <w:rFonts w:ascii="Arial" w:cs="Arial" w:eastAsia="Arial" w:hAnsi="Arial"/>
          <w:sz w:val="22"/>
          <w:szCs w:val="22"/>
        </w:rPr>
        <w:t xml:space="preserve">[5] Kaggle, 'Understanding Clouds from Satellite Images,' 2019. [Online]. Available: https://www.kaggle.com/c/understanding_cloud_organization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55555"/>
        <w:sz w:val="18"/>
        <w:szCs w:val="18"/>
      </w:rPr>
      <w:t xml:space="preserve">Transformer para Segmentación Semántica de Nubes Satelitales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a7c67795cb0b848a8f901efdb3bed80112faa4.png"/><Relationship Id="rId10" Type="http://schemas.openxmlformats.org/officeDocument/2006/relationships/image" Target="media/fe925d3ed85a67045c16c435b603013c273cb115.png"/><Relationship Id="rId11" Type="http://schemas.openxmlformats.org/officeDocument/2006/relationships/image" Target="media/32053e0146c1e7009994d7ba186b0d89b0da3bed.png"/><Relationship Id="rId12" Type="http://schemas.openxmlformats.org/officeDocument/2006/relationships/image" Target="media/b9ede53f9956c52063f414e841c40967a2b0e0e6.png"/><Relationship Id="rId13" Type="http://schemas.openxmlformats.org/officeDocument/2006/relationships/image" Target="media/58db1437dc74e8698b2dbd277cc8ed773452660c.png"/><Relationship Id="rId14" Type="http://schemas.openxmlformats.org/officeDocument/2006/relationships/image" Target="media/fb16452fc81ab22be54785929a1704dac73529eb.png"/><Relationship Id="rId15" Type="http://schemas.openxmlformats.org/officeDocument/2006/relationships/image" Target="media/d7d54c3a8c806f761a6c736af760ff1eba5a91d7.png"/><Relationship Id="rId16" Type="http://schemas.openxmlformats.org/officeDocument/2006/relationships/image" Target="media/45fd3d36e78631cfe98008b6f1eac30e7b56b806.png"/><Relationship Id="rId17" Type="http://schemas.openxmlformats.org/officeDocument/2006/relationships/image" Target="media/1848313e1ce75ae0c107c5595513741f2961d435.png"/><Relationship Id="rId18" Type="http://schemas.openxmlformats.org/officeDocument/2006/relationships/image" Target="media/e88bf2ff878726e307ab1af5244c77654ac76485.png"/><Relationship Id="rId19" Type="http://schemas.openxmlformats.org/officeDocument/2006/relationships/image" Target="media/50fd34fa7acbfa05ba35b9cf6bf29d90bb53dba9.png"/><Relationship Id="rId20" Type="http://schemas.openxmlformats.org/officeDocument/2006/relationships/image" Target="media/6a46070f463230b153d089a2325ba4f2b202398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2026-06-08T02:57:27.583Z</dcterms:created>
  <dcterms:modified xsi:type="dcterms:W3CDTF">2026-06-08T02:57:27.597Z</dcterms:modified>
</cp:coreProperties>
</file>

<file path=docProps/custom.xml><?xml version="1.0" encoding="utf-8"?>
<Properties xmlns="http://schemas.openxmlformats.org/officeDocument/2006/custom-properties" xmlns:vt="http://schemas.openxmlformats.org/officeDocument/2006/docPropsVTypes"/>
</file>