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800"/>
      </w:pPr>
      <w:r>
        <w:rPr>
          <w:rFonts w:ascii="Calibri" w:cs="Calibri" w:eastAsia="Calibri" w:hAnsi="Calibri"/>
          <w:b/>
          <w:bCs/>
          <w:color w:val="0D366B"/>
          <w:sz w:val="84"/>
          <w:szCs w:val="84"/>
        </w:rPr>
        <w:t xml:space="preserve">FraudLens</w:t>
      </w:r>
    </w:p>
    <w:p>
      <w:pPr>
        <w:spacing w:after="480"/>
      </w:pPr>
      <w:r>
        <w:rPr>
          <w:rFonts w:ascii="Calibri" w:cs="Calibri" w:eastAsia="Calibri" w:hAnsi="Calibri"/>
          <w:color w:val="5F5E5A"/>
          <w:sz w:val="36"/>
          <w:szCs w:val="36"/>
        </w:rPr>
        <w:t xml:space="preserve">The triage brain for card-fraud analysts</w:t>
      </w:r>
    </w:p>
    <w:p>
      <w:pPr>
        <w:spacing w:after="100"/>
      </w:pPr>
      <w:r>
        <w:rPr>
          <w:rFonts w:ascii="Calibri" w:cs="Calibri" w:eastAsia="Calibri" w:hAnsi="Calibri"/>
          <w:b/>
          <w:bCs/>
          <w:color w:val="1A1A1A"/>
          <w:sz w:val="28"/>
          <w:szCs w:val="28"/>
        </w:rPr>
        <w:t xml:space="preserve">Solution document</w:t>
      </w:r>
    </w:p>
    <w:p>
      <w:pPr>
        <w:spacing w:after="140" w:line="300"/>
      </w:pPr>
      <w:r>
        <w:rPr>
          <w:rFonts w:ascii="Calibri" w:cs="Calibri" w:eastAsia="Calibri" w:hAnsi="Calibri"/>
          <w:color w:val="5F5E5A"/>
        </w:rPr>
        <w:t xml:space="preserve">Maverick Mini Hackathon · Project 5: FraudLens (Fintech / Payments)</w:t>
      </w:r>
    </w:p>
    <w:p>
      <w:pPr>
        <w:spacing w:after="140"/>
      </w:pPr>
      <w:r>
        <w:rPr>
          <w:rFonts w:ascii="Calibri" w:cs="Calibri" w:eastAsia="Calibri" w:hAnsi="Calibri"/>
          <w:color w:val="5F5E5A"/>
        </w:rPr>
        <w:t xml:space="preserve">Repository: </w:t>
      </w:r>
      <w:hyperlink w:history="1" r:id="rId-yxyy19slfgwzid8-4q3b">
        <w:r>
          <w:rPr>
            <w:rStyle w:val="Hyperlink"/>
            <w:rFonts w:ascii="Calibri" w:cs="Calibri" w:eastAsia="Calibri" w:hAnsi="Calibri"/>
          </w:rPr>
          <w:t xml:space="preserve">github.com/mjbharathgithub/Fraud-Lens</w:t>
        </w:r>
      </w:hyperlink>
    </w:p>
    <w:p>
      <w:pPr>
        <w:spacing w:after="140"/>
      </w:pPr>
      <w:r>
        <w:rPr>
          <w:rFonts w:ascii="Calibri" w:cs="Calibri" w:eastAsia="Calibri" w:hAnsi="Calibri"/>
          <w:color w:val="5F5E5A"/>
        </w:rPr>
        <w:t xml:space="preserve">Live app: </w:t>
      </w:r>
      <w:hyperlink w:history="1" r:id="rIdk0jm3iw52oy_chnp8xol-">
        <w:r>
          <w:rPr>
            <w:rStyle w:val="Hyperlink"/>
            <w:rFonts w:ascii="Calibri" w:cs="Calibri" w:eastAsia="Calibri" w:hAnsi="Calibri"/>
          </w:rPr>
          <w:t xml:space="preserve">fraudlens-triage.streamlit.app</w:t>
        </w:r>
      </w:hyperlink>
    </w:p>
    <w:p>
      <w:pPr>
        <w:spacing w:after="140" w:line="300"/>
      </w:pPr>
      <w:r>
        <w:rPr>
          <w:rFonts w:ascii="Calibri" w:cs="Calibri" w:eastAsia="Calibri" w:hAnsi="Calibri"/>
          <w:color w:val="5F5E5A"/>
        </w:rPr>
        <w:t xml:space="preserve">October 2026</w:t>
      </w:r>
    </w:p>
    <w:p>
      <w:pPr>
        <w:shd w:fill="E8F0FB" w:color="auto" w:val="clear"/>
        <w:spacing w:after="0" w:before="900"/>
        <w:ind w:left="200" w:right="200"/>
      </w:pPr>
      <w:r>
        <w:rPr>
          <w:rFonts w:ascii="Calibri" w:cs="Calibri" w:eastAsia="Calibri" w:hAnsi="Calibri"/>
          <w:sz w:val="12"/>
          <w:szCs w:val="12"/>
        </w:rPr>
        <w:t xml:space="preserve"> </w:t>
      </w:r>
    </w:p>
    <w:p>
      <w:pPr>
        <w:shd w:fill="E8F0FB" w:color="auto" w:val="clear"/>
        <w:spacing w:after="0" w:line="320"/>
        <w:ind w:left="200" w:right="200"/>
      </w:pPr>
      <w:r>
        <w:rPr>
          <w:rFonts w:ascii="Calibri" w:cs="Calibri" w:eastAsia="Calibri" w:hAnsi="Calibri"/>
          <w:color w:val="0D366B"/>
          <w:sz w:val="26"/>
          <w:szCs w:val="26"/>
        </w:rPr>
        <w:t xml:space="preserve">On a day the model had never seen, </w:t>
      </w:r>
      <w:r>
        <w:rPr>
          <w:rFonts w:ascii="Calibri" w:cs="Calibri" w:eastAsia="Calibri" w:hAnsi="Calibri"/>
          <w:b/>
          <w:bCs/>
          <w:color w:val="0D366B"/>
          <w:sz w:val="26"/>
          <w:szCs w:val="26"/>
        </w:rPr>
        <w:t xml:space="preserve">154 of its 200 alerts were real fraud</w:t>
      </w:r>
      <w:r>
        <w:rPr>
          <w:rFonts w:ascii="Calibri" w:cs="Calibri" w:eastAsia="Calibri" w:hAnsi="Calibri"/>
          <w:color w:val="0D366B"/>
          <w:sz w:val="26"/>
          <w:szCs w:val="26"/>
        </w:rPr>
        <w:t xml:space="preserve">. Reviewing the 200 largest transactions that day would have caught none.</w:t>
      </w:r>
    </w:p>
    <w:p>
      <w:pPr>
        <w:shd w:fill="E8F0FB" w:color="auto" w:val="clear"/>
        <w:ind w:left="200" w:right="200"/>
      </w:pPr>
      <w:r>
        <w:rPr>
          <w:rFonts w:ascii="Calibri" w:cs="Calibri" w:eastAsia="Calibri" w:hAnsi="Calibri"/>
          <w:sz w:val="12"/>
          <w:szCs w:val="12"/>
        </w:rPr>
        <w:t xml:space="preserve"> </w:t>
      </w:r>
    </w:p>
    <w:p>
      <w:r>
        <w:br w:type="page"/>
      </w:r>
    </w:p>
    <w:p>
      <w:pPr>
        <w:pStyle w:val="Heading1"/>
        <w:spacing w:after="160" w:before="360"/>
      </w:pPr>
      <w:r>
        <w:rPr>
          <w:rFonts w:ascii="Calibri" w:cs="Calibri" w:eastAsia="Calibri" w:hAnsi="Calibri"/>
        </w:rPr>
        <w:t xml:space="preserve">1. Executive summary</w:t>
      </w:r>
    </w:p>
    <w:p>
      <w:pPr>
        <w:spacing w:after="140" w:line="300"/>
      </w:pPr>
      <w:r>
        <w:rPr>
          <w:rFonts w:ascii="Calibri" w:cs="Calibri" w:eastAsia="Calibri" w:hAnsi="Calibri"/>
        </w:rPr>
        <w:t xml:space="preserve">A card issuer's fraud team can review </w:t>
      </w:r>
      <w:r>
        <w:rPr>
          <w:rFonts w:ascii="Calibri" w:cs="Calibri" w:eastAsia="Calibri" w:hAnsi="Calibri"/>
          <w:b/>
          <w:bCs/>
        </w:rPr>
        <w:t xml:space="preserve">200 alerts a day</w:t>
      </w:r>
      <w:r>
        <w:rPr>
          <w:rFonts w:ascii="Calibri" w:cs="Calibri" w:eastAsia="Calibri" w:hAnsi="Calibri"/>
        </w:rPr>
        <w:t xml:space="preserve"> out of roughly 140,000 transactions. The question they asked was which transactions their analysts should review first.</w:t>
      </w:r>
    </w:p>
    <w:p>
      <w:pPr>
        <w:spacing w:after="140" w:line="300"/>
      </w:pPr>
      <w:r>
        <w:rPr>
          <w:rFonts w:ascii="Calibri" w:cs="Calibri" w:eastAsia="Calibri" w:hAnsi="Calibri"/>
        </w:rPr>
        <w:t xml:space="preserve">FraudLens answers it every day. It scores each transaction, gives the team the 200 riskiest with the reasons behind each score, recommends an action, drafts the review note, and waits for an analyst to approve. Nothing is executed without a person.</w:t>
      </w:r>
    </w:p>
    <w:p>
      <w:pPr>
        <w:spacing w:after="140" w:line="300"/>
      </w:pPr>
      <w:r>
        <w:rPr>
          <w:rFonts w:ascii="Calibri" w:cs="Calibri" w:eastAsia="Calibri" w:hAnsi="Calibri"/>
        </w:rPr>
        <w:t xml:space="preserve">We tested it the way it would be used: trained on day 1, then asked for the day-2 queue with no knowledge of day 2. Of 200 alerts, 154 are real fraud (precision 77%, 95% range 66-85%). The queue catches 77% of the day's 201 frauds (95% range 71-82%) and 63% of the fraud value (EUR 16,428 of EUR 26,122).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596"/>
        <w:gridCol w:w="3430"/>
      </w:tblGrid>
      <w:tr>
        <w:trPr>
          <w:tblHeader/>
        </w:trPr>
        <w:tc>
          <w:tcPr>
            <w:tcW w:type="dxa" w:w="5596"/>
            <w:tcBorders>
              <w:top w:val="single" w:color="C3C2B7" w:sz="4"/>
              <w:left w:val="single" w:color="C3C2B7" w:sz="4"/>
              <w:bottom w:val="single" w:color="C3C2B7" w:sz="4"/>
              <w:right w:val="single" w:color="C3C2B7" w:sz="4"/>
            </w:tcBorders>
            <w:shd w:fill="E8F0FB" w:color="auto" w:val="clear"/>
            <w:tcMar>
              <w:top w:type="dxa" w:w="70"/>
              <w:left w:type="dxa" w:w="110"/>
              <w:bottom w:type="dxa" w:w="70"/>
              <w:right w:type="dxa" w:w="110"/>
            </w:tcMar>
          </w:tcPr>
          <w:p>
            <w:pPr>
              <w:keepNext/>
              <w:spacing w:after="0" w:line="260"/>
            </w:pPr>
            <w:r>
              <w:rPr>
                <w:rFonts w:ascii="Calibri" w:cs="Calibri" w:eastAsia="Calibri" w:hAnsi="Calibri"/>
                <w:b/>
                <w:bCs/>
                <w:color w:val="0D366B"/>
                <w:sz w:val="19"/>
                <w:szCs w:val="19"/>
              </w:rPr>
              <w:t xml:space="preserve">How the 200 daily reviews are chosen</w:t>
            </w:r>
          </w:p>
        </w:tc>
        <w:tc>
          <w:tcPr>
            <w:tcW w:type="dxa" w:w="3430"/>
            <w:tcBorders>
              <w:top w:val="single" w:color="C3C2B7" w:sz="4"/>
              <w:left w:val="single" w:color="C3C2B7" w:sz="4"/>
              <w:bottom w:val="single" w:color="C3C2B7" w:sz="4"/>
              <w:right w:val="single" w:color="C3C2B7" w:sz="4"/>
            </w:tcBorders>
            <w:shd w:fill="E8F0FB" w:color="auto" w:val="clear"/>
            <w:tcMar>
              <w:top w:type="dxa" w:w="70"/>
              <w:left w:type="dxa" w:w="110"/>
              <w:bottom w:type="dxa" w:w="70"/>
              <w:right w:type="dxa" w:w="110"/>
            </w:tcMar>
          </w:tcPr>
          <w:p>
            <w:pPr>
              <w:keepNext/>
              <w:spacing w:after="0" w:line="260"/>
            </w:pPr>
            <w:r>
              <w:rPr>
                <w:rFonts w:ascii="Calibri" w:cs="Calibri" w:eastAsia="Calibri" w:hAnsi="Calibri"/>
                <w:b/>
                <w:bCs/>
                <w:color w:val="0D366B"/>
                <w:sz w:val="19"/>
                <w:szCs w:val="19"/>
              </w:rPr>
              <w:t xml:space="preserve">Real frauds caught on day 2</w:t>
            </w:r>
          </w:p>
        </w:tc>
      </w:tr>
      <w:tr>
        <w:trPr>
          <w:cantSplit/>
        </w:trPr>
        <w:tc>
          <w:tcPr>
            <w:tcW w:type="dxa" w:w="5596"/>
            <w:tcBorders>
              <w:top w:val="single" w:color="C3C2B7" w:sz="4"/>
              <w:left w:val="single" w:color="C3C2B7" w:sz="4"/>
              <w:bottom w:val="single" w:color="C3C2B7" w:sz="4"/>
              <w:right w:val="single" w:color="C3C2B7" w:sz="4"/>
            </w:tcBorders>
            <w:tcMar>
              <w:top w:type="dxa" w:w="70"/>
              <w:left w:type="dxa" w:w="110"/>
              <w:bottom w:type="dxa" w:w="70"/>
              <w:right w:type="dxa" w:w="110"/>
            </w:tcMar>
          </w:tcPr>
          <w:p>
            <w:pPr>
              <w:keepNext/>
              <w:spacing w:after="0" w:line="260"/>
            </w:pPr>
            <w:r>
              <w:rPr>
                <w:rFonts w:ascii="Calibri" w:cs="Calibri" w:eastAsia="Calibri" w:hAnsi="Calibri"/>
                <w:color w:val="1A1A1A"/>
                <w:sz w:val="19"/>
                <w:szCs w:val="19"/>
              </w:rPr>
              <w:t xml:space="preserve">At random</w:t>
            </w:r>
          </w:p>
        </w:tc>
        <w:tc>
          <w:tcPr>
            <w:tcW w:type="dxa" w:w="3430"/>
            <w:tcBorders>
              <w:top w:val="single" w:color="C3C2B7" w:sz="4"/>
              <w:left w:val="single" w:color="C3C2B7" w:sz="4"/>
              <w:bottom w:val="single" w:color="C3C2B7" w:sz="4"/>
              <w:right w:val="single" w:color="C3C2B7" w:sz="4"/>
            </w:tcBorders>
            <w:tcMar>
              <w:top w:type="dxa" w:w="70"/>
              <w:left w:type="dxa" w:w="110"/>
              <w:bottom w:type="dxa" w:w="70"/>
              <w:right w:type="dxa" w:w="110"/>
            </w:tcMar>
          </w:tcPr>
          <w:p>
            <w:pPr>
              <w:keepNext/>
              <w:spacing w:after="0" w:line="260"/>
            </w:pPr>
            <w:r>
              <w:rPr>
                <w:rFonts w:ascii="Calibri" w:cs="Calibri" w:eastAsia="Calibri" w:hAnsi="Calibri"/>
                <w:color w:val="1A1A1A"/>
                <w:sz w:val="19"/>
                <w:szCs w:val="19"/>
              </w:rPr>
              <w:t xml:space="preserve">0.3</w:t>
            </w:r>
          </w:p>
        </w:tc>
      </w:tr>
      <w:tr>
        <w:trPr>
          <w:cantSplit/>
        </w:trPr>
        <w:tc>
          <w:tcPr>
            <w:tcW w:type="dxa" w:w="5596"/>
            <w:tcBorders>
              <w:top w:val="single" w:color="C3C2B7" w:sz="4"/>
              <w:left w:val="single" w:color="C3C2B7" w:sz="4"/>
              <w:bottom w:val="single" w:color="C3C2B7" w:sz="4"/>
              <w:right w:val="single" w:color="C3C2B7" w:sz="4"/>
            </w:tcBorders>
            <w:tcMar>
              <w:top w:type="dxa" w:w="70"/>
              <w:left w:type="dxa" w:w="110"/>
              <w:bottom w:type="dxa" w:w="70"/>
              <w:right w:type="dxa" w:w="110"/>
            </w:tcMar>
          </w:tcPr>
          <w:p>
            <w:pPr>
              <w:keepNext/>
              <w:spacing w:after="0" w:line="260"/>
            </w:pPr>
            <w:r>
              <w:rPr>
                <w:rFonts w:ascii="Calibri" w:cs="Calibri" w:eastAsia="Calibri" w:hAnsi="Calibri"/>
                <w:color w:val="1A1A1A"/>
                <w:sz w:val="19"/>
                <w:szCs w:val="19"/>
              </w:rPr>
              <w:t xml:space="preserve">The 200 largest amounts</w:t>
            </w:r>
          </w:p>
        </w:tc>
        <w:tc>
          <w:tcPr>
            <w:tcW w:type="dxa" w:w="3430"/>
            <w:tcBorders>
              <w:top w:val="single" w:color="C3C2B7" w:sz="4"/>
              <w:left w:val="single" w:color="C3C2B7" w:sz="4"/>
              <w:bottom w:val="single" w:color="C3C2B7" w:sz="4"/>
              <w:right w:val="single" w:color="C3C2B7" w:sz="4"/>
            </w:tcBorders>
            <w:tcMar>
              <w:top w:type="dxa" w:w="70"/>
              <w:left w:type="dxa" w:w="110"/>
              <w:bottom w:type="dxa" w:w="70"/>
              <w:right w:type="dxa" w:w="110"/>
            </w:tcMar>
          </w:tcPr>
          <w:p>
            <w:pPr>
              <w:keepNext/>
              <w:spacing w:after="0" w:line="260"/>
            </w:pPr>
            <w:r>
              <w:rPr>
                <w:rFonts w:ascii="Calibri" w:cs="Calibri" w:eastAsia="Calibri" w:hAnsi="Calibri"/>
                <w:color w:val="1A1A1A"/>
                <w:sz w:val="19"/>
                <w:szCs w:val="19"/>
              </w:rPr>
              <w:t xml:space="preserve">0</w:t>
            </w:r>
          </w:p>
        </w:tc>
      </w:tr>
      <w:tr>
        <w:trPr>
          <w:cantSplit/>
        </w:trPr>
        <w:tc>
          <w:tcPr>
            <w:tcW w:type="dxa" w:w="5596"/>
            <w:tcBorders>
              <w:top w:val="single" w:color="C3C2B7" w:sz="4"/>
              <w:left w:val="single" w:color="C3C2B7" w:sz="4"/>
              <w:bottom w:val="single" w:color="C3C2B7" w:sz="4"/>
              <w:right w:val="single" w:color="C3C2B7" w:sz="4"/>
            </w:tcBorders>
            <w:tcMar>
              <w:top w:type="dxa" w:w="70"/>
              <w:left w:type="dxa" w:w="110"/>
              <w:bottom w:type="dxa" w:w="70"/>
              <w:right w:type="dxa" w:w="110"/>
            </w:tcMar>
          </w:tcPr>
          <w:p>
            <w:pPr>
              <w:keepNext/>
              <w:spacing w:after="0" w:line="260"/>
            </w:pPr>
            <w:r>
              <w:rPr>
                <w:rFonts w:ascii="Calibri" w:cs="Calibri" w:eastAsia="Calibri" w:hAnsi="Calibri"/>
                <w:color w:val="1A1A1A"/>
                <w:sz w:val="19"/>
                <w:szCs w:val="19"/>
              </w:rPr>
              <w:t xml:space="preserve">Logistic regression baseline</w:t>
            </w:r>
          </w:p>
        </w:tc>
        <w:tc>
          <w:tcPr>
            <w:tcW w:type="dxa" w:w="3430"/>
            <w:tcBorders>
              <w:top w:val="single" w:color="C3C2B7" w:sz="4"/>
              <w:left w:val="single" w:color="C3C2B7" w:sz="4"/>
              <w:bottom w:val="single" w:color="C3C2B7" w:sz="4"/>
              <w:right w:val="single" w:color="C3C2B7" w:sz="4"/>
            </w:tcBorders>
            <w:tcMar>
              <w:top w:type="dxa" w:w="70"/>
              <w:left w:type="dxa" w:w="110"/>
              <w:bottom w:type="dxa" w:w="70"/>
              <w:right w:type="dxa" w:w="110"/>
            </w:tcMar>
          </w:tcPr>
          <w:p>
            <w:pPr>
              <w:keepNext/>
              <w:spacing w:after="0" w:line="260"/>
            </w:pPr>
            <w:r>
              <w:rPr>
                <w:rFonts w:ascii="Calibri" w:cs="Calibri" w:eastAsia="Calibri" w:hAnsi="Calibri"/>
                <w:color w:val="1A1A1A"/>
                <w:sz w:val="19"/>
                <w:szCs w:val="19"/>
              </w:rPr>
              <w:t xml:space="preserve">141</w:t>
            </w:r>
          </w:p>
        </w:tc>
      </w:tr>
      <w:tr>
        <w:trPr>
          <w:cantSplit/>
        </w:trPr>
        <w:tc>
          <w:tcPr>
            <w:tcW w:type="dxa" w:w="5596"/>
            <w:tcBorders>
              <w:top w:val="single" w:color="C3C2B7" w:sz="4"/>
              <w:left w:val="single" w:color="C3C2B7" w:sz="4"/>
              <w:bottom w:val="single" w:color="C3C2B7" w:sz="4"/>
              <w:right w:val="single" w:color="C3C2B7" w:sz="4"/>
            </w:tcBorders>
            <w:tcMar>
              <w:top w:type="dxa" w:w="70"/>
              <w:left w:type="dxa" w:w="110"/>
              <w:bottom w:type="dxa" w:w="70"/>
              <w:right w:type="dxa" w:w="110"/>
            </w:tcMar>
          </w:tcPr>
          <w:p>
            <w:pPr>
              <w:keepNext w:val="false"/>
              <w:spacing w:after="0" w:line="260"/>
            </w:pPr>
            <w:r>
              <w:rPr>
                <w:rFonts w:ascii="Calibri" w:cs="Calibri" w:eastAsia="Calibri" w:hAnsi="Calibri"/>
                <w:b/>
                <w:bCs/>
                <w:color w:val="1A1A1A"/>
                <w:sz w:val="19"/>
                <w:szCs w:val="19"/>
              </w:rPr>
              <w:t xml:space="preserve">FraudLens (XGBoost champion)</w:t>
            </w:r>
          </w:p>
        </w:tc>
        <w:tc>
          <w:tcPr>
            <w:tcW w:type="dxa" w:w="3430"/>
            <w:tcBorders>
              <w:top w:val="single" w:color="C3C2B7" w:sz="4"/>
              <w:left w:val="single" w:color="C3C2B7" w:sz="4"/>
              <w:bottom w:val="single" w:color="C3C2B7" w:sz="4"/>
              <w:right w:val="single" w:color="C3C2B7" w:sz="4"/>
            </w:tcBorders>
            <w:tcMar>
              <w:top w:type="dxa" w:w="70"/>
              <w:left w:type="dxa" w:w="110"/>
              <w:bottom w:type="dxa" w:w="70"/>
              <w:right w:type="dxa" w:w="110"/>
            </w:tcMar>
          </w:tcPr>
          <w:p>
            <w:pPr>
              <w:keepNext w:val="false"/>
              <w:spacing w:after="0" w:line="260"/>
            </w:pPr>
            <w:r>
              <w:rPr>
                <w:rFonts w:ascii="Calibri" w:cs="Calibri" w:eastAsia="Calibri" w:hAnsi="Calibri"/>
                <w:b/>
                <w:bCs/>
                <w:color w:val="1A1A1A"/>
                <w:sz w:val="19"/>
                <w:szCs w:val="19"/>
              </w:rPr>
              <w:t xml:space="preserve">154 of 201</w:t>
            </w:r>
          </w:p>
        </w:tc>
      </w:tr>
    </w:tbl>
    <w:p>
      <w:pPr>
        <w:spacing w:after="160"/>
      </w:pPr>
    </w:p>
    <w:p>
      <w:pPr>
        <w:spacing w:after="140" w:line="300"/>
      </w:pPr>
      <w:r>
        <w:rPr>
          <w:rFonts w:ascii="Calibri" w:cs="Calibri" w:eastAsia="Calibri" w:hAnsi="Calibri"/>
        </w:rPr>
        <w:t xml:space="preserve">The work is delivered as a reproducible Python package, an analyst console (Streamlit), a scoring API, an executed analysis notebook, MLflow experiment tracking, 20 automated tests and this document. Everything is free and open source.</w:t>
      </w:r>
    </w:p>
    <w:p>
      <w:pPr>
        <w:pStyle w:val="Heading1"/>
        <w:spacing w:after="160" w:before="360"/>
      </w:pPr>
      <w:r>
        <w:rPr>
          <w:rFonts w:ascii="Calibri" w:cs="Calibri" w:eastAsia="Calibri" w:hAnsi="Calibri"/>
        </w:rPr>
        <w:t xml:space="preserve">2. Problem statement</w:t>
      </w:r>
    </w:p>
    <w:p>
      <w:pPr>
        <w:spacing w:after="140" w:line="300"/>
      </w:pPr>
      <w:r>
        <w:rPr>
          <w:rFonts w:ascii="Calibri" w:cs="Calibri" w:eastAsia="Calibri" w:hAnsi="Calibri"/>
          <w:b/>
          <w:bCs/>
        </w:rPr>
        <w:t xml:space="preserve">Client.</w:t>
      </w:r>
      <w:r>
        <w:rPr>
          <w:rFonts w:ascii="Calibri" w:cs="Calibri" w:eastAsia="Calibri" w:hAnsi="Calibri"/>
        </w:rPr>
        <w:t xml:space="preserve"> A card issuer processing about 300,000 transactions in two days. Fraud is rare, but each miss costs money and customer trust, and each false alarm annoys a customer and uses analyst time.</w:t>
      </w:r>
    </w:p>
    <w:p>
      <w:pPr>
        <w:spacing w:after="140" w:line="300"/>
      </w:pPr>
      <w:r>
        <w:rPr>
          <w:rFonts w:ascii="Calibri" w:cs="Calibri" w:eastAsia="Calibri" w:hAnsi="Calibri"/>
          <w:b/>
          <w:bCs/>
        </w:rPr>
        <w:t xml:space="preserve">The ask.</w:t>
      </w:r>
      <w:r>
        <w:rPr>
          <w:rFonts w:ascii="Calibri" w:cs="Calibri" w:eastAsia="Calibri" w:hAnsi="Calibri"/>
        </w:rPr>
        <w:t xml:space="preserve"> "Build the triage brain: which transactions should our fraud analysts review first?" The review team can handle 200 alerts per day.</w:t>
      </w:r>
    </w:p>
    <w:p>
      <w:pPr>
        <w:spacing w:after="140" w:line="300"/>
      </w:pPr>
      <w:r>
        <w:rPr>
          <w:rFonts w:ascii="Calibri" w:cs="Calibri" w:eastAsia="Calibri" w:hAnsi="Calibri"/>
          <w:b/>
          <w:bCs/>
        </w:rPr>
        <w:t xml:space="preserve">The decision being improved</w:t>
      </w:r>
      <w:r>
        <w:rPr>
          <w:rFonts w:ascii="Calibri" w:cs="Calibri" w:eastAsia="Calibri" w:hAnsi="Calibri"/>
        </w:rPr>
        <w:t xml:space="preserve"> is how those 200 reviews are spent. </w:t>
      </w:r>
      <w:r>
        <w:rPr>
          <w:rFonts w:ascii="Calibri" w:cs="Calibri" w:eastAsia="Calibri" w:hAnsi="Calibri"/>
          <w:b/>
          <w:bCs/>
        </w:rPr>
        <w:t xml:space="preserve">The success measure</w:t>
      </w:r>
      <w:r>
        <w:rPr>
          <w:rFonts w:ascii="Calibri" w:cs="Calibri" w:eastAsia="Calibri" w:hAnsi="Calibri"/>
        </w:rPr>
        <w:t xml:space="preserve"> is a business one: how many real frauds, and how much fraud value, the team catches with the capacity it already has. Model metrics matter only as far as they predict that.</w:t>
      </w:r>
    </w:p>
    <w:p>
      <w:pPr>
        <w:spacing w:after="140" w:line="300"/>
      </w:pPr>
      <w:r>
        <w:rPr>
          <w:rFonts w:ascii="Calibri" w:cs="Calibri" w:eastAsia="Calibri" w:hAnsi="Calibri"/>
        </w:rPr>
        <w:t xml:space="preserve">Three things make the problem harder than it looks:</w:t>
      </w:r>
    </w:p>
    <w:p>
      <w:pPr>
        <w:pStyle w:val="ListParagraph"/>
        <w:numPr>
          <w:ilvl w:val="0"/>
          <w:numId w:val="2"/>
        </w:numPr>
        <w:spacing w:after="80" w:line="290"/>
      </w:pPr>
      <w:r>
        <w:rPr>
          <w:rFonts w:ascii="Calibri" w:cs="Calibri" w:eastAsia="Calibri" w:hAnsi="Calibri"/>
          <w:b/>
          <w:bCs/>
        </w:rPr>
        <w:t xml:space="preserve">Accuracy lies.</w:t>
      </w:r>
      <w:r>
        <w:rPr>
          <w:rFonts w:ascii="Calibri" w:cs="Calibri" w:eastAsia="Calibri" w:hAnsi="Calibri"/>
        </w:rPr>
        <w:t xml:space="preserve"> Only 0.17% of transactions are fraud, so a system that answers "never fraud" is 99.83% accurate and catches nothing.</w:t>
      </w:r>
    </w:p>
    <w:p>
      <w:pPr>
        <w:pStyle w:val="ListParagraph"/>
        <w:numPr>
          <w:ilvl w:val="0"/>
          <w:numId w:val="2"/>
        </w:numPr>
        <w:spacing w:after="80" w:line="290"/>
      </w:pPr>
      <w:r>
        <w:rPr>
          <w:rFonts w:ascii="Calibri" w:cs="Calibri" w:eastAsia="Calibri" w:hAnsi="Calibri"/>
          <w:b/>
          <w:bCs/>
        </w:rPr>
        <w:t xml:space="preserve">The data sets traps.</w:t>
      </w:r>
      <w:r>
        <w:rPr>
          <w:rFonts w:ascii="Calibri" w:cs="Calibri" w:eastAsia="Calibri" w:hAnsi="Calibri"/>
        </w:rPr>
        <w:t xml:space="preserve"> The file holds 1,081 exact duplicate rows, and the usual remedy for rare classes (oversampling) leaks test data into training if it is applied in the wrong place.</w:t>
      </w:r>
    </w:p>
    <w:p>
      <w:pPr>
        <w:pStyle w:val="ListParagraph"/>
        <w:numPr>
          <w:ilvl w:val="0"/>
          <w:numId w:val="2"/>
        </w:numPr>
        <w:spacing w:after="80" w:line="290"/>
      </w:pPr>
      <w:r>
        <w:rPr>
          <w:rFonts w:ascii="Calibri" w:cs="Calibri" w:eastAsia="Calibri" w:hAnsi="Calibri"/>
          <w:b/>
          <w:bCs/>
        </w:rPr>
        <w:t xml:space="preserve">Capacity is a hard limit.</w:t>
      </w:r>
      <w:r>
        <w:rPr>
          <w:rFonts w:ascii="Calibri" w:cs="Calibri" w:eastAsia="Calibri" w:hAnsi="Calibri"/>
        </w:rPr>
        <w:t xml:space="preserve"> Day 1 holds 272 frauds, so even a perfect model could catch at most 74% of them with 200 reviews.</w:t>
      </w:r>
    </w:p>
    <w:p>
      <w:pPr>
        <w:pStyle w:val="Heading1"/>
        <w:spacing w:after="160" w:before="360"/>
      </w:pPr>
      <w:r>
        <w:rPr>
          <w:rFonts w:ascii="Calibri" w:cs="Calibri" w:eastAsia="Calibri" w:hAnsi="Calibri"/>
        </w:rPr>
        <w:t xml:space="preserve">3. What the data told us</w:t>
      </w:r>
    </w:p>
    <w:p>
      <w:pPr>
        <w:spacing w:after="140" w:line="300"/>
      </w:pPr>
      <w:r>
        <w:rPr>
          <w:rFonts w:ascii="Calibri" w:cs="Calibri" w:eastAsia="Calibri" w:hAnsi="Calibri"/>
        </w:rPr>
        <w:t xml:space="preserve">Before any model was trained we profiled the data, looking for what could mislead us and for what a triage model could use. The executed notebook is notebooks/01_eda.ipynb; each finding below changed the design.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69"/>
        <w:gridCol w:w="2979"/>
        <w:gridCol w:w="2978"/>
      </w:tblGrid>
      <w:tr>
        <w:trPr>
          <w:tblHeader/>
        </w:trPr>
        <w:tc>
          <w:tcPr>
            <w:tcW w:type="dxa" w:w="3069"/>
            <w:tcBorders>
              <w:top w:val="single" w:color="C3C2B7" w:sz="4"/>
              <w:left w:val="single" w:color="C3C2B7" w:sz="4"/>
              <w:bottom w:val="single" w:color="C3C2B7" w:sz="4"/>
              <w:right w:val="single" w:color="C3C2B7" w:sz="4"/>
            </w:tcBorders>
            <w:shd w:fill="E8F0FB" w:color="auto" w:val="clear"/>
            <w:tcMar>
              <w:top w:type="dxa" w:w="70"/>
              <w:left w:type="dxa" w:w="110"/>
              <w:bottom w:type="dxa" w:w="70"/>
              <w:right w:type="dxa" w:w="110"/>
            </w:tcMar>
          </w:tcPr>
          <w:p>
            <w:pPr>
              <w:keepNext/>
              <w:spacing w:after="0" w:line="260"/>
            </w:pPr>
            <w:r>
              <w:rPr>
                <w:rFonts w:ascii="Calibri" w:cs="Calibri" w:eastAsia="Calibri" w:hAnsi="Calibri"/>
                <w:b/>
                <w:bCs/>
                <w:color w:val="0D366B"/>
                <w:sz w:val="19"/>
                <w:szCs w:val="19"/>
              </w:rPr>
              <w:t xml:space="preserve">Finding</w:t>
            </w:r>
          </w:p>
        </w:tc>
        <w:tc>
          <w:tcPr>
            <w:tcW w:type="dxa" w:w="2979"/>
            <w:tcBorders>
              <w:top w:val="single" w:color="C3C2B7" w:sz="4"/>
              <w:left w:val="single" w:color="C3C2B7" w:sz="4"/>
              <w:bottom w:val="single" w:color="C3C2B7" w:sz="4"/>
              <w:right w:val="single" w:color="C3C2B7" w:sz="4"/>
            </w:tcBorders>
            <w:shd w:fill="E8F0FB" w:color="auto" w:val="clear"/>
            <w:tcMar>
              <w:top w:type="dxa" w:w="70"/>
              <w:left w:type="dxa" w:w="110"/>
              <w:bottom w:type="dxa" w:w="70"/>
              <w:right w:type="dxa" w:w="110"/>
            </w:tcMar>
          </w:tcPr>
          <w:p>
            <w:pPr>
              <w:keepNext/>
              <w:spacing w:after="0" w:line="260"/>
            </w:pPr>
            <w:r>
              <w:rPr>
                <w:rFonts w:ascii="Calibri" w:cs="Calibri" w:eastAsia="Calibri" w:hAnsi="Calibri"/>
                <w:b/>
                <w:bCs/>
                <w:color w:val="0D366B"/>
                <w:sz w:val="19"/>
                <w:szCs w:val="19"/>
              </w:rPr>
              <w:t xml:space="preserve">Why it matters</w:t>
            </w:r>
          </w:p>
        </w:tc>
        <w:tc>
          <w:tcPr>
            <w:tcW w:type="dxa" w:w="2978"/>
            <w:tcBorders>
              <w:top w:val="single" w:color="C3C2B7" w:sz="4"/>
              <w:left w:val="single" w:color="C3C2B7" w:sz="4"/>
              <w:bottom w:val="single" w:color="C3C2B7" w:sz="4"/>
              <w:right w:val="single" w:color="C3C2B7" w:sz="4"/>
            </w:tcBorders>
            <w:shd w:fill="E8F0FB" w:color="auto" w:val="clear"/>
            <w:tcMar>
              <w:top w:type="dxa" w:w="70"/>
              <w:left w:type="dxa" w:w="110"/>
              <w:bottom w:type="dxa" w:w="70"/>
              <w:right w:type="dxa" w:w="110"/>
            </w:tcMar>
          </w:tcPr>
          <w:p>
            <w:pPr>
              <w:keepNext/>
              <w:spacing w:after="0" w:line="260"/>
            </w:pPr>
            <w:r>
              <w:rPr>
                <w:rFonts w:ascii="Calibri" w:cs="Calibri" w:eastAsia="Calibri" w:hAnsi="Calibri"/>
                <w:b/>
                <w:bCs/>
                <w:color w:val="0D366B"/>
                <w:sz w:val="19"/>
                <w:szCs w:val="19"/>
              </w:rPr>
              <w:t xml:space="preserve">What we did</w:t>
            </w:r>
          </w:p>
        </w:tc>
      </w:tr>
      <w:tr>
        <w:trPr>
          <w:cantSplit/>
        </w:trPr>
        <w:tc>
          <w:tcPr>
            <w:tcW w:type="dxa" w:w="3069"/>
            <w:tcBorders>
              <w:top w:val="single" w:color="C3C2B7" w:sz="4"/>
              <w:left w:val="single" w:color="C3C2B7" w:sz="4"/>
              <w:bottom w:val="single" w:color="C3C2B7" w:sz="4"/>
              <w:right w:val="single" w:color="C3C2B7" w:sz="4"/>
            </w:tcBorders>
            <w:tcMar>
              <w:top w:type="dxa" w:w="70"/>
              <w:left w:type="dxa" w:w="110"/>
              <w:bottom w:type="dxa" w:w="70"/>
              <w:right w:type="dxa" w:w="110"/>
            </w:tcMar>
          </w:tcPr>
          <w:p>
            <w:pPr>
              <w:keepNext/>
              <w:spacing w:after="0" w:line="260"/>
            </w:pPr>
            <w:r>
              <w:rPr>
                <w:rFonts w:ascii="Calibri" w:cs="Calibri" w:eastAsia="Calibri" w:hAnsi="Calibri"/>
                <w:color w:val="1A1A1A"/>
                <w:sz w:val="19"/>
                <w:szCs w:val="19"/>
              </w:rPr>
              <w:t xml:space="preserve">492 frauds in 284,807 transactions</w:t>
            </w:r>
          </w:p>
        </w:tc>
        <w:tc>
          <w:tcPr>
            <w:tcW w:type="dxa" w:w="2979"/>
            <w:tcBorders>
              <w:top w:val="single" w:color="C3C2B7" w:sz="4"/>
              <w:left w:val="single" w:color="C3C2B7" w:sz="4"/>
              <w:bottom w:val="single" w:color="C3C2B7" w:sz="4"/>
              <w:right w:val="single" w:color="C3C2B7" w:sz="4"/>
            </w:tcBorders>
            <w:tcMar>
              <w:top w:type="dxa" w:w="70"/>
              <w:left w:type="dxa" w:w="110"/>
              <w:bottom w:type="dxa" w:w="70"/>
              <w:right w:type="dxa" w:w="110"/>
            </w:tcMar>
          </w:tcPr>
          <w:p>
            <w:pPr>
              <w:keepNext/>
              <w:spacing w:after="0" w:line="260"/>
            </w:pPr>
            <w:r>
              <w:rPr>
                <w:rFonts w:ascii="Calibri" w:cs="Calibri" w:eastAsia="Calibri" w:hAnsi="Calibri"/>
                <w:color w:val="1A1A1A"/>
                <w:sz w:val="19"/>
                <w:szCs w:val="19"/>
              </w:rPr>
              <w:t xml:space="preserve">Accuracy near 99.8% for a model that catches nothing</w:t>
            </w:r>
          </w:p>
        </w:tc>
        <w:tc>
          <w:tcPr>
            <w:tcW w:type="dxa" w:w="2978"/>
            <w:tcBorders>
              <w:top w:val="single" w:color="C3C2B7" w:sz="4"/>
              <w:left w:val="single" w:color="C3C2B7" w:sz="4"/>
              <w:bottom w:val="single" w:color="C3C2B7" w:sz="4"/>
              <w:right w:val="single" w:color="C3C2B7" w:sz="4"/>
            </w:tcBorders>
            <w:tcMar>
              <w:top w:type="dxa" w:w="70"/>
              <w:left w:type="dxa" w:w="110"/>
              <w:bottom w:type="dxa" w:w="70"/>
              <w:right w:type="dxa" w:w="110"/>
            </w:tcMar>
          </w:tcPr>
          <w:p>
            <w:pPr>
              <w:keepNext/>
              <w:spacing w:after="0" w:line="260"/>
            </w:pPr>
            <w:r>
              <w:rPr>
                <w:rFonts w:ascii="Calibri" w:cs="Calibri" w:eastAsia="Calibri" w:hAnsi="Calibri"/>
                <w:color w:val="1A1A1A"/>
                <w:sz w:val="19"/>
                <w:szCs w:val="19"/>
              </w:rPr>
              <w:t xml:space="preserve">PR-AUC and precision/recall at 200 alerts; accuracy never used</w:t>
            </w:r>
          </w:p>
        </w:tc>
      </w:tr>
      <w:tr>
        <w:trPr>
          <w:cantSplit/>
        </w:trPr>
        <w:tc>
          <w:tcPr>
            <w:tcW w:type="dxa" w:w="3069"/>
            <w:tcBorders>
              <w:top w:val="single" w:color="C3C2B7" w:sz="4"/>
              <w:left w:val="single" w:color="C3C2B7" w:sz="4"/>
              <w:bottom w:val="single" w:color="C3C2B7" w:sz="4"/>
              <w:right w:val="single" w:color="C3C2B7" w:sz="4"/>
            </w:tcBorders>
            <w:tcMar>
              <w:top w:type="dxa" w:w="70"/>
              <w:left w:type="dxa" w:w="110"/>
              <w:bottom w:type="dxa" w:w="70"/>
              <w:right w:type="dxa" w:w="110"/>
            </w:tcMar>
          </w:tcPr>
          <w:p>
            <w:pPr>
              <w:keepNext/>
              <w:spacing w:after="0" w:line="260"/>
            </w:pPr>
            <w:r>
              <w:rPr>
                <w:rFonts w:ascii="Calibri" w:cs="Calibri" w:eastAsia="Calibri" w:hAnsi="Calibri"/>
                <w:color w:val="1A1A1A"/>
                <w:sz w:val="19"/>
                <w:szCs w:val="19"/>
              </w:rPr>
              <w:t xml:space="preserve">1,081 exact duplicate rows, 19 of them fraud</w:t>
            </w:r>
          </w:p>
        </w:tc>
        <w:tc>
          <w:tcPr>
            <w:tcW w:type="dxa" w:w="2979"/>
            <w:tcBorders>
              <w:top w:val="single" w:color="C3C2B7" w:sz="4"/>
              <w:left w:val="single" w:color="C3C2B7" w:sz="4"/>
              <w:bottom w:val="single" w:color="C3C2B7" w:sz="4"/>
              <w:right w:val="single" w:color="C3C2B7" w:sz="4"/>
            </w:tcBorders>
            <w:tcMar>
              <w:top w:type="dxa" w:w="70"/>
              <w:left w:type="dxa" w:w="110"/>
              <w:bottom w:type="dxa" w:w="70"/>
              <w:right w:type="dxa" w:w="110"/>
            </w:tcMar>
          </w:tcPr>
          <w:p>
            <w:pPr>
              <w:keepNext/>
              <w:spacing w:after="0" w:line="260"/>
            </w:pPr>
            <w:r>
              <w:rPr>
                <w:rFonts w:ascii="Calibri" w:cs="Calibri" w:eastAsia="Calibri" w:hAnsi="Calibri"/>
                <w:color w:val="1A1A1A"/>
                <w:sz w:val="19"/>
                <w:szCs w:val="19"/>
              </w:rPr>
              <w:t xml:space="preserve">A random split puts 403 copies in both train and test</w:t>
            </w:r>
          </w:p>
        </w:tc>
        <w:tc>
          <w:tcPr>
            <w:tcW w:type="dxa" w:w="2978"/>
            <w:tcBorders>
              <w:top w:val="single" w:color="C3C2B7" w:sz="4"/>
              <w:left w:val="single" w:color="C3C2B7" w:sz="4"/>
              <w:bottom w:val="single" w:color="C3C2B7" w:sz="4"/>
              <w:right w:val="single" w:color="C3C2B7" w:sz="4"/>
            </w:tcBorders>
            <w:tcMar>
              <w:top w:type="dxa" w:w="70"/>
              <w:left w:type="dxa" w:w="110"/>
              <w:bottom w:type="dxa" w:w="70"/>
              <w:right w:type="dxa" w:w="110"/>
            </w:tcMar>
          </w:tcPr>
          <w:p>
            <w:pPr>
              <w:keepNext/>
              <w:spacing w:after="0" w:line="260"/>
            </w:pPr>
            <w:r>
              <w:rPr>
                <w:rFonts w:ascii="Calibri" w:cs="Calibri" w:eastAsia="Calibri" w:hAnsi="Calibri"/>
                <w:color w:val="1A1A1A"/>
                <w:sz w:val="19"/>
                <w:szCs w:val="19"/>
              </w:rPr>
              <w:t xml:space="preserve">Duplicates removed before any split</w:t>
            </w:r>
          </w:p>
        </w:tc>
      </w:tr>
      <w:tr>
        <w:trPr>
          <w:cantSplit/>
        </w:trPr>
        <w:tc>
          <w:tcPr>
            <w:tcW w:type="dxa" w:w="3069"/>
            <w:tcBorders>
              <w:top w:val="single" w:color="C3C2B7" w:sz="4"/>
              <w:left w:val="single" w:color="C3C2B7" w:sz="4"/>
              <w:bottom w:val="single" w:color="C3C2B7" w:sz="4"/>
              <w:right w:val="single" w:color="C3C2B7" w:sz="4"/>
            </w:tcBorders>
            <w:tcMar>
              <w:top w:type="dxa" w:w="70"/>
              <w:left w:type="dxa" w:w="110"/>
              <w:bottom w:type="dxa" w:w="70"/>
              <w:right w:type="dxa" w:w="110"/>
            </w:tcMar>
          </w:tcPr>
          <w:p>
            <w:pPr>
              <w:keepNext/>
              <w:spacing w:after="0" w:line="260"/>
            </w:pPr>
            <w:r>
              <w:rPr>
                <w:rFonts w:ascii="Calibri" w:cs="Calibri" w:eastAsia="Calibri" w:hAnsi="Calibri"/>
                <w:color w:val="1A1A1A"/>
                <w:sz w:val="19"/>
                <w:szCs w:val="19"/>
              </w:rPr>
              <w:t xml:space="preserve">Two days; Time is a running counter</w:t>
            </w:r>
          </w:p>
        </w:tc>
        <w:tc>
          <w:tcPr>
            <w:tcW w:type="dxa" w:w="2979"/>
            <w:tcBorders>
              <w:top w:val="single" w:color="C3C2B7" w:sz="4"/>
              <w:left w:val="single" w:color="C3C2B7" w:sz="4"/>
              <w:bottom w:val="single" w:color="C3C2B7" w:sz="4"/>
              <w:right w:val="single" w:color="C3C2B7" w:sz="4"/>
            </w:tcBorders>
            <w:tcMar>
              <w:top w:type="dxa" w:w="70"/>
              <w:left w:type="dxa" w:w="110"/>
              <w:bottom w:type="dxa" w:w="70"/>
              <w:right w:type="dxa" w:w="110"/>
            </w:tcMar>
          </w:tcPr>
          <w:p>
            <w:pPr>
              <w:keepNext/>
              <w:spacing w:after="0" w:line="260"/>
            </w:pPr>
            <w:r>
              <w:rPr>
                <w:rFonts w:ascii="Calibri" w:cs="Calibri" w:eastAsia="Calibri" w:hAnsi="Calibri"/>
                <w:color w:val="1A1A1A"/>
                <w:sz w:val="19"/>
                <w:szCs w:val="19"/>
              </w:rPr>
              <w:t xml:space="preserve">Day-2 values of Time lie outside anything seen in training</w:t>
            </w:r>
          </w:p>
        </w:tc>
        <w:tc>
          <w:tcPr>
            <w:tcW w:type="dxa" w:w="2978"/>
            <w:tcBorders>
              <w:top w:val="single" w:color="C3C2B7" w:sz="4"/>
              <w:left w:val="single" w:color="C3C2B7" w:sz="4"/>
              <w:bottom w:val="single" w:color="C3C2B7" w:sz="4"/>
              <w:right w:val="single" w:color="C3C2B7" w:sz="4"/>
            </w:tcBorders>
            <w:tcMar>
              <w:top w:type="dxa" w:w="70"/>
              <w:left w:type="dxa" w:w="110"/>
              <w:bottom w:type="dxa" w:w="70"/>
              <w:right w:type="dxa" w:w="110"/>
            </w:tcMar>
          </w:tcPr>
          <w:p>
            <w:pPr>
              <w:keepNext/>
              <w:spacing w:after="0" w:line="260"/>
            </w:pPr>
            <w:r>
              <w:rPr>
                <w:rFonts w:ascii="Calibri" w:cs="Calibri" w:eastAsia="Calibri" w:hAnsi="Calibri"/>
                <w:color w:val="1A1A1A"/>
                <w:sz w:val="19"/>
                <w:szCs w:val="19"/>
              </w:rPr>
              <w:t xml:space="preserve">Train on day 1, test on day 2; hour of day replaces raw Time</w:t>
            </w:r>
          </w:p>
        </w:tc>
      </w:tr>
      <w:tr>
        <w:trPr>
          <w:cantSplit/>
        </w:trPr>
        <w:tc>
          <w:tcPr>
            <w:tcW w:type="dxa" w:w="3069"/>
            <w:tcBorders>
              <w:top w:val="single" w:color="C3C2B7" w:sz="4"/>
              <w:left w:val="single" w:color="C3C2B7" w:sz="4"/>
              <w:bottom w:val="single" w:color="C3C2B7" w:sz="4"/>
              <w:right w:val="single" w:color="C3C2B7" w:sz="4"/>
            </w:tcBorders>
            <w:tcMar>
              <w:top w:type="dxa" w:w="70"/>
              <w:left w:type="dxa" w:w="110"/>
              <w:bottom w:type="dxa" w:w="70"/>
              <w:right w:type="dxa" w:w="110"/>
            </w:tcMar>
          </w:tcPr>
          <w:p>
            <w:pPr>
              <w:keepNext/>
              <w:spacing w:after="0" w:line="260"/>
            </w:pPr>
            <w:r>
              <w:rPr>
                <w:rFonts w:ascii="Calibri" w:cs="Calibri" w:eastAsia="Calibri" w:hAnsi="Calibri"/>
                <w:color w:val="1A1A1A"/>
                <w:sz w:val="19"/>
                <w:szCs w:val="19"/>
              </w:rPr>
              <w:t xml:space="preserve">36% of frauds are EUR 1.00 or less (11% of genuine payments)</w:t>
            </w:r>
          </w:p>
        </w:tc>
        <w:tc>
          <w:tcPr>
            <w:tcW w:type="dxa" w:w="2979"/>
            <w:tcBorders>
              <w:top w:val="single" w:color="C3C2B7" w:sz="4"/>
              <w:left w:val="single" w:color="C3C2B7" w:sz="4"/>
              <w:bottom w:val="single" w:color="C3C2B7" w:sz="4"/>
              <w:right w:val="single" w:color="C3C2B7" w:sz="4"/>
            </w:tcBorders>
            <w:tcMar>
              <w:top w:type="dxa" w:w="70"/>
              <w:left w:type="dxa" w:w="110"/>
              <w:bottom w:type="dxa" w:w="70"/>
              <w:right w:type="dxa" w:w="110"/>
            </w:tcMar>
          </w:tcPr>
          <w:p>
            <w:pPr>
              <w:keepNext/>
              <w:spacing w:after="0" w:line="260"/>
            </w:pPr>
            <w:r>
              <w:rPr>
                <w:rFonts w:ascii="Calibri" w:cs="Calibri" w:eastAsia="Calibri" w:hAnsi="Calibri"/>
                <w:color w:val="1A1A1A"/>
                <w:sz w:val="19"/>
                <w:szCs w:val="19"/>
              </w:rPr>
              <w:t xml:space="preserve">Reviewing the largest amounts finds no fraud at all</w:t>
            </w:r>
          </w:p>
        </w:tc>
        <w:tc>
          <w:tcPr>
            <w:tcW w:type="dxa" w:w="2978"/>
            <w:tcBorders>
              <w:top w:val="single" w:color="C3C2B7" w:sz="4"/>
              <w:left w:val="single" w:color="C3C2B7" w:sz="4"/>
              <w:bottom w:val="single" w:color="C3C2B7" w:sz="4"/>
              <w:right w:val="single" w:color="C3C2B7" w:sz="4"/>
            </w:tcBorders>
            <w:tcMar>
              <w:top w:type="dxa" w:w="70"/>
              <w:left w:type="dxa" w:w="110"/>
              <w:bottom w:type="dxa" w:w="70"/>
              <w:right w:type="dxa" w:w="110"/>
            </w:tcMar>
          </w:tcPr>
          <w:p>
            <w:pPr>
              <w:keepNext/>
              <w:spacing w:after="0" w:line="260"/>
            </w:pPr>
            <w:r>
              <w:rPr>
                <w:rFonts w:ascii="Calibri" w:cs="Calibri" w:eastAsia="Calibri" w:hAnsi="Calibri"/>
                <w:color w:val="1A1A1A"/>
                <w:sz w:val="19"/>
                <w:szCs w:val="19"/>
              </w:rPr>
              <w:t xml:space="preserve">Log amount; a card-testing reason and advice on micro-amounts</w:t>
            </w:r>
          </w:p>
        </w:tc>
      </w:tr>
      <w:tr>
        <w:trPr>
          <w:cantSplit/>
        </w:trPr>
        <w:tc>
          <w:tcPr>
            <w:tcW w:type="dxa" w:w="3069"/>
            <w:tcBorders>
              <w:top w:val="single" w:color="C3C2B7" w:sz="4"/>
              <w:left w:val="single" w:color="C3C2B7" w:sz="4"/>
              <w:bottom w:val="single" w:color="C3C2B7" w:sz="4"/>
              <w:right w:val="single" w:color="C3C2B7" w:sz="4"/>
            </w:tcBorders>
            <w:tcMar>
              <w:top w:type="dxa" w:w="70"/>
              <w:left w:type="dxa" w:w="110"/>
              <w:bottom w:type="dxa" w:w="70"/>
              <w:right w:type="dxa" w:w="110"/>
            </w:tcMar>
          </w:tcPr>
          <w:p>
            <w:pPr>
              <w:keepNext/>
              <w:spacing w:after="0" w:line="260"/>
            </w:pPr>
            <w:r>
              <w:rPr>
                <w:rFonts w:ascii="Calibri" w:cs="Calibri" w:eastAsia="Calibri" w:hAnsi="Calibri"/>
                <w:color w:val="1A1A1A"/>
                <w:sz w:val="19"/>
                <w:szCs w:val="19"/>
              </w:rPr>
              <w:t xml:space="preserve">Fraud rate at 2am is 1.45%, nine times the average</w:t>
            </w:r>
          </w:p>
        </w:tc>
        <w:tc>
          <w:tcPr>
            <w:tcW w:type="dxa" w:w="2979"/>
            <w:tcBorders>
              <w:top w:val="single" w:color="C3C2B7" w:sz="4"/>
              <w:left w:val="single" w:color="C3C2B7" w:sz="4"/>
              <w:bottom w:val="single" w:color="C3C2B7" w:sz="4"/>
              <w:right w:val="single" w:color="C3C2B7" w:sz="4"/>
            </w:tcBorders>
            <w:tcMar>
              <w:top w:type="dxa" w:w="70"/>
              <w:left w:type="dxa" w:w="110"/>
              <w:bottom w:type="dxa" w:w="70"/>
              <w:right w:type="dxa" w:w="110"/>
            </w:tcMar>
          </w:tcPr>
          <w:p>
            <w:pPr>
              <w:keepNext/>
              <w:spacing w:after="0" w:line="260"/>
            </w:pPr>
            <w:r>
              <w:rPr>
                <w:rFonts w:ascii="Calibri" w:cs="Calibri" w:eastAsia="Calibri" w:hAnsi="Calibri"/>
                <w:color w:val="1A1A1A"/>
                <w:sz w:val="19"/>
                <w:szCs w:val="19"/>
              </w:rPr>
              <w:t xml:space="preserve">Time of day is real signal</w:t>
            </w:r>
          </w:p>
        </w:tc>
        <w:tc>
          <w:tcPr>
            <w:tcW w:type="dxa" w:w="2978"/>
            <w:tcBorders>
              <w:top w:val="single" w:color="C3C2B7" w:sz="4"/>
              <w:left w:val="single" w:color="C3C2B7" w:sz="4"/>
              <w:bottom w:val="single" w:color="C3C2B7" w:sz="4"/>
              <w:right w:val="single" w:color="C3C2B7" w:sz="4"/>
            </w:tcBorders>
            <w:tcMar>
              <w:top w:type="dxa" w:w="70"/>
              <w:left w:type="dxa" w:w="110"/>
              <w:bottom w:type="dxa" w:w="70"/>
              <w:right w:type="dxa" w:w="110"/>
            </w:tcMar>
          </w:tcPr>
          <w:p>
            <w:pPr>
              <w:keepNext/>
              <w:spacing w:after="0" w:line="260"/>
            </w:pPr>
            <w:r>
              <w:rPr>
                <w:rFonts w:ascii="Calibri" w:cs="Calibri" w:eastAsia="Calibri" w:hAnsi="Calibri"/>
                <w:color w:val="1A1A1A"/>
                <w:sz w:val="19"/>
                <w:szCs w:val="19"/>
              </w:rPr>
              <w:t xml:space="preserve">Hour of day is a model input and a plain-language reason</w:t>
            </w:r>
          </w:p>
        </w:tc>
      </w:tr>
      <w:tr>
        <w:trPr>
          <w:cantSplit/>
        </w:trPr>
        <w:tc>
          <w:tcPr>
            <w:tcW w:type="dxa" w:w="3069"/>
            <w:tcBorders>
              <w:top w:val="single" w:color="C3C2B7" w:sz="4"/>
              <w:left w:val="single" w:color="C3C2B7" w:sz="4"/>
              <w:bottom w:val="single" w:color="C3C2B7" w:sz="4"/>
              <w:right w:val="single" w:color="C3C2B7" w:sz="4"/>
            </w:tcBorders>
            <w:tcMar>
              <w:top w:type="dxa" w:w="70"/>
              <w:left w:type="dxa" w:w="110"/>
              <w:bottom w:type="dxa" w:w="70"/>
              <w:right w:type="dxa" w:w="110"/>
            </w:tcMar>
          </w:tcPr>
          <w:p>
            <w:pPr>
              <w:keepNext w:val="false"/>
              <w:spacing w:after="0" w:line="260"/>
            </w:pPr>
            <w:r>
              <w:rPr>
                <w:rFonts w:ascii="Calibri" w:cs="Calibri" w:eastAsia="Calibri" w:hAnsi="Calibri"/>
                <w:color w:val="1A1A1A"/>
                <w:sz w:val="19"/>
                <w:szCs w:val="19"/>
              </w:rPr>
              <w:t xml:space="preserve">A few anonymised features (V14, V4, V12, V10) separate the classes</w:t>
            </w:r>
          </w:p>
        </w:tc>
        <w:tc>
          <w:tcPr>
            <w:tcW w:type="dxa" w:w="2979"/>
            <w:tcBorders>
              <w:top w:val="single" w:color="C3C2B7" w:sz="4"/>
              <w:left w:val="single" w:color="C3C2B7" w:sz="4"/>
              <w:bottom w:val="single" w:color="C3C2B7" w:sz="4"/>
              <w:right w:val="single" w:color="C3C2B7" w:sz="4"/>
            </w:tcBorders>
            <w:tcMar>
              <w:top w:type="dxa" w:w="70"/>
              <w:left w:type="dxa" w:w="110"/>
              <w:bottom w:type="dxa" w:w="70"/>
              <w:right w:type="dxa" w:w="110"/>
            </w:tcMar>
          </w:tcPr>
          <w:p>
            <w:pPr>
              <w:keepNext w:val="false"/>
              <w:spacing w:after="0" w:line="260"/>
            </w:pPr>
            <w:r>
              <w:rPr>
                <w:rFonts w:ascii="Calibri" w:cs="Calibri" w:eastAsia="Calibri" w:hAnsi="Calibri"/>
                <w:color w:val="1A1A1A"/>
                <w:sz w:val="19"/>
                <w:szCs w:val="19"/>
              </w:rPr>
              <w:t xml:space="preserve">They drive both the score and its explanation</w:t>
            </w:r>
          </w:p>
        </w:tc>
        <w:tc>
          <w:tcPr>
            <w:tcW w:type="dxa" w:w="2978"/>
            <w:tcBorders>
              <w:top w:val="single" w:color="C3C2B7" w:sz="4"/>
              <w:left w:val="single" w:color="C3C2B7" w:sz="4"/>
              <w:bottom w:val="single" w:color="C3C2B7" w:sz="4"/>
              <w:right w:val="single" w:color="C3C2B7" w:sz="4"/>
            </w:tcBorders>
            <w:tcMar>
              <w:top w:type="dxa" w:w="70"/>
              <w:left w:type="dxa" w:w="110"/>
              <w:bottom w:type="dxa" w:w="70"/>
              <w:right w:type="dxa" w:w="110"/>
            </w:tcMar>
          </w:tcPr>
          <w:p>
            <w:pPr>
              <w:keepNext w:val="false"/>
              <w:spacing w:after="0" w:line="260"/>
            </w:pPr>
            <w:r>
              <w:rPr>
                <w:rFonts w:ascii="Calibri" w:cs="Calibri" w:eastAsia="Calibri" w:hAnsi="Calibri"/>
                <w:color w:val="1A1A1A"/>
                <w:sz w:val="19"/>
                <w:szCs w:val="19"/>
              </w:rPr>
              <w:t xml:space="preserve">Per-alert reasons from exact SHAP contributions</w:t>
            </w:r>
          </w:p>
        </w:tc>
      </w:tr>
    </w:tbl>
    <w:p>
      <w:pPr>
        <w:spacing w:after="160"/>
      </w:pPr>
    </w:p>
    <w:p>
      <w:pPr>
        <w:keepNext/>
        <w:spacing w:after="60" w:before="120"/>
        <w:jc w:val="center"/>
      </w:pPr>
      <w:r>
        <w:drawing>
          <wp:inline distT="0" distB="0" distL="0" distR="0">
            <wp:extent cx="4752975" cy="3505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752975" cy="3505200"/>
                    </a:xfrm>
                    <a:prstGeom prst="rect">
                      <a:avLst/>
                    </a:prstGeom>
                  </pic:spPr>
                </pic:pic>
              </a:graphicData>
            </a:graphic>
          </wp:inline>
        </w:drawing>
      </w:r>
    </w:p>
    <w:p>
      <w:pPr>
        <w:spacing w:after="200"/>
        <w:jc w:val="center"/>
      </w:pPr>
      <w:r>
        <w:rPr>
          <w:rFonts w:ascii="Calibri" w:cs="Calibri" w:eastAsia="Calibri" w:hAnsi="Calibri"/>
          <w:i/>
          <w:iCs/>
          <w:color w:val="5F5E5A"/>
          <w:sz w:val="18"/>
          <w:szCs w:val="18"/>
        </w:rPr>
        <w:t xml:space="preserve">Figure 1. Fraud concentrates in the quiet overnight hours.</w:t>
      </w:r>
    </w:p>
    <w:p>
      <w:pPr>
        <w:keepNext/>
        <w:spacing w:after="60" w:before="120"/>
        <w:jc w:val="center"/>
      </w:pPr>
      <w:r>
        <w:drawing>
          <wp:inline distT="0" distB="0" distL="0" distR="0">
            <wp:extent cx="4752975" cy="2886075"/>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752975" cy="2886075"/>
                    </a:xfrm>
                    <a:prstGeom prst="rect">
                      <a:avLst/>
                    </a:prstGeom>
                  </pic:spPr>
                </pic:pic>
              </a:graphicData>
            </a:graphic>
          </wp:inline>
        </w:drawing>
      </w:r>
    </w:p>
    <w:p>
      <w:pPr>
        <w:spacing w:after="200"/>
        <w:jc w:val="center"/>
      </w:pPr>
      <w:r>
        <w:rPr>
          <w:rFonts w:ascii="Calibri" w:cs="Calibri" w:eastAsia="Calibri" w:hAnsi="Calibri"/>
          <w:i/>
          <w:iCs/>
          <w:color w:val="5F5E5A"/>
          <w:sz w:val="18"/>
          <w:szCs w:val="18"/>
        </w:rPr>
        <w:t xml:space="preserve">Figure 2. Fraud amounts skew small: a third are EUR 1.00 or less.</w:t>
      </w:r>
    </w:p>
    <w:p>
      <w:pPr>
        <w:pStyle w:val="Heading1"/>
        <w:spacing w:after="160" w:before="360"/>
      </w:pPr>
      <w:r>
        <w:rPr>
          <w:rFonts w:ascii="Calibri" w:cs="Calibri" w:eastAsia="Calibri" w:hAnsi="Calibri"/>
        </w:rPr>
        <w:t xml:space="preserve">4. Solution overview</w:t>
      </w:r>
    </w:p>
    <w:p>
      <w:pPr>
        <w:spacing w:after="140" w:line="300"/>
      </w:pPr>
      <w:r>
        <w:rPr>
          <w:rFonts w:ascii="Calibri" w:cs="Calibri" w:eastAsia="Calibri" w:hAnsi="Calibri"/>
        </w:rPr>
        <w:t xml:space="preserve">FraudLens turns a day of transactions into a ranked, explained, actionable queue in six steps.</w:t>
      </w:r>
    </w:p>
    <w:p>
      <w:pPr>
        <w:pStyle w:val="ListParagraph"/>
        <w:numPr>
          <w:ilvl w:val="0"/>
          <w:numId w:val="3"/>
        </w:numPr>
        <w:spacing w:after="80" w:line="290"/>
      </w:pPr>
      <w:r>
        <w:rPr>
          <w:rFonts w:ascii="Calibri" w:cs="Calibri" w:eastAsia="Calibri" w:hAnsi="Calibri"/>
          <w:b/>
          <w:bCs/>
        </w:rPr>
        <w:t xml:space="preserve">Score.</w:t>
      </w:r>
      <w:r>
        <w:rPr>
          <w:rFonts w:ascii="Calibri" w:cs="Calibri" w:eastAsia="Calibri" w:hAnsi="Calibri"/>
        </w:rPr>
        <w:t xml:space="preserve"> A gradient-boosted model (XGBoost), trained on day 1 only, gives each transaction a fraud-risk score between 0 and 1.</w:t>
      </w:r>
    </w:p>
    <w:p>
      <w:pPr>
        <w:pStyle w:val="ListParagraph"/>
        <w:numPr>
          <w:ilvl w:val="0"/>
          <w:numId w:val="3"/>
        </w:numPr>
        <w:spacing w:after="80" w:line="290"/>
      </w:pPr>
      <w:r>
        <w:rPr>
          <w:rFonts w:ascii="Calibri" w:cs="Calibri" w:eastAsia="Calibri" w:hAnsi="Calibri"/>
          <w:b/>
          <w:bCs/>
        </w:rPr>
        <w:t xml:space="preserve">Rank to capacity.</w:t>
      </w:r>
      <w:r>
        <w:rPr>
          <w:rFonts w:ascii="Calibri" w:cs="Calibri" w:eastAsia="Calibri" w:hAnsi="Calibri"/>
        </w:rPr>
        <w:t xml:space="preserve"> The 200 highest scores become the day's alert queue. The cutoff is the team's capacity, not an arbitrary probability.</w:t>
      </w:r>
    </w:p>
    <w:p>
      <w:pPr>
        <w:pStyle w:val="ListParagraph"/>
        <w:numPr>
          <w:ilvl w:val="0"/>
          <w:numId w:val="3"/>
        </w:numPr>
        <w:spacing w:after="80" w:line="290"/>
      </w:pPr>
      <w:r>
        <w:rPr>
          <w:rFonts w:ascii="Calibri" w:cs="Calibri" w:eastAsia="Calibri" w:hAnsi="Calibri"/>
          <w:b/>
          <w:bCs/>
        </w:rPr>
        <w:t xml:space="preserve">Explain.</w:t>
      </w:r>
      <w:r>
        <w:rPr>
          <w:rFonts w:ascii="Calibri" w:cs="Calibri" w:eastAsia="Calibri" w:hAnsi="Calibri"/>
        </w:rPr>
        <w:t xml:space="preserve"> Each alert carries its top three reasons, computed as exact SHAP contributions and phrased against genuine behaviour, for example "V14 = -7.46: lower than 99.9% of genuine transactions".</w:t>
      </w:r>
    </w:p>
    <w:p>
      <w:pPr>
        <w:pStyle w:val="ListParagraph"/>
        <w:numPr>
          <w:ilvl w:val="0"/>
          <w:numId w:val="3"/>
        </w:numPr>
        <w:spacing w:after="80" w:line="290"/>
      </w:pPr>
      <w:r>
        <w:rPr>
          <w:rFonts w:ascii="Calibri" w:cs="Calibri" w:eastAsia="Calibri" w:hAnsi="Calibri"/>
          <w:b/>
          <w:bCs/>
        </w:rPr>
        <w:t xml:space="preserve">Recommend.</w:t>
      </w:r>
      <w:r>
        <w:rPr>
          <w:rFonts w:ascii="Calibri" w:cs="Calibri" w:eastAsia="Calibri" w:hAnsi="Calibri"/>
        </w:rPr>
        <w:t xml:space="preserve"> A rule-based policy maps the risk band to an action: hold and call, step-up verification, or analyst review.</w:t>
      </w:r>
    </w:p>
    <w:p>
      <w:pPr>
        <w:pStyle w:val="ListParagraph"/>
        <w:numPr>
          <w:ilvl w:val="0"/>
          <w:numId w:val="3"/>
        </w:numPr>
        <w:spacing w:after="80" w:line="290"/>
      </w:pPr>
      <w:r>
        <w:rPr>
          <w:rFonts w:ascii="Calibri" w:cs="Calibri" w:eastAsia="Calibri" w:hAnsi="Calibri"/>
          <w:b/>
          <w:bCs/>
        </w:rPr>
        <w:t xml:space="preserve">Draft.</w:t>
      </w:r>
      <w:r>
        <w:rPr>
          <w:rFonts w:ascii="Calibri" w:cs="Calibri" w:eastAsia="Calibri" w:hAnsi="Calibri"/>
        </w:rPr>
        <w:t xml:space="preserve"> A review-note agent writes the note for each alert, from a template or with a local open-source LLM whose output is checked against the evidence.</w:t>
      </w:r>
    </w:p>
    <w:p>
      <w:pPr>
        <w:pStyle w:val="ListParagraph"/>
        <w:numPr>
          <w:ilvl w:val="0"/>
          <w:numId w:val="3"/>
        </w:numPr>
        <w:spacing w:after="80" w:line="290"/>
      </w:pPr>
      <w:r>
        <w:rPr>
          <w:rFonts w:ascii="Calibri" w:cs="Calibri" w:eastAsia="Calibri" w:hAnsi="Calibri"/>
          <w:b/>
          <w:bCs/>
        </w:rPr>
        <w:t xml:space="preserve">Wait for a human.</w:t>
      </w:r>
      <w:r>
        <w:rPr>
          <w:rFonts w:ascii="Calibri" w:cs="Calibri" w:eastAsia="Calibri" w:hAnsi="Calibri"/>
        </w:rPr>
        <w:t xml:space="preserve"> Every action is PENDING_APPROVAL. An analyst approves, rejects or escalates, and each decision goes to an audit log.</w:t>
      </w:r>
    </w:p>
    <w:p>
      <w:pPr>
        <w:keepNext/>
        <w:spacing w:after="60" w:before="120"/>
        <w:jc w:val="center"/>
      </w:pPr>
      <w:r>
        <w:drawing>
          <wp:inline distT="0" distB="0" distL="0" distR="0">
            <wp:extent cx="4752975" cy="3714750"/>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752975" cy="3714750"/>
                    </a:xfrm>
                    <a:prstGeom prst="rect">
                      <a:avLst/>
                    </a:prstGeom>
                  </pic:spPr>
                </pic:pic>
              </a:graphicData>
            </a:graphic>
          </wp:inline>
        </w:drawing>
      </w:r>
    </w:p>
    <w:p>
      <w:pPr>
        <w:spacing w:after="200"/>
        <w:jc w:val="center"/>
      </w:pPr>
      <w:r>
        <w:rPr>
          <w:rFonts w:ascii="Calibri" w:cs="Calibri" w:eastAsia="Calibri" w:hAnsi="Calibri"/>
          <w:i/>
          <w:iCs/>
          <w:color w:val="5F5E5A"/>
          <w:sz w:val="18"/>
          <w:szCs w:val="18"/>
        </w:rPr>
        <w:t xml:space="preserve">Figure 3. The analyst console: the day's queue on the left, the selected case on the right.</w:t>
      </w:r>
    </w:p>
    <w:p>
      <w:pPr>
        <w:pStyle w:val="Heading1"/>
        <w:spacing w:after="160" w:before="360"/>
      </w:pPr>
      <w:r>
        <w:rPr>
          <w:rFonts w:ascii="Calibri" w:cs="Calibri" w:eastAsia="Calibri" w:hAnsi="Calibri"/>
        </w:rPr>
        <w:t xml:space="preserve">5. Architecture</w:t>
      </w:r>
    </w:p>
    <w:p>
      <w:pPr>
        <w:keepNext/>
        <w:spacing w:after="60" w:before="120"/>
        <w:jc w:val="center"/>
      </w:pPr>
      <w:r>
        <w:drawing>
          <wp:inline distT="0" distB="0" distL="0" distR="0">
            <wp:extent cx="5486400" cy="3352800"/>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486400" cy="3352800"/>
                    </a:xfrm>
                    <a:prstGeom prst="rect">
                      <a:avLst/>
                    </a:prstGeom>
                  </pic:spPr>
                </pic:pic>
              </a:graphicData>
            </a:graphic>
          </wp:inline>
        </w:drawing>
      </w:r>
    </w:p>
    <w:p>
      <w:pPr>
        <w:spacing w:after="200"/>
        <w:jc w:val="center"/>
      </w:pPr>
      <w:r>
        <w:rPr>
          <w:rFonts w:ascii="Calibri" w:cs="Calibri" w:eastAsia="Calibri" w:hAnsi="Calibri"/>
          <w:i/>
          <w:iCs/>
          <w:color w:val="5F5E5A"/>
          <w:sz w:val="18"/>
          <w:szCs w:val="18"/>
        </w:rPr>
        <w:t xml:space="preserve">Figure 4. Four stages. The blue boxes are the human gate: nothing passes them without an approval.</w:t>
      </w:r>
    </w:p>
    <w:p>
      <w:pPr>
        <w:pStyle w:val="Heading2"/>
        <w:spacing w:after="100" w:before="240"/>
      </w:pPr>
      <w:r>
        <w:rPr>
          <w:rFonts w:ascii="Calibri" w:cs="Calibri" w:eastAsia="Calibri" w:hAnsi="Calibri"/>
        </w:rPr>
        <w:t xml:space="preserve">Design decisions</w:t>
      </w:r>
    </w:p>
    <w:p>
      <w:pPr>
        <w:pStyle w:val="ListParagraph"/>
        <w:numPr>
          <w:ilvl w:val="0"/>
          <w:numId w:val="2"/>
        </w:numPr>
        <w:spacing w:after="80" w:line="290"/>
      </w:pPr>
      <w:r>
        <w:rPr>
          <w:rFonts w:ascii="Calibri" w:cs="Calibri" w:eastAsia="Calibri" w:hAnsi="Calibri"/>
          <w:b/>
          <w:bCs/>
        </w:rPr>
        <w:t xml:space="preserve">One pipeline object.</w:t>
      </w:r>
      <w:r>
        <w:rPr>
          <w:rFonts w:ascii="Calibri" w:cs="Calibri" w:eastAsia="Calibri" w:hAnsi="Calibri"/>
        </w:rPr>
        <w:t xml:space="preserve"> Feature engineering, scaling, resampling and the model are steps of a single scikit-learn Pipeline, so nothing can be fitted on data it should not see.</w:t>
      </w:r>
    </w:p>
    <w:p>
      <w:pPr>
        <w:pStyle w:val="ListParagraph"/>
        <w:numPr>
          <w:ilvl w:val="0"/>
          <w:numId w:val="2"/>
        </w:numPr>
        <w:spacing w:after="80" w:line="290"/>
      </w:pPr>
      <w:r>
        <w:rPr>
          <w:rFonts w:ascii="Calibri" w:cs="Calibri" w:eastAsia="Calibri" w:hAnsi="Calibri"/>
          <w:b/>
          <w:bCs/>
        </w:rPr>
        <w:t xml:space="preserve">Capacity is a parameter.</w:t>
      </w:r>
      <w:r>
        <w:rPr>
          <w:rFonts w:ascii="Calibri" w:cs="Calibri" w:eastAsia="Calibri" w:hAnsi="Calibri"/>
        </w:rPr>
        <w:t xml:space="preserve"> The queue is the top k scores with k = 200 in one configuration line. The capacity planner replays the day at any k.</w:t>
      </w:r>
    </w:p>
    <w:p>
      <w:pPr>
        <w:pStyle w:val="ListParagraph"/>
        <w:numPr>
          <w:ilvl w:val="0"/>
          <w:numId w:val="2"/>
        </w:numPr>
        <w:spacing w:after="80" w:line="290"/>
      </w:pPr>
      <w:r>
        <w:rPr>
          <w:rFonts w:ascii="Calibri" w:cs="Calibri" w:eastAsia="Calibri" w:hAnsi="Calibri"/>
          <w:b/>
          <w:bCs/>
        </w:rPr>
        <w:t xml:space="preserve">The agent proposes, a person disposes.</w:t>
      </w:r>
      <w:r>
        <w:rPr>
          <w:rFonts w:ascii="Calibri" w:cs="Calibri" w:eastAsia="Calibri" w:hAnsi="Calibri"/>
        </w:rPr>
        <w:t xml:space="preserve"> Scoring, explaining and drafting are automated. Executing an action requires an approval, and the approval is logged.</w:t>
      </w:r>
    </w:p>
    <w:p>
      <w:pPr>
        <w:pStyle w:val="ListParagraph"/>
        <w:numPr>
          <w:ilvl w:val="0"/>
          <w:numId w:val="2"/>
        </w:numPr>
        <w:spacing w:after="80" w:line="290"/>
      </w:pPr>
      <w:r>
        <w:rPr>
          <w:rFonts w:ascii="Calibri" w:cs="Calibri" w:eastAsia="Calibri" w:hAnsi="Calibri"/>
          <w:b/>
          <w:bCs/>
        </w:rPr>
        <w:t xml:space="preserve">The LLM is optional and fenced.</w:t>
      </w:r>
      <w:r>
        <w:rPr>
          <w:rFonts w:ascii="Calibri" w:cs="Calibri" w:eastAsia="Calibri" w:hAnsi="Calibri"/>
        </w:rPr>
        <w:t xml:space="preserve"> It only rephrases facts it is handed, code rejects any draft containing a number that is not in those facts, and a template takes over when no model is available.</w:t>
      </w:r>
    </w:p>
    <w:p>
      <w:pPr>
        <w:pStyle w:val="ListParagraph"/>
        <w:numPr>
          <w:ilvl w:val="0"/>
          <w:numId w:val="2"/>
        </w:numPr>
        <w:spacing w:after="80" w:line="290"/>
      </w:pPr>
      <w:r>
        <w:rPr>
          <w:rFonts w:ascii="Calibri" w:cs="Calibri" w:eastAsia="Calibri" w:hAnsi="Calibri"/>
          <w:b/>
          <w:bCs/>
        </w:rPr>
        <w:t xml:space="preserve">Artefacts are the interface.</w:t>
      </w:r>
      <w:r>
        <w:rPr>
          <w:rFonts w:ascii="Calibri" w:cs="Calibri" w:eastAsia="Calibri" w:hAnsi="Calibri"/>
        </w:rPr>
        <w:t xml:space="preserve"> Training writes a 0.3 MB model bundle, a metrics file and the queue. The app and the API only read them, so they start in seconds, run offline, and cannot disagree with the reported numbers.</w:t>
      </w:r>
    </w:p>
    <w:p>
      <w:pPr>
        <w:pStyle w:val="Heading2"/>
        <w:spacing w:after="100" w:before="240"/>
      </w:pPr>
      <w:r>
        <w:rPr>
          <w:rFonts w:ascii="Calibri" w:cs="Calibri" w:eastAsia="Calibri" w:hAnsi="Calibri"/>
        </w:rPr>
        <w:t xml:space="preserve">Scalability</w:t>
      </w:r>
    </w:p>
    <w:p>
      <w:pPr>
        <w:spacing w:after="140" w:line="300"/>
      </w:pPr>
      <w:r>
        <w:rPr>
          <w:rFonts w:ascii="Calibri" w:cs="Calibri" w:eastAsia="Calibri" w:hAnsi="Calibri"/>
        </w:rPr>
        <w:t xml:space="preserve">The scoring service is stateless and loads the model once, so it scales horizontally. A million transactions a day needs no architectural change. For a shared deployment the SQLite case store would move to PostgreSQL behind the same functions, and the MLflow registry would gain an approval step before a model is promoted.</w:t>
      </w:r>
    </w:p>
    <w:p>
      <w:pPr>
        <w:pStyle w:val="Heading1"/>
        <w:spacing w:after="160" w:before="360"/>
      </w:pPr>
      <w:r>
        <w:rPr>
          <w:rFonts w:ascii="Calibri" w:cs="Calibri" w:eastAsia="Calibri" w:hAnsi="Calibri"/>
        </w:rPr>
        <w:t xml:space="preserve">6. Model and evaluation</w:t>
      </w:r>
    </w:p>
    <w:p>
      <w:pPr>
        <w:pStyle w:val="Heading2"/>
        <w:spacing w:after="100" w:before="240"/>
      </w:pPr>
      <w:r>
        <w:rPr>
          <w:rFonts w:ascii="Calibri" w:cs="Calibri" w:eastAsia="Calibri" w:hAnsi="Calibri"/>
        </w:rPr>
        <w:t xml:space="preserve">Evaluation design</w:t>
      </w:r>
    </w:p>
    <w:p>
      <w:pPr>
        <w:pStyle w:val="ListParagraph"/>
        <w:numPr>
          <w:ilvl w:val="0"/>
          <w:numId w:val="2"/>
        </w:numPr>
        <w:spacing w:after="80" w:line="290"/>
      </w:pPr>
      <w:r>
        <w:rPr>
          <w:rFonts w:ascii="Calibri" w:cs="Calibri" w:eastAsia="Calibri" w:hAnsi="Calibri"/>
          <w:b/>
          <w:bCs/>
        </w:rPr>
        <w:t xml:space="preserve">Selection:</w:t>
      </w:r>
      <w:r>
        <w:rPr>
          <w:rFonts w:ascii="Calibri" w:cs="Calibri" w:eastAsia="Calibri" w:hAnsi="Calibri"/>
        </w:rPr>
        <w:t xml:space="preserve"> 5-fold stratified cross-validation on day 1 only. The rule, highest mean PR-AUC, was fixed before looking at day 2.</w:t>
      </w:r>
    </w:p>
    <w:p>
      <w:pPr>
        <w:pStyle w:val="ListParagraph"/>
        <w:numPr>
          <w:ilvl w:val="0"/>
          <w:numId w:val="2"/>
        </w:numPr>
        <w:spacing w:after="80" w:line="290"/>
      </w:pPr>
      <w:r>
        <w:rPr>
          <w:rFonts w:ascii="Calibri" w:cs="Calibri" w:eastAsia="Calibri" w:hAnsi="Calibri"/>
          <w:b/>
          <w:bCs/>
        </w:rPr>
        <w:t xml:space="preserve">Final test:</w:t>
      </w:r>
      <w:r>
        <w:rPr>
          <w:rFonts w:ascii="Calibri" w:cs="Calibri" w:eastAsia="Calibri" w:hAnsi="Calibri"/>
        </w:rPr>
        <w:t xml:space="preserve"> the winner is refitted on all of day 1 and scores day 2 once. The top 200 scores are a literal daily queue.</w:t>
      </w:r>
    </w:p>
    <w:p>
      <w:pPr>
        <w:pStyle w:val="ListParagraph"/>
        <w:numPr>
          <w:ilvl w:val="0"/>
          <w:numId w:val="2"/>
        </w:numPr>
        <w:spacing w:after="80" w:line="290"/>
      </w:pPr>
      <w:r>
        <w:rPr>
          <w:rFonts w:ascii="Calibri" w:cs="Calibri" w:eastAsia="Calibri" w:hAnsi="Calibri"/>
          <w:b/>
          <w:bCs/>
        </w:rPr>
        <w:t xml:space="preserve">Uncertainty:</w:t>
      </w:r>
      <w:r>
        <w:rPr>
          <w:rFonts w:ascii="Calibri" w:cs="Calibri" w:eastAsia="Calibri" w:hAnsi="Calibri"/>
        </w:rPr>
        <w:t xml:space="preserve"> 95% ranges from 1,000 bootstrap resamples of the test day, because one day holds only about 200 frauds.</w:t>
      </w:r>
    </w:p>
    <w:p>
      <w:pPr>
        <w:pStyle w:val="ListParagraph"/>
        <w:numPr>
          <w:ilvl w:val="0"/>
          <w:numId w:val="2"/>
        </w:numPr>
        <w:spacing w:after="80" w:line="290"/>
      </w:pPr>
      <w:r>
        <w:rPr>
          <w:rFonts w:ascii="Calibri" w:cs="Calibri" w:eastAsia="Calibri" w:hAnsi="Calibri"/>
          <w:b/>
          <w:bCs/>
        </w:rPr>
        <w:t xml:space="preserve">Comparability:</w:t>
      </w:r>
      <w:r>
        <w:rPr>
          <w:rFonts w:ascii="Calibri" w:cs="Calibri" w:eastAsia="Calibri" w:hAnsi="Calibri"/>
        </w:rPr>
        <w:t xml:space="preserve"> the textbook random 75/25 split is also reported.</w:t>
      </w:r>
    </w:p>
    <w:p>
      <w:pPr>
        <w:pStyle w:val="Heading2"/>
        <w:spacing w:after="100" w:before="240"/>
      </w:pPr>
      <w:r>
        <w:rPr>
          <w:rFonts w:ascii="Calibri" w:cs="Calibri" w:eastAsia="Calibri" w:hAnsi="Calibri"/>
        </w:rPr>
        <w:t xml:space="preserve">Results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47"/>
        <w:gridCol w:w="1986"/>
        <w:gridCol w:w="1354"/>
        <w:gridCol w:w="1083"/>
        <w:gridCol w:w="1083"/>
        <w:gridCol w:w="1173"/>
      </w:tblGrid>
      <w:tr>
        <w:trPr>
          <w:tblHeader/>
        </w:trPr>
        <w:tc>
          <w:tcPr>
            <w:tcW w:type="dxa" w:w="2347"/>
            <w:tcBorders>
              <w:top w:val="single" w:color="C3C2B7" w:sz="4"/>
              <w:left w:val="single" w:color="C3C2B7" w:sz="4"/>
              <w:bottom w:val="single" w:color="C3C2B7" w:sz="4"/>
              <w:right w:val="single" w:color="C3C2B7" w:sz="4"/>
            </w:tcBorders>
            <w:shd w:fill="E8F0FB" w:color="auto" w:val="clear"/>
            <w:tcMar>
              <w:top w:type="dxa" w:w="70"/>
              <w:left w:type="dxa" w:w="110"/>
              <w:bottom w:type="dxa" w:w="70"/>
              <w:right w:type="dxa" w:w="110"/>
            </w:tcMar>
          </w:tcPr>
          <w:p>
            <w:pPr>
              <w:keepNext/>
              <w:spacing w:after="0" w:line="260"/>
            </w:pPr>
            <w:r>
              <w:rPr>
                <w:rFonts w:ascii="Calibri" w:cs="Calibri" w:eastAsia="Calibri" w:hAnsi="Calibri"/>
                <w:b/>
                <w:bCs/>
                <w:color w:val="0D366B"/>
                <w:sz w:val="19"/>
                <w:szCs w:val="19"/>
              </w:rPr>
              <w:t xml:space="preserve">Model</w:t>
            </w:r>
          </w:p>
        </w:tc>
        <w:tc>
          <w:tcPr>
            <w:tcW w:type="dxa" w:w="1986"/>
            <w:tcBorders>
              <w:top w:val="single" w:color="C3C2B7" w:sz="4"/>
              <w:left w:val="single" w:color="C3C2B7" w:sz="4"/>
              <w:bottom w:val="single" w:color="C3C2B7" w:sz="4"/>
              <w:right w:val="single" w:color="C3C2B7" w:sz="4"/>
            </w:tcBorders>
            <w:shd w:fill="E8F0FB" w:color="auto" w:val="clear"/>
            <w:tcMar>
              <w:top w:type="dxa" w:w="70"/>
              <w:left w:type="dxa" w:w="110"/>
              <w:bottom w:type="dxa" w:w="70"/>
              <w:right w:type="dxa" w:w="110"/>
            </w:tcMar>
          </w:tcPr>
          <w:p>
            <w:pPr>
              <w:keepNext/>
              <w:spacing w:after="0" w:line="260"/>
            </w:pPr>
            <w:r>
              <w:rPr>
                <w:rFonts w:ascii="Calibri" w:cs="Calibri" w:eastAsia="Calibri" w:hAnsi="Calibri"/>
                <w:b/>
                <w:bCs/>
                <w:color w:val="0D366B"/>
                <w:sz w:val="19"/>
                <w:szCs w:val="19"/>
              </w:rPr>
              <w:t xml:space="preserve">Imbalance handling</w:t>
            </w:r>
          </w:p>
        </w:tc>
        <w:tc>
          <w:tcPr>
            <w:tcW w:type="dxa" w:w="1354"/>
            <w:tcBorders>
              <w:top w:val="single" w:color="C3C2B7" w:sz="4"/>
              <w:left w:val="single" w:color="C3C2B7" w:sz="4"/>
              <w:bottom w:val="single" w:color="C3C2B7" w:sz="4"/>
              <w:right w:val="single" w:color="C3C2B7" w:sz="4"/>
            </w:tcBorders>
            <w:shd w:fill="E8F0FB" w:color="auto" w:val="clear"/>
            <w:tcMar>
              <w:top w:type="dxa" w:w="70"/>
              <w:left w:type="dxa" w:w="110"/>
              <w:bottom w:type="dxa" w:w="70"/>
              <w:right w:type="dxa" w:w="110"/>
            </w:tcMar>
          </w:tcPr>
          <w:p>
            <w:pPr>
              <w:keepNext/>
              <w:spacing w:after="0" w:line="260"/>
            </w:pPr>
            <w:r>
              <w:rPr>
                <w:rFonts w:ascii="Calibri" w:cs="Calibri" w:eastAsia="Calibri" w:hAnsi="Calibri"/>
                <w:b/>
                <w:bCs/>
                <w:color w:val="0D366B"/>
                <w:sz w:val="19"/>
                <w:szCs w:val="19"/>
              </w:rPr>
              <w:t xml:space="preserve">CV PR-AUC (day 1)</w:t>
            </w:r>
          </w:p>
        </w:tc>
        <w:tc>
          <w:tcPr>
            <w:tcW w:type="dxa" w:w="1083"/>
            <w:tcBorders>
              <w:top w:val="single" w:color="C3C2B7" w:sz="4"/>
              <w:left w:val="single" w:color="C3C2B7" w:sz="4"/>
              <w:bottom w:val="single" w:color="C3C2B7" w:sz="4"/>
              <w:right w:val="single" w:color="C3C2B7" w:sz="4"/>
            </w:tcBorders>
            <w:shd w:fill="E8F0FB" w:color="auto" w:val="clear"/>
            <w:tcMar>
              <w:top w:type="dxa" w:w="70"/>
              <w:left w:type="dxa" w:w="110"/>
              <w:bottom w:type="dxa" w:w="70"/>
              <w:right w:type="dxa" w:w="110"/>
            </w:tcMar>
          </w:tcPr>
          <w:p>
            <w:pPr>
              <w:keepNext/>
              <w:spacing w:after="0" w:line="260"/>
            </w:pPr>
            <w:r>
              <w:rPr>
                <w:rFonts w:ascii="Calibri" w:cs="Calibri" w:eastAsia="Calibri" w:hAnsi="Calibri"/>
                <w:b/>
                <w:bCs/>
                <w:color w:val="0D366B"/>
                <w:sz w:val="19"/>
                <w:szCs w:val="19"/>
              </w:rPr>
              <w:t xml:space="preserve">PR-AUC (day 2)</w:t>
            </w:r>
          </w:p>
        </w:tc>
        <w:tc>
          <w:tcPr>
            <w:tcW w:type="dxa" w:w="1083"/>
            <w:tcBorders>
              <w:top w:val="single" w:color="C3C2B7" w:sz="4"/>
              <w:left w:val="single" w:color="C3C2B7" w:sz="4"/>
              <w:bottom w:val="single" w:color="C3C2B7" w:sz="4"/>
              <w:right w:val="single" w:color="C3C2B7" w:sz="4"/>
            </w:tcBorders>
            <w:shd w:fill="E8F0FB" w:color="auto" w:val="clear"/>
            <w:tcMar>
              <w:top w:type="dxa" w:w="70"/>
              <w:left w:type="dxa" w:w="110"/>
              <w:bottom w:type="dxa" w:w="70"/>
              <w:right w:type="dxa" w:w="110"/>
            </w:tcMar>
          </w:tcPr>
          <w:p>
            <w:pPr>
              <w:keepNext/>
              <w:spacing w:after="0" w:line="260"/>
            </w:pPr>
            <w:r>
              <w:rPr>
                <w:rFonts w:ascii="Calibri" w:cs="Calibri" w:eastAsia="Calibri" w:hAnsi="Calibri"/>
                <w:b/>
                <w:bCs/>
                <w:color w:val="0D366B"/>
                <w:sz w:val="19"/>
                <w:szCs w:val="19"/>
              </w:rPr>
              <w:t xml:space="preserve">ROC-AUC (day 2)</w:t>
            </w:r>
          </w:p>
        </w:tc>
        <w:tc>
          <w:tcPr>
            <w:tcW w:type="dxa" w:w="1173"/>
            <w:tcBorders>
              <w:top w:val="single" w:color="C3C2B7" w:sz="4"/>
              <w:left w:val="single" w:color="C3C2B7" w:sz="4"/>
              <w:bottom w:val="single" w:color="C3C2B7" w:sz="4"/>
              <w:right w:val="single" w:color="C3C2B7" w:sz="4"/>
            </w:tcBorders>
            <w:shd w:fill="E8F0FB" w:color="auto" w:val="clear"/>
            <w:tcMar>
              <w:top w:type="dxa" w:w="70"/>
              <w:left w:type="dxa" w:w="110"/>
              <w:bottom w:type="dxa" w:w="70"/>
              <w:right w:type="dxa" w:w="110"/>
            </w:tcMar>
          </w:tcPr>
          <w:p>
            <w:pPr>
              <w:keepNext/>
              <w:spacing w:after="0" w:line="260"/>
            </w:pPr>
            <w:r>
              <w:rPr>
                <w:rFonts w:ascii="Calibri" w:cs="Calibri" w:eastAsia="Calibri" w:hAnsi="Calibri"/>
                <w:b/>
                <w:bCs/>
                <w:color w:val="0D366B"/>
                <w:sz w:val="19"/>
                <w:szCs w:val="19"/>
              </w:rPr>
              <w:t xml:space="preserve">Frauds in top 200</w:t>
            </w:r>
          </w:p>
        </w:tc>
      </w:tr>
      <w:tr>
        <w:trPr>
          <w:cantSplit/>
        </w:trPr>
        <w:tc>
          <w:tcPr>
            <w:tcW w:type="dxa" w:w="2347"/>
            <w:tcBorders>
              <w:top w:val="single" w:color="C3C2B7" w:sz="4"/>
              <w:left w:val="single" w:color="C3C2B7" w:sz="4"/>
              <w:bottom w:val="single" w:color="C3C2B7" w:sz="4"/>
              <w:right w:val="single" w:color="C3C2B7" w:sz="4"/>
            </w:tcBorders>
            <w:tcMar>
              <w:top w:type="dxa" w:w="70"/>
              <w:left w:type="dxa" w:w="110"/>
              <w:bottom w:type="dxa" w:w="70"/>
              <w:right w:type="dxa" w:w="110"/>
            </w:tcMar>
          </w:tcPr>
          <w:p>
            <w:pPr>
              <w:keepNext/>
              <w:spacing w:after="0" w:line="260"/>
            </w:pPr>
            <w:r>
              <w:rPr>
                <w:rFonts w:ascii="Calibri" w:cs="Calibri" w:eastAsia="Calibri" w:hAnsi="Calibri"/>
                <w:color w:val="1A1A1A"/>
                <w:sz w:val="19"/>
                <w:szCs w:val="19"/>
              </w:rPr>
              <w:t xml:space="preserve">Logistic regression (baseline)</w:t>
            </w:r>
          </w:p>
        </w:tc>
        <w:tc>
          <w:tcPr>
            <w:tcW w:type="dxa" w:w="1986"/>
            <w:tcBorders>
              <w:top w:val="single" w:color="C3C2B7" w:sz="4"/>
              <w:left w:val="single" w:color="C3C2B7" w:sz="4"/>
              <w:bottom w:val="single" w:color="C3C2B7" w:sz="4"/>
              <w:right w:val="single" w:color="C3C2B7" w:sz="4"/>
            </w:tcBorders>
            <w:tcMar>
              <w:top w:type="dxa" w:w="70"/>
              <w:left w:type="dxa" w:w="110"/>
              <w:bottom w:type="dxa" w:w="70"/>
              <w:right w:type="dxa" w:w="110"/>
            </w:tcMar>
          </w:tcPr>
          <w:p>
            <w:pPr>
              <w:keepNext/>
              <w:spacing w:after="0" w:line="260"/>
            </w:pPr>
            <w:r>
              <w:rPr>
                <w:rFonts w:ascii="Calibri" w:cs="Calibri" w:eastAsia="Calibri" w:hAnsi="Calibri"/>
                <w:color w:val="1A1A1A"/>
                <w:sz w:val="19"/>
                <w:szCs w:val="19"/>
              </w:rPr>
              <w:t xml:space="preserve">class_weight=balanced</w:t>
            </w:r>
          </w:p>
        </w:tc>
        <w:tc>
          <w:tcPr>
            <w:tcW w:type="dxa" w:w="1354"/>
            <w:tcBorders>
              <w:top w:val="single" w:color="C3C2B7" w:sz="4"/>
              <w:left w:val="single" w:color="C3C2B7" w:sz="4"/>
              <w:bottom w:val="single" w:color="C3C2B7" w:sz="4"/>
              <w:right w:val="single" w:color="C3C2B7" w:sz="4"/>
            </w:tcBorders>
            <w:tcMar>
              <w:top w:type="dxa" w:w="70"/>
              <w:left w:type="dxa" w:w="110"/>
              <w:bottom w:type="dxa" w:w="70"/>
              <w:right w:type="dxa" w:w="110"/>
            </w:tcMar>
          </w:tcPr>
          <w:p>
            <w:pPr>
              <w:keepNext/>
              <w:spacing w:after="0" w:line="260"/>
            </w:pPr>
            <w:r>
              <w:rPr>
                <w:rFonts w:ascii="Calibri" w:cs="Calibri" w:eastAsia="Calibri" w:hAnsi="Calibri"/>
                <w:color w:val="1A1A1A"/>
                <w:sz w:val="19"/>
                <w:szCs w:val="19"/>
              </w:rPr>
              <w:t xml:space="preserve">0.702 ± 0.055</w:t>
            </w:r>
          </w:p>
        </w:tc>
        <w:tc>
          <w:tcPr>
            <w:tcW w:type="dxa" w:w="1083"/>
            <w:tcBorders>
              <w:top w:val="single" w:color="C3C2B7" w:sz="4"/>
              <w:left w:val="single" w:color="C3C2B7" w:sz="4"/>
              <w:bottom w:val="single" w:color="C3C2B7" w:sz="4"/>
              <w:right w:val="single" w:color="C3C2B7" w:sz="4"/>
            </w:tcBorders>
            <w:tcMar>
              <w:top w:type="dxa" w:w="70"/>
              <w:left w:type="dxa" w:w="110"/>
              <w:bottom w:type="dxa" w:w="70"/>
              <w:right w:type="dxa" w:w="110"/>
            </w:tcMar>
          </w:tcPr>
          <w:p>
            <w:pPr>
              <w:keepNext/>
              <w:spacing w:after="0" w:line="260"/>
            </w:pPr>
            <w:r>
              <w:rPr>
                <w:rFonts w:ascii="Calibri" w:cs="Calibri" w:eastAsia="Calibri" w:hAnsi="Calibri"/>
                <w:color w:val="1A1A1A"/>
                <w:sz w:val="19"/>
                <w:szCs w:val="19"/>
              </w:rPr>
              <w:t xml:space="preserve">0.735</w:t>
            </w:r>
          </w:p>
        </w:tc>
        <w:tc>
          <w:tcPr>
            <w:tcW w:type="dxa" w:w="1083"/>
            <w:tcBorders>
              <w:top w:val="single" w:color="C3C2B7" w:sz="4"/>
              <w:left w:val="single" w:color="C3C2B7" w:sz="4"/>
              <w:bottom w:val="single" w:color="C3C2B7" w:sz="4"/>
              <w:right w:val="single" w:color="C3C2B7" w:sz="4"/>
            </w:tcBorders>
            <w:tcMar>
              <w:top w:type="dxa" w:w="70"/>
              <w:left w:type="dxa" w:w="110"/>
              <w:bottom w:type="dxa" w:w="70"/>
              <w:right w:type="dxa" w:w="110"/>
            </w:tcMar>
          </w:tcPr>
          <w:p>
            <w:pPr>
              <w:keepNext/>
              <w:spacing w:after="0" w:line="260"/>
            </w:pPr>
            <w:r>
              <w:rPr>
                <w:rFonts w:ascii="Calibri" w:cs="Calibri" w:eastAsia="Calibri" w:hAnsi="Calibri"/>
                <w:color w:val="1A1A1A"/>
                <w:sz w:val="19"/>
                <w:szCs w:val="19"/>
              </w:rPr>
              <w:t xml:space="preserve">0.942</w:t>
            </w:r>
          </w:p>
        </w:tc>
        <w:tc>
          <w:tcPr>
            <w:tcW w:type="dxa" w:w="1173"/>
            <w:tcBorders>
              <w:top w:val="single" w:color="C3C2B7" w:sz="4"/>
              <w:left w:val="single" w:color="C3C2B7" w:sz="4"/>
              <w:bottom w:val="single" w:color="C3C2B7" w:sz="4"/>
              <w:right w:val="single" w:color="C3C2B7" w:sz="4"/>
            </w:tcBorders>
            <w:tcMar>
              <w:top w:type="dxa" w:w="70"/>
              <w:left w:type="dxa" w:w="110"/>
              <w:bottom w:type="dxa" w:w="70"/>
              <w:right w:type="dxa" w:w="110"/>
            </w:tcMar>
          </w:tcPr>
          <w:p>
            <w:pPr>
              <w:keepNext/>
              <w:spacing w:after="0" w:line="260"/>
            </w:pPr>
            <w:r>
              <w:rPr>
                <w:rFonts w:ascii="Calibri" w:cs="Calibri" w:eastAsia="Calibri" w:hAnsi="Calibri"/>
                <w:color w:val="1A1A1A"/>
                <w:sz w:val="19"/>
                <w:szCs w:val="19"/>
              </w:rPr>
              <w:t xml:space="preserve">141</w:t>
            </w:r>
          </w:p>
        </w:tc>
      </w:tr>
      <w:tr>
        <w:trPr>
          <w:cantSplit/>
        </w:trPr>
        <w:tc>
          <w:tcPr>
            <w:tcW w:type="dxa" w:w="2347"/>
            <w:tcBorders>
              <w:top w:val="single" w:color="C3C2B7" w:sz="4"/>
              <w:left w:val="single" w:color="C3C2B7" w:sz="4"/>
              <w:bottom w:val="single" w:color="C3C2B7" w:sz="4"/>
              <w:right w:val="single" w:color="C3C2B7" w:sz="4"/>
            </w:tcBorders>
            <w:tcMar>
              <w:top w:type="dxa" w:w="70"/>
              <w:left w:type="dxa" w:w="110"/>
              <w:bottom w:type="dxa" w:w="70"/>
              <w:right w:type="dxa" w:w="110"/>
            </w:tcMar>
          </w:tcPr>
          <w:p>
            <w:pPr>
              <w:keepNext/>
              <w:spacing w:after="0" w:line="260"/>
            </w:pPr>
            <w:r>
              <w:rPr>
                <w:rFonts w:ascii="Calibri" w:cs="Calibri" w:eastAsia="Calibri" w:hAnsi="Calibri"/>
                <w:b/>
                <w:bCs/>
                <w:color w:val="1A1A1A"/>
                <w:sz w:val="19"/>
                <w:szCs w:val="19"/>
              </w:rPr>
              <w:t xml:space="preserve">XGBoost, plain (champion)</w:t>
            </w:r>
          </w:p>
        </w:tc>
        <w:tc>
          <w:tcPr>
            <w:tcW w:type="dxa" w:w="1986"/>
            <w:tcBorders>
              <w:top w:val="single" w:color="C3C2B7" w:sz="4"/>
              <w:left w:val="single" w:color="C3C2B7" w:sz="4"/>
              <w:bottom w:val="single" w:color="C3C2B7" w:sz="4"/>
              <w:right w:val="single" w:color="C3C2B7" w:sz="4"/>
            </w:tcBorders>
            <w:tcMar>
              <w:top w:type="dxa" w:w="70"/>
              <w:left w:type="dxa" w:w="110"/>
              <w:bottom w:type="dxa" w:w="70"/>
              <w:right w:type="dxa" w:w="110"/>
            </w:tcMar>
          </w:tcPr>
          <w:p>
            <w:pPr>
              <w:keepNext/>
              <w:spacing w:after="0" w:line="260"/>
            </w:pPr>
            <w:r>
              <w:rPr>
                <w:rFonts w:ascii="Calibri" w:cs="Calibri" w:eastAsia="Calibri" w:hAnsi="Calibri"/>
                <w:color w:val="1A1A1A"/>
                <w:sz w:val="19"/>
                <w:szCs w:val="19"/>
              </w:rPr>
              <w:t xml:space="preserve">none (ranking only)</w:t>
            </w:r>
          </w:p>
        </w:tc>
        <w:tc>
          <w:tcPr>
            <w:tcW w:type="dxa" w:w="1354"/>
            <w:tcBorders>
              <w:top w:val="single" w:color="C3C2B7" w:sz="4"/>
              <w:left w:val="single" w:color="C3C2B7" w:sz="4"/>
              <w:bottom w:val="single" w:color="C3C2B7" w:sz="4"/>
              <w:right w:val="single" w:color="C3C2B7" w:sz="4"/>
            </w:tcBorders>
            <w:tcMar>
              <w:top w:type="dxa" w:w="70"/>
              <w:left w:type="dxa" w:w="110"/>
              <w:bottom w:type="dxa" w:w="70"/>
              <w:right w:type="dxa" w:w="110"/>
            </w:tcMar>
          </w:tcPr>
          <w:p>
            <w:pPr>
              <w:keepNext/>
              <w:spacing w:after="0" w:line="260"/>
            </w:pPr>
            <w:r>
              <w:rPr>
                <w:rFonts w:ascii="Calibri" w:cs="Calibri" w:eastAsia="Calibri" w:hAnsi="Calibri"/>
                <w:color w:val="1A1A1A"/>
                <w:sz w:val="19"/>
                <w:szCs w:val="19"/>
              </w:rPr>
              <w:t xml:space="preserve">0.877 ± 0.012</w:t>
            </w:r>
          </w:p>
        </w:tc>
        <w:tc>
          <w:tcPr>
            <w:tcW w:type="dxa" w:w="1083"/>
            <w:tcBorders>
              <w:top w:val="single" w:color="C3C2B7" w:sz="4"/>
              <w:left w:val="single" w:color="C3C2B7" w:sz="4"/>
              <w:bottom w:val="single" w:color="C3C2B7" w:sz="4"/>
              <w:right w:val="single" w:color="C3C2B7" w:sz="4"/>
            </w:tcBorders>
            <w:tcMar>
              <w:top w:type="dxa" w:w="70"/>
              <w:left w:type="dxa" w:w="110"/>
              <w:bottom w:type="dxa" w:w="70"/>
              <w:right w:type="dxa" w:w="110"/>
            </w:tcMar>
          </w:tcPr>
          <w:p>
            <w:pPr>
              <w:keepNext/>
              <w:spacing w:after="0" w:line="260"/>
            </w:pPr>
            <w:r>
              <w:rPr>
                <w:rFonts w:ascii="Calibri" w:cs="Calibri" w:eastAsia="Calibri" w:hAnsi="Calibri"/>
                <w:color w:val="1A1A1A"/>
                <w:sz w:val="19"/>
                <w:szCs w:val="19"/>
              </w:rPr>
              <w:t xml:space="preserve">0.769</w:t>
            </w:r>
          </w:p>
        </w:tc>
        <w:tc>
          <w:tcPr>
            <w:tcW w:type="dxa" w:w="1083"/>
            <w:tcBorders>
              <w:top w:val="single" w:color="C3C2B7" w:sz="4"/>
              <w:left w:val="single" w:color="C3C2B7" w:sz="4"/>
              <w:bottom w:val="single" w:color="C3C2B7" w:sz="4"/>
              <w:right w:val="single" w:color="C3C2B7" w:sz="4"/>
            </w:tcBorders>
            <w:tcMar>
              <w:top w:type="dxa" w:w="70"/>
              <w:left w:type="dxa" w:w="110"/>
              <w:bottom w:type="dxa" w:w="70"/>
              <w:right w:type="dxa" w:w="110"/>
            </w:tcMar>
          </w:tcPr>
          <w:p>
            <w:pPr>
              <w:keepNext/>
              <w:spacing w:after="0" w:line="260"/>
            </w:pPr>
            <w:r>
              <w:rPr>
                <w:rFonts w:ascii="Calibri" w:cs="Calibri" w:eastAsia="Calibri" w:hAnsi="Calibri"/>
                <w:color w:val="1A1A1A"/>
                <w:sz w:val="19"/>
                <w:szCs w:val="19"/>
              </w:rPr>
              <w:t xml:space="preserve">0.981</w:t>
            </w:r>
          </w:p>
        </w:tc>
        <w:tc>
          <w:tcPr>
            <w:tcW w:type="dxa" w:w="1173"/>
            <w:tcBorders>
              <w:top w:val="single" w:color="C3C2B7" w:sz="4"/>
              <w:left w:val="single" w:color="C3C2B7" w:sz="4"/>
              <w:bottom w:val="single" w:color="C3C2B7" w:sz="4"/>
              <w:right w:val="single" w:color="C3C2B7" w:sz="4"/>
            </w:tcBorders>
            <w:tcMar>
              <w:top w:type="dxa" w:w="70"/>
              <w:left w:type="dxa" w:w="110"/>
              <w:bottom w:type="dxa" w:w="70"/>
              <w:right w:type="dxa" w:w="110"/>
            </w:tcMar>
          </w:tcPr>
          <w:p>
            <w:pPr>
              <w:keepNext/>
              <w:spacing w:after="0" w:line="260"/>
            </w:pPr>
            <w:r>
              <w:rPr>
                <w:rFonts w:ascii="Calibri" w:cs="Calibri" w:eastAsia="Calibri" w:hAnsi="Calibri"/>
                <w:b/>
                <w:bCs/>
                <w:color w:val="1A1A1A"/>
                <w:sz w:val="19"/>
                <w:szCs w:val="19"/>
              </w:rPr>
              <w:t xml:space="preserve">154</w:t>
            </w:r>
          </w:p>
        </w:tc>
      </w:tr>
      <w:tr>
        <w:trPr>
          <w:cantSplit/>
        </w:trPr>
        <w:tc>
          <w:tcPr>
            <w:tcW w:type="dxa" w:w="2347"/>
            <w:tcBorders>
              <w:top w:val="single" w:color="C3C2B7" w:sz="4"/>
              <w:left w:val="single" w:color="C3C2B7" w:sz="4"/>
              <w:bottom w:val="single" w:color="C3C2B7" w:sz="4"/>
              <w:right w:val="single" w:color="C3C2B7" w:sz="4"/>
            </w:tcBorders>
            <w:tcMar>
              <w:top w:type="dxa" w:w="70"/>
              <w:left w:type="dxa" w:w="110"/>
              <w:bottom w:type="dxa" w:w="70"/>
              <w:right w:type="dxa" w:w="110"/>
            </w:tcMar>
          </w:tcPr>
          <w:p>
            <w:pPr>
              <w:keepNext/>
              <w:spacing w:after="0" w:line="260"/>
            </w:pPr>
            <w:r>
              <w:rPr>
                <w:rFonts w:ascii="Calibri" w:cs="Calibri" w:eastAsia="Calibri" w:hAnsi="Calibri"/>
                <w:color w:val="1A1A1A"/>
                <w:sz w:val="19"/>
                <w:szCs w:val="19"/>
              </w:rPr>
              <w:t xml:space="preserve">XGBoost, weighted</w:t>
            </w:r>
          </w:p>
        </w:tc>
        <w:tc>
          <w:tcPr>
            <w:tcW w:type="dxa" w:w="1986"/>
            <w:tcBorders>
              <w:top w:val="single" w:color="C3C2B7" w:sz="4"/>
              <w:left w:val="single" w:color="C3C2B7" w:sz="4"/>
              <w:bottom w:val="single" w:color="C3C2B7" w:sz="4"/>
              <w:right w:val="single" w:color="C3C2B7" w:sz="4"/>
            </w:tcBorders>
            <w:tcMar>
              <w:top w:type="dxa" w:w="70"/>
              <w:left w:type="dxa" w:w="110"/>
              <w:bottom w:type="dxa" w:w="70"/>
              <w:right w:type="dxa" w:w="110"/>
            </w:tcMar>
          </w:tcPr>
          <w:p>
            <w:pPr>
              <w:keepNext/>
              <w:spacing w:after="0" w:line="260"/>
            </w:pPr>
            <w:r>
              <w:rPr>
                <w:rFonts w:ascii="Calibri" w:cs="Calibri" w:eastAsia="Calibri" w:hAnsi="Calibri"/>
                <w:color w:val="1A1A1A"/>
                <w:sz w:val="19"/>
                <w:szCs w:val="19"/>
              </w:rPr>
              <w:t xml:space="preserve">scale_pos_weight</w:t>
            </w:r>
          </w:p>
        </w:tc>
        <w:tc>
          <w:tcPr>
            <w:tcW w:type="dxa" w:w="1354"/>
            <w:tcBorders>
              <w:top w:val="single" w:color="C3C2B7" w:sz="4"/>
              <w:left w:val="single" w:color="C3C2B7" w:sz="4"/>
              <w:bottom w:val="single" w:color="C3C2B7" w:sz="4"/>
              <w:right w:val="single" w:color="C3C2B7" w:sz="4"/>
            </w:tcBorders>
            <w:tcMar>
              <w:top w:type="dxa" w:w="70"/>
              <w:left w:type="dxa" w:w="110"/>
              <w:bottom w:type="dxa" w:w="70"/>
              <w:right w:type="dxa" w:w="110"/>
            </w:tcMar>
          </w:tcPr>
          <w:p>
            <w:pPr>
              <w:keepNext/>
              <w:spacing w:after="0" w:line="260"/>
            </w:pPr>
            <w:r>
              <w:rPr>
                <w:rFonts w:ascii="Calibri" w:cs="Calibri" w:eastAsia="Calibri" w:hAnsi="Calibri"/>
                <w:color w:val="1A1A1A"/>
                <w:sz w:val="19"/>
                <w:szCs w:val="19"/>
              </w:rPr>
              <w:t xml:space="preserve">0.868 ± 0.018</w:t>
            </w:r>
          </w:p>
        </w:tc>
        <w:tc>
          <w:tcPr>
            <w:tcW w:type="dxa" w:w="1083"/>
            <w:tcBorders>
              <w:top w:val="single" w:color="C3C2B7" w:sz="4"/>
              <w:left w:val="single" w:color="C3C2B7" w:sz="4"/>
              <w:bottom w:val="single" w:color="C3C2B7" w:sz="4"/>
              <w:right w:val="single" w:color="C3C2B7" w:sz="4"/>
            </w:tcBorders>
            <w:tcMar>
              <w:top w:type="dxa" w:w="70"/>
              <w:left w:type="dxa" w:w="110"/>
              <w:bottom w:type="dxa" w:w="70"/>
              <w:right w:type="dxa" w:w="110"/>
            </w:tcMar>
          </w:tcPr>
          <w:p>
            <w:pPr>
              <w:keepNext/>
              <w:spacing w:after="0" w:line="260"/>
            </w:pPr>
            <w:r>
              <w:rPr>
                <w:rFonts w:ascii="Calibri" w:cs="Calibri" w:eastAsia="Calibri" w:hAnsi="Calibri"/>
                <w:color w:val="1A1A1A"/>
                <w:sz w:val="19"/>
                <w:szCs w:val="19"/>
              </w:rPr>
              <w:t xml:space="preserve">0.792</w:t>
            </w:r>
          </w:p>
        </w:tc>
        <w:tc>
          <w:tcPr>
            <w:tcW w:type="dxa" w:w="1083"/>
            <w:tcBorders>
              <w:top w:val="single" w:color="C3C2B7" w:sz="4"/>
              <w:left w:val="single" w:color="C3C2B7" w:sz="4"/>
              <w:bottom w:val="single" w:color="C3C2B7" w:sz="4"/>
              <w:right w:val="single" w:color="C3C2B7" w:sz="4"/>
            </w:tcBorders>
            <w:tcMar>
              <w:top w:type="dxa" w:w="70"/>
              <w:left w:type="dxa" w:w="110"/>
              <w:bottom w:type="dxa" w:w="70"/>
              <w:right w:type="dxa" w:w="110"/>
            </w:tcMar>
          </w:tcPr>
          <w:p>
            <w:pPr>
              <w:keepNext/>
              <w:spacing w:after="0" w:line="260"/>
            </w:pPr>
            <w:r>
              <w:rPr>
                <w:rFonts w:ascii="Calibri" w:cs="Calibri" w:eastAsia="Calibri" w:hAnsi="Calibri"/>
                <w:color w:val="1A1A1A"/>
                <w:sz w:val="19"/>
                <w:szCs w:val="19"/>
              </w:rPr>
              <w:t xml:space="preserve">0.979</w:t>
            </w:r>
          </w:p>
        </w:tc>
        <w:tc>
          <w:tcPr>
            <w:tcW w:type="dxa" w:w="1173"/>
            <w:tcBorders>
              <w:top w:val="single" w:color="C3C2B7" w:sz="4"/>
              <w:left w:val="single" w:color="C3C2B7" w:sz="4"/>
              <w:bottom w:val="single" w:color="C3C2B7" w:sz="4"/>
              <w:right w:val="single" w:color="C3C2B7" w:sz="4"/>
            </w:tcBorders>
            <w:tcMar>
              <w:top w:type="dxa" w:w="70"/>
              <w:left w:type="dxa" w:w="110"/>
              <w:bottom w:type="dxa" w:w="70"/>
              <w:right w:type="dxa" w:w="110"/>
            </w:tcMar>
          </w:tcPr>
          <w:p>
            <w:pPr>
              <w:keepNext/>
              <w:spacing w:after="0" w:line="260"/>
            </w:pPr>
            <w:r>
              <w:rPr>
                <w:rFonts w:ascii="Calibri" w:cs="Calibri" w:eastAsia="Calibri" w:hAnsi="Calibri"/>
                <w:color w:val="1A1A1A"/>
                <w:sz w:val="19"/>
                <w:szCs w:val="19"/>
              </w:rPr>
              <w:t xml:space="preserve">156</w:t>
            </w:r>
          </w:p>
        </w:tc>
      </w:tr>
      <w:tr>
        <w:trPr>
          <w:cantSplit/>
        </w:trPr>
        <w:tc>
          <w:tcPr>
            <w:tcW w:type="dxa" w:w="2347"/>
            <w:tcBorders>
              <w:top w:val="single" w:color="C3C2B7" w:sz="4"/>
              <w:left w:val="single" w:color="C3C2B7" w:sz="4"/>
              <w:bottom w:val="single" w:color="C3C2B7" w:sz="4"/>
              <w:right w:val="single" w:color="C3C2B7" w:sz="4"/>
            </w:tcBorders>
            <w:tcMar>
              <w:top w:type="dxa" w:w="70"/>
              <w:left w:type="dxa" w:w="110"/>
              <w:bottom w:type="dxa" w:w="70"/>
              <w:right w:type="dxa" w:w="110"/>
            </w:tcMar>
          </w:tcPr>
          <w:p>
            <w:pPr>
              <w:keepNext w:val="false"/>
              <w:spacing w:after="0" w:line="260"/>
            </w:pPr>
            <w:r>
              <w:rPr>
                <w:rFonts w:ascii="Calibri" w:cs="Calibri" w:eastAsia="Calibri" w:hAnsi="Calibri"/>
                <w:color w:val="1A1A1A"/>
                <w:sz w:val="19"/>
                <w:szCs w:val="19"/>
              </w:rPr>
              <w:t xml:space="preserve">XGBoost + SMOTE in fold</w:t>
            </w:r>
          </w:p>
        </w:tc>
        <w:tc>
          <w:tcPr>
            <w:tcW w:type="dxa" w:w="1986"/>
            <w:tcBorders>
              <w:top w:val="single" w:color="C3C2B7" w:sz="4"/>
              <w:left w:val="single" w:color="C3C2B7" w:sz="4"/>
              <w:bottom w:val="single" w:color="C3C2B7" w:sz="4"/>
              <w:right w:val="single" w:color="C3C2B7" w:sz="4"/>
            </w:tcBorders>
            <w:tcMar>
              <w:top w:type="dxa" w:w="70"/>
              <w:left w:type="dxa" w:w="110"/>
              <w:bottom w:type="dxa" w:w="70"/>
              <w:right w:type="dxa" w:w="110"/>
            </w:tcMar>
          </w:tcPr>
          <w:p>
            <w:pPr>
              <w:keepNext w:val="false"/>
              <w:spacing w:after="0" w:line="260"/>
            </w:pPr>
            <w:r>
              <w:rPr>
                <w:rFonts w:ascii="Calibri" w:cs="Calibri" w:eastAsia="Calibri" w:hAnsi="Calibri"/>
                <w:color w:val="1A1A1A"/>
                <w:sz w:val="19"/>
                <w:szCs w:val="19"/>
              </w:rPr>
              <w:t xml:space="preserve">SMOTE inside training folds</w:t>
            </w:r>
          </w:p>
        </w:tc>
        <w:tc>
          <w:tcPr>
            <w:tcW w:type="dxa" w:w="1354"/>
            <w:tcBorders>
              <w:top w:val="single" w:color="C3C2B7" w:sz="4"/>
              <w:left w:val="single" w:color="C3C2B7" w:sz="4"/>
              <w:bottom w:val="single" w:color="C3C2B7" w:sz="4"/>
              <w:right w:val="single" w:color="C3C2B7" w:sz="4"/>
            </w:tcBorders>
            <w:tcMar>
              <w:top w:type="dxa" w:w="70"/>
              <w:left w:type="dxa" w:w="110"/>
              <w:bottom w:type="dxa" w:w="70"/>
              <w:right w:type="dxa" w:w="110"/>
            </w:tcMar>
          </w:tcPr>
          <w:p>
            <w:pPr>
              <w:keepNext w:val="false"/>
              <w:spacing w:after="0" w:line="260"/>
            </w:pPr>
            <w:r>
              <w:rPr>
                <w:rFonts w:ascii="Calibri" w:cs="Calibri" w:eastAsia="Calibri" w:hAnsi="Calibri"/>
                <w:color w:val="1A1A1A"/>
                <w:sz w:val="19"/>
                <w:szCs w:val="19"/>
              </w:rPr>
              <w:t xml:space="preserve">0.849 ± 0.030</w:t>
            </w:r>
          </w:p>
        </w:tc>
        <w:tc>
          <w:tcPr>
            <w:tcW w:type="dxa" w:w="1083"/>
            <w:tcBorders>
              <w:top w:val="single" w:color="C3C2B7" w:sz="4"/>
              <w:left w:val="single" w:color="C3C2B7" w:sz="4"/>
              <w:bottom w:val="single" w:color="C3C2B7" w:sz="4"/>
              <w:right w:val="single" w:color="C3C2B7" w:sz="4"/>
            </w:tcBorders>
            <w:tcMar>
              <w:top w:type="dxa" w:w="70"/>
              <w:left w:type="dxa" w:w="110"/>
              <w:bottom w:type="dxa" w:w="70"/>
              <w:right w:type="dxa" w:w="110"/>
            </w:tcMar>
          </w:tcPr>
          <w:p>
            <w:pPr>
              <w:keepNext w:val="false"/>
              <w:spacing w:after="0" w:line="260"/>
            </w:pPr>
            <w:r>
              <w:rPr>
                <w:rFonts w:ascii="Calibri" w:cs="Calibri" w:eastAsia="Calibri" w:hAnsi="Calibri"/>
                <w:color w:val="1A1A1A"/>
                <w:sz w:val="19"/>
                <w:szCs w:val="19"/>
              </w:rPr>
              <w:t xml:space="preserve">0.774</w:t>
            </w:r>
          </w:p>
        </w:tc>
        <w:tc>
          <w:tcPr>
            <w:tcW w:type="dxa" w:w="1083"/>
            <w:tcBorders>
              <w:top w:val="single" w:color="C3C2B7" w:sz="4"/>
              <w:left w:val="single" w:color="C3C2B7" w:sz="4"/>
              <w:bottom w:val="single" w:color="C3C2B7" w:sz="4"/>
              <w:right w:val="single" w:color="C3C2B7" w:sz="4"/>
            </w:tcBorders>
            <w:tcMar>
              <w:top w:type="dxa" w:w="70"/>
              <w:left w:type="dxa" w:w="110"/>
              <w:bottom w:type="dxa" w:w="70"/>
              <w:right w:type="dxa" w:w="110"/>
            </w:tcMar>
          </w:tcPr>
          <w:p>
            <w:pPr>
              <w:keepNext w:val="false"/>
              <w:spacing w:after="0" w:line="260"/>
            </w:pPr>
            <w:r>
              <w:rPr>
                <w:rFonts w:ascii="Calibri" w:cs="Calibri" w:eastAsia="Calibri" w:hAnsi="Calibri"/>
                <w:color w:val="1A1A1A"/>
                <w:sz w:val="19"/>
                <w:szCs w:val="19"/>
              </w:rPr>
              <w:t xml:space="preserve">0.965</w:t>
            </w:r>
          </w:p>
        </w:tc>
        <w:tc>
          <w:tcPr>
            <w:tcW w:type="dxa" w:w="1173"/>
            <w:tcBorders>
              <w:top w:val="single" w:color="C3C2B7" w:sz="4"/>
              <w:left w:val="single" w:color="C3C2B7" w:sz="4"/>
              <w:bottom w:val="single" w:color="C3C2B7" w:sz="4"/>
              <w:right w:val="single" w:color="C3C2B7" w:sz="4"/>
            </w:tcBorders>
            <w:tcMar>
              <w:top w:type="dxa" w:w="70"/>
              <w:left w:type="dxa" w:w="110"/>
              <w:bottom w:type="dxa" w:w="70"/>
              <w:right w:type="dxa" w:w="110"/>
            </w:tcMar>
          </w:tcPr>
          <w:p>
            <w:pPr>
              <w:keepNext w:val="false"/>
              <w:spacing w:after="0" w:line="260"/>
            </w:pPr>
            <w:r>
              <w:rPr>
                <w:rFonts w:ascii="Calibri" w:cs="Calibri" w:eastAsia="Calibri" w:hAnsi="Calibri"/>
                <w:color w:val="1A1A1A"/>
                <w:sz w:val="19"/>
                <w:szCs w:val="19"/>
              </w:rPr>
              <w:t xml:space="preserve">153</w:t>
            </w:r>
          </w:p>
        </w:tc>
      </w:tr>
    </w:tbl>
    <w:p>
      <w:pPr>
        <w:spacing w:after="160"/>
      </w:pPr>
    </w:p>
    <w:p>
      <w:pPr>
        <w:spacing w:after="140" w:line="300"/>
      </w:pPr>
      <w:r>
        <w:rPr>
          <w:rFonts w:ascii="Calibri" w:cs="Calibri" w:eastAsia="Calibri" w:hAnsi="Calibri"/>
        </w:rPr>
        <w:t xml:space="preserve">The weighted model caught two more frauds on day 2. We kept the plain model because the rule was set in advance, and switching after seeing the test day would be choosing on the test set. The three XGBoost variants are within noise of each other; the step from logistic regression to boosting is the real gain.</w:t>
      </w:r>
    </w:p>
    <w:p>
      <w:pPr>
        <w:spacing w:after="140" w:line="300"/>
      </w:pPr>
      <w:r>
        <w:rPr>
          <w:rFonts w:ascii="Calibri" w:cs="Calibri" w:eastAsia="Calibri" w:hAnsi="Calibri"/>
        </w:rPr>
        <w:t xml:space="preserve">ROC-AUC is between 0.94 and 0.98 for every model, which is why it is not our headline: it barely separates the baseline from the champion. On the random split the champion scores PR-AUC 0.831; the day-ahead replay (0.769) is the harder and more honest number.</w:t>
      </w:r>
    </w:p>
    <w:p>
      <w:pPr>
        <w:keepNext/>
        <w:spacing w:after="60" w:before="120"/>
        <w:jc w:val="center"/>
      </w:pPr>
      <w:r>
        <w:drawing>
          <wp:inline distT="0" distB="0" distL="0" distR="0">
            <wp:extent cx="4210050" cy="3105150"/>
            <wp:effectExtent t="0" r="0" b="0" l="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210050" cy="3105150"/>
                    </a:xfrm>
                    <a:prstGeom prst="rect">
                      <a:avLst/>
                    </a:prstGeom>
                  </pic:spPr>
                </pic:pic>
              </a:graphicData>
            </a:graphic>
          </wp:inline>
        </w:drawing>
      </w:r>
    </w:p>
    <w:p>
      <w:pPr>
        <w:spacing w:after="200"/>
        <w:jc w:val="center"/>
      </w:pPr>
      <w:r>
        <w:rPr>
          <w:rFonts w:ascii="Calibri" w:cs="Calibri" w:eastAsia="Calibri" w:hAnsi="Calibri"/>
          <w:i/>
          <w:iCs/>
          <w:color w:val="5F5E5A"/>
          <w:sz w:val="18"/>
          <w:szCs w:val="18"/>
        </w:rPr>
        <w:t xml:space="preserve">Figure 5. Precision-recall on the unseen day, with the 200-alert operating point.</w:t>
      </w:r>
    </w:p>
    <w:p>
      <w:pPr>
        <w:pStyle w:val="Heading2"/>
        <w:spacing w:after="100" w:before="240"/>
      </w:pPr>
      <w:r>
        <w:rPr>
          <w:rFonts w:ascii="Calibri" w:cs="Calibri" w:eastAsia="Calibri" w:hAnsi="Calibri"/>
        </w:rPr>
        <w:t xml:space="preserve">The resampling trap, measured</w:t>
      </w:r>
    </w:p>
    <w:p>
      <w:pPr>
        <w:spacing w:after="140" w:line="300"/>
      </w:pPr>
      <w:r>
        <w:rPr>
          <w:rFonts w:ascii="Calibri" w:cs="Calibri" w:eastAsia="Calibri" w:hAnsi="Calibri"/>
        </w:rPr>
        <w:t xml:space="preserve">We ran the common mistake once, on purpose. Oversampling the whole dataset with SMOTE and then splitting reports PR-AUC 0.9999. The same model with SMOTE applied to the training part only scores 0.760. The first number is fiction: synthetic copies of test frauds are in training, and half of that test set is synthetic. In FraudLens, SMOTE can only run inside the training fold of a pipeline.</w:t>
      </w:r>
    </w:p>
    <w:p>
      <w:pPr>
        <w:keepNext/>
        <w:spacing w:after="60" w:before="120"/>
        <w:jc w:val="center"/>
      </w:pPr>
      <w:r>
        <w:drawing>
          <wp:inline distT="0" distB="0" distL="0" distR="0">
            <wp:extent cx="3657600" cy="1952625"/>
            <wp:effectExtent t="0" r="0" b="0" l="0"/>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657600" cy="1952625"/>
                    </a:xfrm>
                    <a:prstGeom prst="rect">
                      <a:avLst/>
                    </a:prstGeom>
                  </pic:spPr>
                </pic:pic>
              </a:graphicData>
            </a:graphic>
          </wp:inline>
        </w:drawing>
      </w:r>
    </w:p>
    <w:p>
      <w:pPr>
        <w:spacing w:after="200"/>
        <w:jc w:val="center"/>
      </w:pPr>
      <w:r>
        <w:rPr>
          <w:rFonts w:ascii="Calibri" w:cs="Calibri" w:eastAsia="Calibri" w:hAnsi="Calibri"/>
          <w:i/>
          <w:iCs/>
          <w:color w:val="5F5E5A"/>
          <w:sz w:val="18"/>
          <w:szCs w:val="18"/>
        </w:rPr>
        <w:t xml:space="preserve">Figure 6. Same data, same model: only the position of SMOTE differs.</w:t>
      </w:r>
    </w:p>
    <w:p>
      <w:pPr>
        <w:pStyle w:val="Heading2"/>
        <w:spacing w:after="100" w:before="240"/>
      </w:pPr>
      <w:r>
        <w:rPr>
          <w:rFonts w:ascii="Calibri" w:cs="Calibri" w:eastAsia="Calibri" w:hAnsi="Calibri"/>
        </w:rPr>
        <w:t xml:space="preserve">Risk bands</w:t>
      </w:r>
    </w:p>
    <w:p>
      <w:pPr>
        <w:spacing w:after="140" w:line="300"/>
      </w:pPr>
      <w:r>
        <w:rPr>
          <w:rFonts w:ascii="Calibri" w:cs="Calibri" w:eastAsia="Calibri" w:hAnsi="Calibri"/>
        </w:rPr>
        <w:t xml:space="preserve">Bands decide how strong the drafted action is. They are policy thresholds for the fraud-operations lead, and we report how often each was right on the unseen day.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73"/>
        <w:gridCol w:w="1354"/>
        <w:gridCol w:w="1264"/>
        <w:gridCol w:w="1173"/>
        <w:gridCol w:w="4062"/>
      </w:tblGrid>
      <w:tr>
        <w:trPr>
          <w:tblHeader/>
        </w:trPr>
        <w:tc>
          <w:tcPr>
            <w:tcW w:type="dxa" w:w="1173"/>
            <w:tcBorders>
              <w:top w:val="single" w:color="C3C2B7" w:sz="4"/>
              <w:left w:val="single" w:color="C3C2B7" w:sz="4"/>
              <w:bottom w:val="single" w:color="C3C2B7" w:sz="4"/>
              <w:right w:val="single" w:color="C3C2B7" w:sz="4"/>
            </w:tcBorders>
            <w:shd w:fill="E8F0FB" w:color="auto" w:val="clear"/>
            <w:tcMar>
              <w:top w:type="dxa" w:w="70"/>
              <w:left w:type="dxa" w:w="110"/>
              <w:bottom w:type="dxa" w:w="70"/>
              <w:right w:type="dxa" w:w="110"/>
            </w:tcMar>
          </w:tcPr>
          <w:p>
            <w:pPr>
              <w:keepNext/>
              <w:spacing w:after="0" w:line="260"/>
            </w:pPr>
            <w:r>
              <w:rPr>
                <w:rFonts w:ascii="Calibri" w:cs="Calibri" w:eastAsia="Calibri" w:hAnsi="Calibri"/>
                <w:b/>
                <w:bCs/>
                <w:color w:val="0D366B"/>
                <w:sz w:val="19"/>
                <w:szCs w:val="19"/>
              </w:rPr>
              <w:t xml:space="preserve">Band</w:t>
            </w:r>
          </w:p>
        </w:tc>
        <w:tc>
          <w:tcPr>
            <w:tcW w:type="dxa" w:w="1354"/>
            <w:tcBorders>
              <w:top w:val="single" w:color="C3C2B7" w:sz="4"/>
              <w:left w:val="single" w:color="C3C2B7" w:sz="4"/>
              <w:bottom w:val="single" w:color="C3C2B7" w:sz="4"/>
              <w:right w:val="single" w:color="C3C2B7" w:sz="4"/>
            </w:tcBorders>
            <w:shd w:fill="E8F0FB" w:color="auto" w:val="clear"/>
            <w:tcMar>
              <w:top w:type="dxa" w:w="70"/>
              <w:left w:type="dxa" w:w="110"/>
              <w:bottom w:type="dxa" w:w="70"/>
              <w:right w:type="dxa" w:w="110"/>
            </w:tcMar>
          </w:tcPr>
          <w:p>
            <w:pPr>
              <w:keepNext/>
              <w:spacing w:after="0" w:line="260"/>
            </w:pPr>
            <w:r>
              <w:rPr>
                <w:rFonts w:ascii="Calibri" w:cs="Calibri" w:eastAsia="Calibri" w:hAnsi="Calibri"/>
                <w:b/>
                <w:bCs/>
                <w:color w:val="0D366B"/>
                <w:sz w:val="19"/>
                <w:szCs w:val="19"/>
              </w:rPr>
              <w:t xml:space="preserve">Rule</w:t>
            </w:r>
          </w:p>
        </w:tc>
        <w:tc>
          <w:tcPr>
            <w:tcW w:type="dxa" w:w="1264"/>
            <w:tcBorders>
              <w:top w:val="single" w:color="C3C2B7" w:sz="4"/>
              <w:left w:val="single" w:color="C3C2B7" w:sz="4"/>
              <w:bottom w:val="single" w:color="C3C2B7" w:sz="4"/>
              <w:right w:val="single" w:color="C3C2B7" w:sz="4"/>
            </w:tcBorders>
            <w:shd w:fill="E8F0FB" w:color="auto" w:val="clear"/>
            <w:tcMar>
              <w:top w:type="dxa" w:w="70"/>
              <w:left w:type="dxa" w:w="110"/>
              <w:bottom w:type="dxa" w:w="70"/>
              <w:right w:type="dxa" w:w="110"/>
            </w:tcMar>
          </w:tcPr>
          <w:p>
            <w:pPr>
              <w:keepNext/>
              <w:spacing w:after="0" w:line="260"/>
            </w:pPr>
            <w:r>
              <w:rPr>
                <w:rFonts w:ascii="Calibri" w:cs="Calibri" w:eastAsia="Calibri" w:hAnsi="Calibri"/>
                <w:b/>
                <w:bCs/>
                <w:color w:val="0D366B"/>
                <w:sz w:val="19"/>
                <w:szCs w:val="19"/>
              </w:rPr>
              <w:t xml:space="preserve">Alerts on day 2</w:t>
            </w:r>
          </w:p>
        </w:tc>
        <w:tc>
          <w:tcPr>
            <w:tcW w:type="dxa" w:w="1173"/>
            <w:tcBorders>
              <w:top w:val="single" w:color="C3C2B7" w:sz="4"/>
              <w:left w:val="single" w:color="C3C2B7" w:sz="4"/>
              <w:bottom w:val="single" w:color="C3C2B7" w:sz="4"/>
              <w:right w:val="single" w:color="C3C2B7" w:sz="4"/>
            </w:tcBorders>
            <w:shd w:fill="E8F0FB" w:color="auto" w:val="clear"/>
            <w:tcMar>
              <w:top w:type="dxa" w:w="70"/>
              <w:left w:type="dxa" w:w="110"/>
              <w:bottom w:type="dxa" w:w="70"/>
              <w:right w:type="dxa" w:w="110"/>
            </w:tcMar>
          </w:tcPr>
          <w:p>
            <w:pPr>
              <w:keepNext/>
              <w:spacing w:after="0" w:line="260"/>
            </w:pPr>
            <w:r>
              <w:rPr>
                <w:rFonts w:ascii="Calibri" w:cs="Calibri" w:eastAsia="Calibri" w:hAnsi="Calibri"/>
                <w:b/>
                <w:bCs/>
                <w:color w:val="0D366B"/>
                <w:sz w:val="19"/>
                <w:szCs w:val="19"/>
              </w:rPr>
              <w:t xml:space="preserve">Of which fraud</w:t>
            </w:r>
          </w:p>
        </w:tc>
        <w:tc>
          <w:tcPr>
            <w:tcW w:type="dxa" w:w="4062"/>
            <w:tcBorders>
              <w:top w:val="single" w:color="C3C2B7" w:sz="4"/>
              <w:left w:val="single" w:color="C3C2B7" w:sz="4"/>
              <w:bottom w:val="single" w:color="C3C2B7" w:sz="4"/>
              <w:right w:val="single" w:color="C3C2B7" w:sz="4"/>
            </w:tcBorders>
            <w:shd w:fill="E8F0FB" w:color="auto" w:val="clear"/>
            <w:tcMar>
              <w:top w:type="dxa" w:w="70"/>
              <w:left w:type="dxa" w:w="110"/>
              <w:bottom w:type="dxa" w:w="70"/>
              <w:right w:type="dxa" w:w="110"/>
            </w:tcMar>
          </w:tcPr>
          <w:p>
            <w:pPr>
              <w:keepNext/>
              <w:spacing w:after="0" w:line="260"/>
            </w:pPr>
            <w:r>
              <w:rPr>
                <w:rFonts w:ascii="Calibri" w:cs="Calibri" w:eastAsia="Calibri" w:hAnsi="Calibri"/>
                <w:b/>
                <w:bCs/>
                <w:color w:val="0D366B"/>
                <w:sz w:val="19"/>
                <w:szCs w:val="19"/>
              </w:rPr>
              <w:t xml:space="preserve">Drafted action</w:t>
            </w:r>
          </w:p>
        </w:tc>
      </w:tr>
      <w:tr>
        <w:trPr>
          <w:cantSplit/>
        </w:trPr>
        <w:tc>
          <w:tcPr>
            <w:tcW w:type="dxa" w:w="1173"/>
            <w:tcBorders>
              <w:top w:val="single" w:color="C3C2B7" w:sz="4"/>
              <w:left w:val="single" w:color="C3C2B7" w:sz="4"/>
              <w:bottom w:val="single" w:color="C3C2B7" w:sz="4"/>
              <w:right w:val="single" w:color="C3C2B7" w:sz="4"/>
            </w:tcBorders>
            <w:tcMar>
              <w:top w:type="dxa" w:w="70"/>
              <w:left w:type="dxa" w:w="110"/>
              <w:bottom w:type="dxa" w:w="70"/>
              <w:right w:type="dxa" w:w="110"/>
            </w:tcMar>
          </w:tcPr>
          <w:p>
            <w:pPr>
              <w:keepNext/>
              <w:spacing w:after="0" w:line="260"/>
            </w:pPr>
            <w:r>
              <w:rPr>
                <w:rFonts w:ascii="Calibri" w:cs="Calibri" w:eastAsia="Calibri" w:hAnsi="Calibri"/>
                <w:color w:val="1A1A1A"/>
                <w:sz w:val="19"/>
                <w:szCs w:val="19"/>
              </w:rPr>
              <w:t xml:space="preserve">CRITICAL</w:t>
            </w:r>
          </w:p>
        </w:tc>
        <w:tc>
          <w:tcPr>
            <w:tcW w:type="dxa" w:w="1354"/>
            <w:tcBorders>
              <w:top w:val="single" w:color="C3C2B7" w:sz="4"/>
              <w:left w:val="single" w:color="C3C2B7" w:sz="4"/>
              <w:bottom w:val="single" w:color="C3C2B7" w:sz="4"/>
              <w:right w:val="single" w:color="C3C2B7" w:sz="4"/>
            </w:tcBorders>
            <w:tcMar>
              <w:top w:type="dxa" w:w="70"/>
              <w:left w:type="dxa" w:w="110"/>
              <w:bottom w:type="dxa" w:w="70"/>
              <w:right w:type="dxa" w:w="110"/>
            </w:tcMar>
          </w:tcPr>
          <w:p>
            <w:pPr>
              <w:keepNext/>
              <w:spacing w:after="0" w:line="260"/>
            </w:pPr>
            <w:r>
              <w:rPr>
                <w:rFonts w:ascii="Calibri" w:cs="Calibri" w:eastAsia="Calibri" w:hAnsi="Calibri"/>
                <w:color w:val="1A1A1A"/>
                <w:sz w:val="19"/>
                <w:szCs w:val="19"/>
              </w:rPr>
              <w:t xml:space="preserve">score ≥ 0.99</w:t>
            </w:r>
          </w:p>
        </w:tc>
        <w:tc>
          <w:tcPr>
            <w:tcW w:type="dxa" w:w="1264"/>
            <w:tcBorders>
              <w:top w:val="single" w:color="C3C2B7" w:sz="4"/>
              <w:left w:val="single" w:color="C3C2B7" w:sz="4"/>
              <w:bottom w:val="single" w:color="C3C2B7" w:sz="4"/>
              <w:right w:val="single" w:color="C3C2B7" w:sz="4"/>
            </w:tcBorders>
            <w:tcMar>
              <w:top w:type="dxa" w:w="70"/>
              <w:left w:type="dxa" w:w="110"/>
              <w:bottom w:type="dxa" w:w="70"/>
              <w:right w:type="dxa" w:w="110"/>
            </w:tcMar>
          </w:tcPr>
          <w:p>
            <w:pPr>
              <w:keepNext/>
              <w:spacing w:after="0" w:line="260"/>
            </w:pPr>
            <w:r>
              <w:rPr>
                <w:rFonts w:ascii="Calibri" w:cs="Calibri" w:eastAsia="Calibri" w:hAnsi="Calibri"/>
                <w:color w:val="1A1A1A"/>
                <w:sz w:val="19"/>
                <w:szCs w:val="19"/>
              </w:rPr>
              <w:t xml:space="preserve">62</w:t>
            </w:r>
          </w:p>
        </w:tc>
        <w:tc>
          <w:tcPr>
            <w:tcW w:type="dxa" w:w="1173"/>
            <w:tcBorders>
              <w:top w:val="single" w:color="C3C2B7" w:sz="4"/>
              <w:left w:val="single" w:color="C3C2B7" w:sz="4"/>
              <w:bottom w:val="single" w:color="C3C2B7" w:sz="4"/>
              <w:right w:val="single" w:color="C3C2B7" w:sz="4"/>
            </w:tcBorders>
            <w:tcMar>
              <w:top w:type="dxa" w:w="70"/>
              <w:left w:type="dxa" w:w="110"/>
              <w:bottom w:type="dxa" w:w="70"/>
              <w:right w:type="dxa" w:w="110"/>
            </w:tcMar>
          </w:tcPr>
          <w:p>
            <w:pPr>
              <w:keepNext/>
              <w:spacing w:after="0" w:line="260"/>
            </w:pPr>
            <w:r>
              <w:rPr>
                <w:rFonts w:ascii="Calibri" w:cs="Calibri" w:eastAsia="Calibri" w:hAnsi="Calibri"/>
                <w:color w:val="1A1A1A"/>
                <w:sz w:val="19"/>
                <w:szCs w:val="19"/>
              </w:rPr>
              <w:t xml:space="preserve">97%</w:t>
            </w:r>
          </w:p>
        </w:tc>
        <w:tc>
          <w:tcPr>
            <w:tcW w:type="dxa" w:w="4062"/>
            <w:tcBorders>
              <w:top w:val="single" w:color="C3C2B7" w:sz="4"/>
              <w:left w:val="single" w:color="C3C2B7" w:sz="4"/>
              <w:bottom w:val="single" w:color="C3C2B7" w:sz="4"/>
              <w:right w:val="single" w:color="C3C2B7" w:sz="4"/>
            </w:tcBorders>
            <w:tcMar>
              <w:top w:type="dxa" w:w="70"/>
              <w:left w:type="dxa" w:w="110"/>
              <w:bottom w:type="dxa" w:w="70"/>
              <w:right w:type="dxa" w:w="110"/>
            </w:tcMar>
          </w:tcPr>
          <w:p>
            <w:pPr>
              <w:keepNext/>
              <w:spacing w:after="0" w:line="260"/>
            </w:pPr>
            <w:r>
              <w:rPr>
                <w:rFonts w:ascii="Calibri" w:cs="Calibri" w:eastAsia="Calibri" w:hAnsi="Calibri"/>
                <w:color w:val="1A1A1A"/>
                <w:sz w:val="19"/>
                <w:szCs w:val="19"/>
              </w:rPr>
              <w:t xml:space="preserve">Hold the transaction, block the card temporarily, call the cardholder</w:t>
            </w:r>
          </w:p>
        </w:tc>
      </w:tr>
      <w:tr>
        <w:trPr>
          <w:cantSplit/>
        </w:trPr>
        <w:tc>
          <w:tcPr>
            <w:tcW w:type="dxa" w:w="1173"/>
            <w:tcBorders>
              <w:top w:val="single" w:color="C3C2B7" w:sz="4"/>
              <w:left w:val="single" w:color="C3C2B7" w:sz="4"/>
              <w:bottom w:val="single" w:color="C3C2B7" w:sz="4"/>
              <w:right w:val="single" w:color="C3C2B7" w:sz="4"/>
            </w:tcBorders>
            <w:tcMar>
              <w:top w:type="dxa" w:w="70"/>
              <w:left w:type="dxa" w:w="110"/>
              <w:bottom w:type="dxa" w:w="70"/>
              <w:right w:type="dxa" w:w="110"/>
            </w:tcMar>
          </w:tcPr>
          <w:p>
            <w:pPr>
              <w:keepNext/>
              <w:spacing w:after="0" w:line="260"/>
            </w:pPr>
            <w:r>
              <w:rPr>
                <w:rFonts w:ascii="Calibri" w:cs="Calibri" w:eastAsia="Calibri" w:hAnsi="Calibri"/>
                <w:color w:val="1A1A1A"/>
                <w:sz w:val="19"/>
                <w:szCs w:val="19"/>
              </w:rPr>
              <w:t xml:space="preserve">HIGH</w:t>
            </w:r>
          </w:p>
        </w:tc>
        <w:tc>
          <w:tcPr>
            <w:tcW w:type="dxa" w:w="1354"/>
            <w:tcBorders>
              <w:top w:val="single" w:color="C3C2B7" w:sz="4"/>
              <w:left w:val="single" w:color="C3C2B7" w:sz="4"/>
              <w:bottom w:val="single" w:color="C3C2B7" w:sz="4"/>
              <w:right w:val="single" w:color="C3C2B7" w:sz="4"/>
            </w:tcBorders>
            <w:tcMar>
              <w:top w:type="dxa" w:w="70"/>
              <w:left w:type="dxa" w:w="110"/>
              <w:bottom w:type="dxa" w:w="70"/>
              <w:right w:type="dxa" w:w="110"/>
            </w:tcMar>
          </w:tcPr>
          <w:p>
            <w:pPr>
              <w:keepNext/>
              <w:spacing w:after="0" w:line="260"/>
            </w:pPr>
            <w:r>
              <w:rPr>
                <w:rFonts w:ascii="Calibri" w:cs="Calibri" w:eastAsia="Calibri" w:hAnsi="Calibri"/>
                <w:color w:val="1A1A1A"/>
                <w:sz w:val="19"/>
                <w:szCs w:val="19"/>
              </w:rPr>
              <w:t xml:space="preserve">score ≥ 0.90</w:t>
            </w:r>
          </w:p>
        </w:tc>
        <w:tc>
          <w:tcPr>
            <w:tcW w:type="dxa" w:w="1264"/>
            <w:tcBorders>
              <w:top w:val="single" w:color="C3C2B7" w:sz="4"/>
              <w:left w:val="single" w:color="C3C2B7" w:sz="4"/>
              <w:bottom w:val="single" w:color="C3C2B7" w:sz="4"/>
              <w:right w:val="single" w:color="C3C2B7" w:sz="4"/>
            </w:tcBorders>
            <w:tcMar>
              <w:top w:type="dxa" w:w="70"/>
              <w:left w:type="dxa" w:w="110"/>
              <w:bottom w:type="dxa" w:w="70"/>
              <w:right w:type="dxa" w:w="110"/>
            </w:tcMar>
          </w:tcPr>
          <w:p>
            <w:pPr>
              <w:keepNext/>
              <w:spacing w:after="0" w:line="260"/>
            </w:pPr>
            <w:r>
              <w:rPr>
                <w:rFonts w:ascii="Calibri" w:cs="Calibri" w:eastAsia="Calibri" w:hAnsi="Calibri"/>
                <w:color w:val="1A1A1A"/>
                <w:sz w:val="19"/>
                <w:szCs w:val="19"/>
              </w:rPr>
              <w:t xml:space="preserve">93</w:t>
            </w:r>
          </w:p>
        </w:tc>
        <w:tc>
          <w:tcPr>
            <w:tcW w:type="dxa" w:w="1173"/>
            <w:tcBorders>
              <w:top w:val="single" w:color="C3C2B7" w:sz="4"/>
              <w:left w:val="single" w:color="C3C2B7" w:sz="4"/>
              <w:bottom w:val="single" w:color="C3C2B7" w:sz="4"/>
              <w:right w:val="single" w:color="C3C2B7" w:sz="4"/>
            </w:tcBorders>
            <w:tcMar>
              <w:top w:type="dxa" w:w="70"/>
              <w:left w:type="dxa" w:w="110"/>
              <w:bottom w:type="dxa" w:w="70"/>
              <w:right w:type="dxa" w:w="110"/>
            </w:tcMar>
          </w:tcPr>
          <w:p>
            <w:pPr>
              <w:keepNext/>
              <w:spacing w:after="0" w:line="260"/>
            </w:pPr>
            <w:r>
              <w:rPr>
                <w:rFonts w:ascii="Calibri" w:cs="Calibri" w:eastAsia="Calibri" w:hAnsi="Calibri"/>
                <w:color w:val="1A1A1A"/>
                <w:sz w:val="19"/>
                <w:szCs w:val="19"/>
              </w:rPr>
              <w:t xml:space="preserve">81%</w:t>
            </w:r>
          </w:p>
        </w:tc>
        <w:tc>
          <w:tcPr>
            <w:tcW w:type="dxa" w:w="4062"/>
            <w:tcBorders>
              <w:top w:val="single" w:color="C3C2B7" w:sz="4"/>
              <w:left w:val="single" w:color="C3C2B7" w:sz="4"/>
              <w:bottom w:val="single" w:color="C3C2B7" w:sz="4"/>
              <w:right w:val="single" w:color="C3C2B7" w:sz="4"/>
            </w:tcBorders>
            <w:tcMar>
              <w:top w:type="dxa" w:w="70"/>
              <w:left w:type="dxa" w:w="110"/>
              <w:bottom w:type="dxa" w:w="70"/>
              <w:right w:type="dxa" w:w="110"/>
            </w:tcMar>
          </w:tcPr>
          <w:p>
            <w:pPr>
              <w:keepNext/>
              <w:spacing w:after="0" w:line="260"/>
            </w:pPr>
            <w:r>
              <w:rPr>
                <w:rFonts w:ascii="Calibri" w:cs="Calibri" w:eastAsia="Calibri" w:hAnsi="Calibri"/>
                <w:color w:val="1A1A1A"/>
                <w:sz w:val="19"/>
                <w:szCs w:val="19"/>
              </w:rPr>
              <w:t xml:space="preserve">Step-up verification; block if failed or unanswered in 30 minutes</w:t>
            </w:r>
          </w:p>
        </w:tc>
      </w:tr>
      <w:tr>
        <w:trPr>
          <w:cantSplit/>
        </w:trPr>
        <w:tc>
          <w:tcPr>
            <w:tcW w:type="dxa" w:w="1173"/>
            <w:tcBorders>
              <w:top w:val="single" w:color="C3C2B7" w:sz="4"/>
              <w:left w:val="single" w:color="C3C2B7" w:sz="4"/>
              <w:bottom w:val="single" w:color="C3C2B7" w:sz="4"/>
              <w:right w:val="single" w:color="C3C2B7" w:sz="4"/>
            </w:tcBorders>
            <w:tcMar>
              <w:top w:type="dxa" w:w="70"/>
              <w:left w:type="dxa" w:w="110"/>
              <w:bottom w:type="dxa" w:w="70"/>
              <w:right w:type="dxa" w:w="110"/>
            </w:tcMar>
          </w:tcPr>
          <w:p>
            <w:pPr>
              <w:keepNext w:val="false"/>
              <w:spacing w:after="0" w:line="260"/>
            </w:pPr>
            <w:r>
              <w:rPr>
                <w:rFonts w:ascii="Calibri" w:cs="Calibri" w:eastAsia="Calibri" w:hAnsi="Calibri"/>
                <w:color w:val="1A1A1A"/>
                <w:sz w:val="19"/>
                <w:szCs w:val="19"/>
              </w:rPr>
              <w:t xml:space="preserve">ELEVATED</w:t>
            </w:r>
          </w:p>
        </w:tc>
        <w:tc>
          <w:tcPr>
            <w:tcW w:type="dxa" w:w="1354"/>
            <w:tcBorders>
              <w:top w:val="single" w:color="C3C2B7" w:sz="4"/>
              <w:left w:val="single" w:color="C3C2B7" w:sz="4"/>
              <w:bottom w:val="single" w:color="C3C2B7" w:sz="4"/>
              <w:right w:val="single" w:color="C3C2B7" w:sz="4"/>
            </w:tcBorders>
            <w:tcMar>
              <w:top w:type="dxa" w:w="70"/>
              <w:left w:type="dxa" w:w="110"/>
              <w:bottom w:type="dxa" w:w="70"/>
              <w:right w:type="dxa" w:w="110"/>
            </w:tcMar>
          </w:tcPr>
          <w:p>
            <w:pPr>
              <w:keepNext w:val="false"/>
              <w:spacing w:after="0" w:line="260"/>
            </w:pPr>
            <w:r>
              <w:rPr>
                <w:rFonts w:ascii="Calibri" w:cs="Calibri" w:eastAsia="Calibri" w:hAnsi="Calibri"/>
                <w:color w:val="1A1A1A"/>
                <w:sz w:val="19"/>
                <w:szCs w:val="19"/>
              </w:rPr>
              <w:t xml:space="preserve">rest of the queue</w:t>
            </w:r>
          </w:p>
        </w:tc>
        <w:tc>
          <w:tcPr>
            <w:tcW w:type="dxa" w:w="1264"/>
            <w:tcBorders>
              <w:top w:val="single" w:color="C3C2B7" w:sz="4"/>
              <w:left w:val="single" w:color="C3C2B7" w:sz="4"/>
              <w:bottom w:val="single" w:color="C3C2B7" w:sz="4"/>
              <w:right w:val="single" w:color="C3C2B7" w:sz="4"/>
            </w:tcBorders>
            <w:tcMar>
              <w:top w:type="dxa" w:w="70"/>
              <w:left w:type="dxa" w:w="110"/>
              <w:bottom w:type="dxa" w:w="70"/>
              <w:right w:type="dxa" w:w="110"/>
            </w:tcMar>
          </w:tcPr>
          <w:p>
            <w:pPr>
              <w:keepNext w:val="false"/>
              <w:spacing w:after="0" w:line="260"/>
            </w:pPr>
            <w:r>
              <w:rPr>
                <w:rFonts w:ascii="Calibri" w:cs="Calibri" w:eastAsia="Calibri" w:hAnsi="Calibri"/>
                <w:color w:val="1A1A1A"/>
                <w:sz w:val="19"/>
                <w:szCs w:val="19"/>
              </w:rPr>
              <w:t xml:space="preserve">45</w:t>
            </w:r>
          </w:p>
        </w:tc>
        <w:tc>
          <w:tcPr>
            <w:tcW w:type="dxa" w:w="1173"/>
            <w:tcBorders>
              <w:top w:val="single" w:color="C3C2B7" w:sz="4"/>
              <w:left w:val="single" w:color="C3C2B7" w:sz="4"/>
              <w:bottom w:val="single" w:color="C3C2B7" w:sz="4"/>
              <w:right w:val="single" w:color="C3C2B7" w:sz="4"/>
            </w:tcBorders>
            <w:tcMar>
              <w:top w:type="dxa" w:w="70"/>
              <w:left w:type="dxa" w:w="110"/>
              <w:bottom w:type="dxa" w:w="70"/>
              <w:right w:type="dxa" w:w="110"/>
            </w:tcMar>
          </w:tcPr>
          <w:p>
            <w:pPr>
              <w:keepNext w:val="false"/>
              <w:spacing w:after="0" w:line="260"/>
            </w:pPr>
            <w:r>
              <w:rPr>
                <w:rFonts w:ascii="Calibri" w:cs="Calibri" w:eastAsia="Calibri" w:hAnsi="Calibri"/>
                <w:color w:val="1A1A1A"/>
                <w:sz w:val="19"/>
                <w:szCs w:val="19"/>
              </w:rPr>
              <w:t xml:space="preserve">42%</w:t>
            </w:r>
          </w:p>
        </w:tc>
        <w:tc>
          <w:tcPr>
            <w:tcW w:type="dxa" w:w="4062"/>
            <w:tcBorders>
              <w:top w:val="single" w:color="C3C2B7" w:sz="4"/>
              <w:left w:val="single" w:color="C3C2B7" w:sz="4"/>
              <w:bottom w:val="single" w:color="C3C2B7" w:sz="4"/>
              <w:right w:val="single" w:color="C3C2B7" w:sz="4"/>
            </w:tcBorders>
            <w:tcMar>
              <w:top w:type="dxa" w:w="70"/>
              <w:left w:type="dxa" w:w="110"/>
              <w:bottom w:type="dxa" w:w="70"/>
              <w:right w:type="dxa" w:w="110"/>
            </w:tcMar>
          </w:tcPr>
          <w:p>
            <w:pPr>
              <w:keepNext w:val="false"/>
              <w:spacing w:after="0" w:line="260"/>
            </w:pPr>
            <w:r>
              <w:rPr>
                <w:rFonts w:ascii="Calibri" w:cs="Calibri" w:eastAsia="Calibri" w:hAnsi="Calibri"/>
                <w:color w:val="1A1A1A"/>
                <w:sz w:val="19"/>
                <w:szCs w:val="19"/>
              </w:rPr>
              <w:t xml:space="preserve">Analyst review within 4 hours; no customer contact yet</w:t>
            </w:r>
          </w:p>
        </w:tc>
      </w:tr>
    </w:tbl>
    <w:p>
      <w:pPr>
        <w:spacing w:after="160"/>
      </w:pPr>
    </w:p>
    <w:p>
      <w:pPr>
        <w:pStyle w:val="Heading1"/>
        <w:spacing w:after="160" w:before="360"/>
      </w:pPr>
      <w:r>
        <w:rPr>
          <w:rFonts w:ascii="Calibri" w:cs="Calibri" w:eastAsia="Calibri" w:hAnsi="Calibri"/>
        </w:rPr>
        <w:t xml:space="preserve">7. The actionable output</w:t>
      </w:r>
    </w:p>
    <w:p>
      <w:pPr>
        <w:spacing w:after="140" w:line="300"/>
      </w:pPr>
      <w:r>
        <w:rPr>
          <w:rFonts w:ascii="Calibri" w:cs="Calibri" w:eastAsia="Calibri" w:hAnsi="Calibri"/>
        </w:rPr>
        <w:t xml:space="preserve">The deliverable the client can use tomorrow is outputs/alert_queue_top200.csv: 200 ranked alerts, each with a risk score and band, three reasons, a recommended action, a one-line analyst note, a fuller review note and a status of PENDING_APPROVAL.</w:t>
      </w:r>
    </w:p>
    <w:p>
      <w:pPr>
        <w:pStyle w:val="Heading2"/>
        <w:spacing w:after="100" w:before="240"/>
      </w:pPr>
      <w:r>
        <w:rPr>
          <w:rFonts w:ascii="Calibri" w:cs="Calibri" w:eastAsia="Calibri" w:hAnsi="Calibri"/>
        </w:rPr>
        <w:t xml:space="preserve">Precision and recall at the cutoff</w:t>
      </w:r>
    </w:p>
    <w:p>
      <w:pPr>
        <w:shd w:fill="E8F0FB" w:color="auto" w:val="clear"/>
        <w:spacing w:after="200" w:before="80" w:line="310"/>
        <w:ind w:left="200" w:right="200"/>
      </w:pPr>
      <w:r>
        <w:rPr>
          <w:rFonts w:ascii="Calibri" w:cs="Calibri" w:eastAsia="Calibri" w:hAnsi="Calibri"/>
          <w:color w:val="0D366B"/>
        </w:rPr>
        <w:t xml:space="preserve">Of 200 alerts, 154 are real fraud (precision 77%, 95% range 66-85%). The queue catches 77% of the day's 201 frauds (95% range 71-82%) and 63% of the fraud value (EUR 16,428 of EUR 26,122).</w:t>
      </w:r>
    </w:p>
    <w:p>
      <w:pPr>
        <w:pStyle w:val="Heading2"/>
        <w:spacing w:after="100" w:before="240"/>
      </w:pPr>
      <w:r>
        <w:rPr>
          <w:rFonts w:ascii="Calibri" w:cs="Calibri" w:eastAsia="Calibri" w:hAnsi="Calibri"/>
        </w:rPr>
        <w:t xml:space="preserve">First five alerts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
        <w:gridCol w:w="1173"/>
        <w:gridCol w:w="1083"/>
        <w:gridCol w:w="812"/>
        <w:gridCol w:w="1083"/>
        <w:gridCol w:w="3249"/>
        <w:gridCol w:w="1175"/>
      </w:tblGrid>
      <w:tr>
        <w:trPr>
          <w:tblHeader/>
        </w:trPr>
        <w:tc>
          <w:tcPr>
            <w:tcW w:type="dxa" w:w="451"/>
            <w:tcBorders>
              <w:top w:val="single" w:color="C3C2B7" w:sz="4"/>
              <w:left w:val="single" w:color="C3C2B7" w:sz="4"/>
              <w:bottom w:val="single" w:color="C3C2B7" w:sz="4"/>
              <w:right w:val="single" w:color="C3C2B7" w:sz="4"/>
            </w:tcBorders>
            <w:shd w:fill="E8F0FB" w:color="auto" w:val="clear"/>
            <w:tcMar>
              <w:top w:type="dxa" w:w="70"/>
              <w:left w:type="dxa" w:w="110"/>
              <w:bottom w:type="dxa" w:w="70"/>
              <w:right w:type="dxa" w:w="110"/>
            </w:tcMar>
          </w:tcPr>
          <w:p>
            <w:pPr>
              <w:keepNext/>
              <w:spacing w:after="0" w:line="260"/>
            </w:pPr>
            <w:r>
              <w:rPr>
                <w:rFonts w:ascii="Calibri" w:cs="Calibri" w:eastAsia="Calibri" w:hAnsi="Calibri"/>
                <w:b/>
                <w:bCs/>
                <w:color w:val="0D366B"/>
                <w:sz w:val="19"/>
                <w:szCs w:val="19"/>
              </w:rPr>
              <w:t xml:space="preserve">#</w:t>
            </w:r>
          </w:p>
        </w:tc>
        <w:tc>
          <w:tcPr>
            <w:tcW w:type="dxa" w:w="1173"/>
            <w:tcBorders>
              <w:top w:val="single" w:color="C3C2B7" w:sz="4"/>
              <w:left w:val="single" w:color="C3C2B7" w:sz="4"/>
              <w:bottom w:val="single" w:color="C3C2B7" w:sz="4"/>
              <w:right w:val="single" w:color="C3C2B7" w:sz="4"/>
            </w:tcBorders>
            <w:shd w:fill="E8F0FB" w:color="auto" w:val="clear"/>
            <w:tcMar>
              <w:top w:type="dxa" w:w="70"/>
              <w:left w:type="dxa" w:w="110"/>
              <w:bottom w:type="dxa" w:w="70"/>
              <w:right w:type="dxa" w:w="110"/>
            </w:tcMar>
          </w:tcPr>
          <w:p>
            <w:pPr>
              <w:keepNext/>
              <w:spacing w:after="0" w:line="260"/>
            </w:pPr>
            <w:r>
              <w:rPr>
                <w:rFonts w:ascii="Calibri" w:cs="Calibri" w:eastAsia="Calibri" w:hAnsi="Calibri"/>
                <w:b/>
                <w:bCs/>
                <w:color w:val="0D366B"/>
                <w:sz w:val="19"/>
                <w:szCs w:val="19"/>
              </w:rPr>
              <w:t xml:space="preserve">Transaction</w:t>
            </w:r>
          </w:p>
        </w:tc>
        <w:tc>
          <w:tcPr>
            <w:tcW w:type="dxa" w:w="1083"/>
            <w:tcBorders>
              <w:top w:val="single" w:color="C3C2B7" w:sz="4"/>
              <w:left w:val="single" w:color="C3C2B7" w:sz="4"/>
              <w:bottom w:val="single" w:color="C3C2B7" w:sz="4"/>
              <w:right w:val="single" w:color="C3C2B7" w:sz="4"/>
            </w:tcBorders>
            <w:shd w:fill="E8F0FB" w:color="auto" w:val="clear"/>
            <w:tcMar>
              <w:top w:type="dxa" w:w="70"/>
              <w:left w:type="dxa" w:w="110"/>
              <w:bottom w:type="dxa" w:w="70"/>
              <w:right w:type="dxa" w:w="110"/>
            </w:tcMar>
          </w:tcPr>
          <w:p>
            <w:pPr>
              <w:keepNext/>
              <w:spacing w:after="0" w:line="260"/>
            </w:pPr>
            <w:r>
              <w:rPr>
                <w:rFonts w:ascii="Calibri" w:cs="Calibri" w:eastAsia="Calibri" w:hAnsi="Calibri"/>
                <w:b/>
                <w:bCs/>
                <w:color w:val="0D366B"/>
                <w:sz w:val="19"/>
                <w:szCs w:val="19"/>
              </w:rPr>
              <w:t xml:space="preserve">Amount (EUR)</w:t>
            </w:r>
          </w:p>
        </w:tc>
        <w:tc>
          <w:tcPr>
            <w:tcW w:type="dxa" w:w="812"/>
            <w:tcBorders>
              <w:top w:val="single" w:color="C3C2B7" w:sz="4"/>
              <w:left w:val="single" w:color="C3C2B7" w:sz="4"/>
              <w:bottom w:val="single" w:color="C3C2B7" w:sz="4"/>
              <w:right w:val="single" w:color="C3C2B7" w:sz="4"/>
            </w:tcBorders>
            <w:shd w:fill="E8F0FB" w:color="auto" w:val="clear"/>
            <w:tcMar>
              <w:top w:type="dxa" w:w="70"/>
              <w:left w:type="dxa" w:w="110"/>
              <w:bottom w:type="dxa" w:w="70"/>
              <w:right w:type="dxa" w:w="110"/>
            </w:tcMar>
          </w:tcPr>
          <w:p>
            <w:pPr>
              <w:keepNext/>
              <w:spacing w:after="0" w:line="260"/>
            </w:pPr>
            <w:r>
              <w:rPr>
                <w:rFonts w:ascii="Calibri" w:cs="Calibri" w:eastAsia="Calibri" w:hAnsi="Calibri"/>
                <w:b/>
                <w:bCs/>
                <w:color w:val="0D366B"/>
                <w:sz w:val="19"/>
                <w:szCs w:val="19"/>
              </w:rPr>
              <w:t xml:space="preserve">Score</w:t>
            </w:r>
          </w:p>
        </w:tc>
        <w:tc>
          <w:tcPr>
            <w:tcW w:type="dxa" w:w="1083"/>
            <w:tcBorders>
              <w:top w:val="single" w:color="C3C2B7" w:sz="4"/>
              <w:left w:val="single" w:color="C3C2B7" w:sz="4"/>
              <w:bottom w:val="single" w:color="C3C2B7" w:sz="4"/>
              <w:right w:val="single" w:color="C3C2B7" w:sz="4"/>
            </w:tcBorders>
            <w:shd w:fill="E8F0FB" w:color="auto" w:val="clear"/>
            <w:tcMar>
              <w:top w:type="dxa" w:w="70"/>
              <w:left w:type="dxa" w:w="110"/>
              <w:bottom w:type="dxa" w:w="70"/>
              <w:right w:type="dxa" w:w="110"/>
            </w:tcMar>
          </w:tcPr>
          <w:p>
            <w:pPr>
              <w:keepNext/>
              <w:spacing w:after="0" w:line="260"/>
            </w:pPr>
            <w:r>
              <w:rPr>
                <w:rFonts w:ascii="Calibri" w:cs="Calibri" w:eastAsia="Calibri" w:hAnsi="Calibri"/>
                <w:b/>
                <w:bCs/>
                <w:color w:val="0D366B"/>
                <w:sz w:val="19"/>
                <w:szCs w:val="19"/>
              </w:rPr>
              <w:t xml:space="preserve">Band</w:t>
            </w:r>
          </w:p>
        </w:tc>
        <w:tc>
          <w:tcPr>
            <w:tcW w:type="dxa" w:w="3249"/>
            <w:tcBorders>
              <w:top w:val="single" w:color="C3C2B7" w:sz="4"/>
              <w:left w:val="single" w:color="C3C2B7" w:sz="4"/>
              <w:bottom w:val="single" w:color="C3C2B7" w:sz="4"/>
              <w:right w:val="single" w:color="C3C2B7" w:sz="4"/>
            </w:tcBorders>
            <w:shd w:fill="E8F0FB" w:color="auto" w:val="clear"/>
            <w:tcMar>
              <w:top w:type="dxa" w:w="70"/>
              <w:left w:type="dxa" w:w="110"/>
              <w:bottom w:type="dxa" w:w="70"/>
              <w:right w:type="dxa" w:w="110"/>
            </w:tcMar>
          </w:tcPr>
          <w:p>
            <w:pPr>
              <w:keepNext/>
              <w:spacing w:after="0" w:line="260"/>
            </w:pPr>
            <w:r>
              <w:rPr>
                <w:rFonts w:ascii="Calibri" w:cs="Calibri" w:eastAsia="Calibri" w:hAnsi="Calibri"/>
                <w:b/>
                <w:bCs/>
                <w:color w:val="0D366B"/>
                <w:sz w:val="19"/>
                <w:szCs w:val="19"/>
              </w:rPr>
              <w:t xml:space="preserve">Strongest reason</w:t>
            </w:r>
          </w:p>
        </w:tc>
        <w:tc>
          <w:tcPr>
            <w:tcW w:type="dxa" w:w="1175"/>
            <w:tcBorders>
              <w:top w:val="single" w:color="C3C2B7" w:sz="4"/>
              <w:left w:val="single" w:color="C3C2B7" w:sz="4"/>
              <w:bottom w:val="single" w:color="C3C2B7" w:sz="4"/>
              <w:right w:val="single" w:color="C3C2B7" w:sz="4"/>
            </w:tcBorders>
            <w:shd w:fill="E8F0FB" w:color="auto" w:val="clear"/>
            <w:tcMar>
              <w:top w:type="dxa" w:w="70"/>
              <w:left w:type="dxa" w:w="110"/>
              <w:bottom w:type="dxa" w:w="70"/>
              <w:right w:type="dxa" w:w="110"/>
            </w:tcMar>
          </w:tcPr>
          <w:p>
            <w:pPr>
              <w:keepNext/>
              <w:spacing w:after="0" w:line="260"/>
            </w:pPr>
            <w:r>
              <w:rPr>
                <w:rFonts w:ascii="Calibri" w:cs="Calibri" w:eastAsia="Calibri" w:hAnsi="Calibri"/>
                <w:b/>
                <w:bCs/>
                <w:color w:val="0D366B"/>
                <w:sz w:val="19"/>
                <w:szCs w:val="19"/>
              </w:rPr>
              <w:t xml:space="preserve">Was it fraud?</w:t>
            </w:r>
          </w:p>
        </w:tc>
      </w:tr>
      <w:tr>
        <w:trPr>
          <w:cantSplit/>
        </w:trPr>
        <w:tc>
          <w:tcPr>
            <w:tcW w:type="dxa" w:w="451"/>
            <w:tcBorders>
              <w:top w:val="single" w:color="C3C2B7" w:sz="4"/>
              <w:left w:val="single" w:color="C3C2B7" w:sz="4"/>
              <w:bottom w:val="single" w:color="C3C2B7" w:sz="4"/>
              <w:right w:val="single" w:color="C3C2B7" w:sz="4"/>
            </w:tcBorders>
            <w:tcMar>
              <w:top w:type="dxa" w:w="70"/>
              <w:left w:type="dxa" w:w="110"/>
              <w:bottom w:type="dxa" w:w="70"/>
              <w:right w:type="dxa" w:w="110"/>
            </w:tcMar>
          </w:tcPr>
          <w:p>
            <w:pPr>
              <w:keepNext/>
              <w:spacing w:after="0" w:line="260"/>
            </w:pPr>
            <w:r>
              <w:rPr>
                <w:rFonts w:ascii="Calibri" w:cs="Calibri" w:eastAsia="Calibri" w:hAnsi="Calibri"/>
                <w:color w:val="1A1A1A"/>
                <w:sz w:val="19"/>
                <w:szCs w:val="19"/>
              </w:rPr>
              <w:t xml:space="preserve">1</w:t>
            </w:r>
          </w:p>
        </w:tc>
        <w:tc>
          <w:tcPr>
            <w:tcW w:type="dxa" w:w="1173"/>
            <w:tcBorders>
              <w:top w:val="single" w:color="C3C2B7" w:sz="4"/>
              <w:left w:val="single" w:color="C3C2B7" w:sz="4"/>
              <w:bottom w:val="single" w:color="C3C2B7" w:sz="4"/>
              <w:right w:val="single" w:color="C3C2B7" w:sz="4"/>
            </w:tcBorders>
            <w:tcMar>
              <w:top w:type="dxa" w:w="70"/>
              <w:left w:type="dxa" w:w="110"/>
              <w:bottom w:type="dxa" w:w="70"/>
              <w:right w:type="dxa" w:w="110"/>
            </w:tcMar>
          </w:tcPr>
          <w:p>
            <w:pPr>
              <w:keepNext/>
              <w:spacing w:after="0" w:line="260"/>
            </w:pPr>
            <w:r>
              <w:rPr>
                <w:rFonts w:ascii="Calibri" w:cs="Calibri" w:eastAsia="Calibri" w:hAnsi="Calibri"/>
                <w:color w:val="1A1A1A"/>
                <w:sz w:val="19"/>
                <w:szCs w:val="19"/>
              </w:rPr>
              <w:t xml:space="preserve">226814</w:t>
            </w:r>
          </w:p>
        </w:tc>
        <w:tc>
          <w:tcPr>
            <w:tcW w:type="dxa" w:w="1083"/>
            <w:tcBorders>
              <w:top w:val="single" w:color="C3C2B7" w:sz="4"/>
              <w:left w:val="single" w:color="C3C2B7" w:sz="4"/>
              <w:bottom w:val="single" w:color="C3C2B7" w:sz="4"/>
              <w:right w:val="single" w:color="C3C2B7" w:sz="4"/>
            </w:tcBorders>
            <w:tcMar>
              <w:top w:type="dxa" w:w="70"/>
              <w:left w:type="dxa" w:w="110"/>
              <w:bottom w:type="dxa" w:w="70"/>
              <w:right w:type="dxa" w:w="110"/>
            </w:tcMar>
          </w:tcPr>
          <w:p>
            <w:pPr>
              <w:keepNext/>
              <w:spacing w:after="0" w:line="260"/>
            </w:pPr>
            <w:r>
              <w:rPr>
                <w:rFonts w:ascii="Calibri" w:cs="Calibri" w:eastAsia="Calibri" w:hAnsi="Calibri"/>
                <w:color w:val="1A1A1A"/>
                <w:sz w:val="19"/>
                <w:szCs w:val="19"/>
              </w:rPr>
              <w:t xml:space="preserve">667.55</w:t>
            </w:r>
          </w:p>
        </w:tc>
        <w:tc>
          <w:tcPr>
            <w:tcW w:type="dxa" w:w="812"/>
            <w:tcBorders>
              <w:top w:val="single" w:color="C3C2B7" w:sz="4"/>
              <w:left w:val="single" w:color="C3C2B7" w:sz="4"/>
              <w:bottom w:val="single" w:color="C3C2B7" w:sz="4"/>
              <w:right w:val="single" w:color="C3C2B7" w:sz="4"/>
            </w:tcBorders>
            <w:tcMar>
              <w:top w:type="dxa" w:w="70"/>
              <w:left w:type="dxa" w:w="110"/>
              <w:bottom w:type="dxa" w:w="70"/>
              <w:right w:type="dxa" w:w="110"/>
            </w:tcMar>
          </w:tcPr>
          <w:p>
            <w:pPr>
              <w:keepNext/>
              <w:spacing w:after="0" w:line="260"/>
            </w:pPr>
            <w:r>
              <w:rPr>
                <w:rFonts w:ascii="Calibri" w:cs="Calibri" w:eastAsia="Calibri" w:hAnsi="Calibri"/>
                <w:color w:val="1A1A1A"/>
                <w:sz w:val="19"/>
                <w:szCs w:val="19"/>
              </w:rPr>
              <w:t xml:space="preserve">0.999</w:t>
            </w:r>
          </w:p>
        </w:tc>
        <w:tc>
          <w:tcPr>
            <w:tcW w:type="dxa" w:w="1083"/>
            <w:tcBorders>
              <w:top w:val="single" w:color="C3C2B7" w:sz="4"/>
              <w:left w:val="single" w:color="C3C2B7" w:sz="4"/>
              <w:bottom w:val="single" w:color="C3C2B7" w:sz="4"/>
              <w:right w:val="single" w:color="C3C2B7" w:sz="4"/>
            </w:tcBorders>
            <w:tcMar>
              <w:top w:type="dxa" w:w="70"/>
              <w:left w:type="dxa" w:w="110"/>
              <w:bottom w:type="dxa" w:w="70"/>
              <w:right w:type="dxa" w:w="110"/>
            </w:tcMar>
          </w:tcPr>
          <w:p>
            <w:pPr>
              <w:keepNext/>
              <w:spacing w:after="0" w:line="260"/>
            </w:pPr>
            <w:r>
              <w:rPr>
                <w:rFonts w:ascii="Calibri" w:cs="Calibri" w:eastAsia="Calibri" w:hAnsi="Calibri"/>
                <w:color w:val="1A1A1A"/>
                <w:sz w:val="19"/>
                <w:szCs w:val="19"/>
              </w:rPr>
              <w:t xml:space="preserve">CRITICAL</w:t>
            </w:r>
          </w:p>
        </w:tc>
        <w:tc>
          <w:tcPr>
            <w:tcW w:type="dxa" w:w="3249"/>
            <w:tcBorders>
              <w:top w:val="single" w:color="C3C2B7" w:sz="4"/>
              <w:left w:val="single" w:color="C3C2B7" w:sz="4"/>
              <w:bottom w:val="single" w:color="C3C2B7" w:sz="4"/>
              <w:right w:val="single" w:color="C3C2B7" w:sz="4"/>
            </w:tcBorders>
            <w:tcMar>
              <w:top w:type="dxa" w:w="70"/>
              <w:left w:type="dxa" w:w="110"/>
              <w:bottom w:type="dxa" w:w="70"/>
              <w:right w:type="dxa" w:w="110"/>
            </w:tcMar>
          </w:tcPr>
          <w:p>
            <w:pPr>
              <w:keepNext/>
              <w:spacing w:after="0" w:line="260"/>
            </w:pPr>
            <w:r>
              <w:rPr>
                <w:rFonts w:ascii="Calibri" w:cs="Calibri" w:eastAsia="Calibri" w:hAnsi="Calibri"/>
                <w:color w:val="1A1A1A"/>
                <w:sz w:val="19"/>
                <w:szCs w:val="19"/>
              </w:rPr>
              <w:t xml:space="preserve">V14 = -7.46: lower than 99.9% of genuine transactions</w:t>
            </w:r>
          </w:p>
        </w:tc>
        <w:tc>
          <w:tcPr>
            <w:tcW w:type="dxa" w:w="1175"/>
            <w:tcBorders>
              <w:top w:val="single" w:color="C3C2B7" w:sz="4"/>
              <w:left w:val="single" w:color="C3C2B7" w:sz="4"/>
              <w:bottom w:val="single" w:color="C3C2B7" w:sz="4"/>
              <w:right w:val="single" w:color="C3C2B7" w:sz="4"/>
            </w:tcBorders>
            <w:tcMar>
              <w:top w:type="dxa" w:w="70"/>
              <w:left w:type="dxa" w:w="110"/>
              <w:bottom w:type="dxa" w:w="70"/>
              <w:right w:type="dxa" w:w="110"/>
            </w:tcMar>
          </w:tcPr>
          <w:p>
            <w:pPr>
              <w:keepNext/>
              <w:spacing w:after="0" w:line="260"/>
            </w:pPr>
            <w:r>
              <w:rPr>
                <w:rFonts w:ascii="Calibri" w:cs="Calibri" w:eastAsia="Calibri" w:hAnsi="Calibri"/>
                <w:color w:val="1A1A1A"/>
                <w:sz w:val="19"/>
                <w:szCs w:val="19"/>
              </w:rPr>
              <w:t xml:space="preserve">yes</w:t>
            </w:r>
          </w:p>
        </w:tc>
      </w:tr>
      <w:tr>
        <w:trPr>
          <w:cantSplit/>
        </w:trPr>
        <w:tc>
          <w:tcPr>
            <w:tcW w:type="dxa" w:w="451"/>
            <w:tcBorders>
              <w:top w:val="single" w:color="C3C2B7" w:sz="4"/>
              <w:left w:val="single" w:color="C3C2B7" w:sz="4"/>
              <w:bottom w:val="single" w:color="C3C2B7" w:sz="4"/>
              <w:right w:val="single" w:color="C3C2B7" w:sz="4"/>
            </w:tcBorders>
            <w:tcMar>
              <w:top w:type="dxa" w:w="70"/>
              <w:left w:type="dxa" w:w="110"/>
              <w:bottom w:type="dxa" w:w="70"/>
              <w:right w:type="dxa" w:w="110"/>
            </w:tcMar>
          </w:tcPr>
          <w:p>
            <w:pPr>
              <w:keepNext/>
              <w:spacing w:after="0" w:line="260"/>
            </w:pPr>
            <w:r>
              <w:rPr>
                <w:rFonts w:ascii="Calibri" w:cs="Calibri" w:eastAsia="Calibri" w:hAnsi="Calibri"/>
                <w:color w:val="1A1A1A"/>
                <w:sz w:val="19"/>
                <w:szCs w:val="19"/>
              </w:rPr>
              <w:t xml:space="preserve">2</w:t>
            </w:r>
          </w:p>
        </w:tc>
        <w:tc>
          <w:tcPr>
            <w:tcW w:type="dxa" w:w="1173"/>
            <w:tcBorders>
              <w:top w:val="single" w:color="C3C2B7" w:sz="4"/>
              <w:left w:val="single" w:color="C3C2B7" w:sz="4"/>
              <w:bottom w:val="single" w:color="C3C2B7" w:sz="4"/>
              <w:right w:val="single" w:color="C3C2B7" w:sz="4"/>
            </w:tcBorders>
            <w:tcMar>
              <w:top w:type="dxa" w:w="70"/>
              <w:left w:type="dxa" w:w="110"/>
              <w:bottom w:type="dxa" w:w="70"/>
              <w:right w:type="dxa" w:w="110"/>
            </w:tcMar>
          </w:tcPr>
          <w:p>
            <w:pPr>
              <w:keepNext/>
              <w:spacing w:after="0" w:line="260"/>
            </w:pPr>
            <w:r>
              <w:rPr>
                <w:rFonts w:ascii="Calibri" w:cs="Calibri" w:eastAsia="Calibri" w:hAnsi="Calibri"/>
                <w:color w:val="1A1A1A"/>
                <w:sz w:val="19"/>
                <w:szCs w:val="19"/>
              </w:rPr>
              <w:t xml:space="preserve">243699</w:t>
            </w:r>
          </w:p>
        </w:tc>
        <w:tc>
          <w:tcPr>
            <w:tcW w:type="dxa" w:w="1083"/>
            <w:tcBorders>
              <w:top w:val="single" w:color="C3C2B7" w:sz="4"/>
              <w:left w:val="single" w:color="C3C2B7" w:sz="4"/>
              <w:bottom w:val="single" w:color="C3C2B7" w:sz="4"/>
              <w:right w:val="single" w:color="C3C2B7" w:sz="4"/>
            </w:tcBorders>
            <w:tcMar>
              <w:top w:type="dxa" w:w="70"/>
              <w:left w:type="dxa" w:w="110"/>
              <w:bottom w:type="dxa" w:w="70"/>
              <w:right w:type="dxa" w:w="110"/>
            </w:tcMar>
          </w:tcPr>
          <w:p>
            <w:pPr>
              <w:keepNext/>
              <w:spacing w:after="0" w:line="260"/>
            </w:pPr>
            <w:r>
              <w:rPr>
                <w:rFonts w:ascii="Calibri" w:cs="Calibri" w:eastAsia="Calibri" w:hAnsi="Calibri"/>
                <w:color w:val="1A1A1A"/>
                <w:sz w:val="19"/>
                <w:szCs w:val="19"/>
              </w:rPr>
              <w:t xml:space="preserve">1.00</w:t>
            </w:r>
          </w:p>
        </w:tc>
        <w:tc>
          <w:tcPr>
            <w:tcW w:type="dxa" w:w="812"/>
            <w:tcBorders>
              <w:top w:val="single" w:color="C3C2B7" w:sz="4"/>
              <w:left w:val="single" w:color="C3C2B7" w:sz="4"/>
              <w:bottom w:val="single" w:color="C3C2B7" w:sz="4"/>
              <w:right w:val="single" w:color="C3C2B7" w:sz="4"/>
            </w:tcBorders>
            <w:tcMar>
              <w:top w:type="dxa" w:w="70"/>
              <w:left w:type="dxa" w:w="110"/>
              <w:bottom w:type="dxa" w:w="70"/>
              <w:right w:type="dxa" w:w="110"/>
            </w:tcMar>
          </w:tcPr>
          <w:p>
            <w:pPr>
              <w:keepNext/>
              <w:spacing w:after="0" w:line="260"/>
            </w:pPr>
            <w:r>
              <w:rPr>
                <w:rFonts w:ascii="Calibri" w:cs="Calibri" w:eastAsia="Calibri" w:hAnsi="Calibri"/>
                <w:color w:val="1A1A1A"/>
                <w:sz w:val="19"/>
                <w:szCs w:val="19"/>
              </w:rPr>
              <w:t xml:space="preserve">0.999</w:t>
            </w:r>
          </w:p>
        </w:tc>
        <w:tc>
          <w:tcPr>
            <w:tcW w:type="dxa" w:w="1083"/>
            <w:tcBorders>
              <w:top w:val="single" w:color="C3C2B7" w:sz="4"/>
              <w:left w:val="single" w:color="C3C2B7" w:sz="4"/>
              <w:bottom w:val="single" w:color="C3C2B7" w:sz="4"/>
              <w:right w:val="single" w:color="C3C2B7" w:sz="4"/>
            </w:tcBorders>
            <w:tcMar>
              <w:top w:type="dxa" w:w="70"/>
              <w:left w:type="dxa" w:w="110"/>
              <w:bottom w:type="dxa" w:w="70"/>
              <w:right w:type="dxa" w:w="110"/>
            </w:tcMar>
          </w:tcPr>
          <w:p>
            <w:pPr>
              <w:keepNext/>
              <w:spacing w:after="0" w:line="260"/>
            </w:pPr>
            <w:r>
              <w:rPr>
                <w:rFonts w:ascii="Calibri" w:cs="Calibri" w:eastAsia="Calibri" w:hAnsi="Calibri"/>
                <w:color w:val="1A1A1A"/>
                <w:sz w:val="19"/>
                <w:szCs w:val="19"/>
              </w:rPr>
              <w:t xml:space="preserve">CRITICAL</w:t>
            </w:r>
          </w:p>
        </w:tc>
        <w:tc>
          <w:tcPr>
            <w:tcW w:type="dxa" w:w="3249"/>
            <w:tcBorders>
              <w:top w:val="single" w:color="C3C2B7" w:sz="4"/>
              <w:left w:val="single" w:color="C3C2B7" w:sz="4"/>
              <w:bottom w:val="single" w:color="C3C2B7" w:sz="4"/>
              <w:right w:val="single" w:color="C3C2B7" w:sz="4"/>
            </w:tcBorders>
            <w:tcMar>
              <w:top w:type="dxa" w:w="70"/>
              <w:left w:type="dxa" w:w="110"/>
              <w:bottom w:type="dxa" w:w="70"/>
              <w:right w:type="dxa" w:w="110"/>
            </w:tcMar>
          </w:tcPr>
          <w:p>
            <w:pPr>
              <w:keepNext/>
              <w:spacing w:after="0" w:line="260"/>
            </w:pPr>
            <w:r>
              <w:rPr>
                <w:rFonts w:ascii="Calibri" w:cs="Calibri" w:eastAsia="Calibri" w:hAnsi="Calibri"/>
                <w:color w:val="1A1A1A"/>
                <w:sz w:val="19"/>
                <w:szCs w:val="19"/>
              </w:rPr>
              <w:t xml:space="preserve">V14 = -14.27: lower than 99.9% of genuine transactions</w:t>
            </w:r>
          </w:p>
        </w:tc>
        <w:tc>
          <w:tcPr>
            <w:tcW w:type="dxa" w:w="1175"/>
            <w:tcBorders>
              <w:top w:val="single" w:color="C3C2B7" w:sz="4"/>
              <w:left w:val="single" w:color="C3C2B7" w:sz="4"/>
              <w:bottom w:val="single" w:color="C3C2B7" w:sz="4"/>
              <w:right w:val="single" w:color="C3C2B7" w:sz="4"/>
            </w:tcBorders>
            <w:tcMar>
              <w:top w:type="dxa" w:w="70"/>
              <w:left w:type="dxa" w:w="110"/>
              <w:bottom w:type="dxa" w:w="70"/>
              <w:right w:type="dxa" w:w="110"/>
            </w:tcMar>
          </w:tcPr>
          <w:p>
            <w:pPr>
              <w:keepNext/>
              <w:spacing w:after="0" w:line="260"/>
            </w:pPr>
            <w:r>
              <w:rPr>
                <w:rFonts w:ascii="Calibri" w:cs="Calibri" w:eastAsia="Calibri" w:hAnsi="Calibri"/>
                <w:color w:val="1A1A1A"/>
                <w:sz w:val="19"/>
                <w:szCs w:val="19"/>
              </w:rPr>
              <w:t xml:space="preserve">yes</w:t>
            </w:r>
          </w:p>
        </w:tc>
      </w:tr>
      <w:tr>
        <w:trPr>
          <w:cantSplit/>
        </w:trPr>
        <w:tc>
          <w:tcPr>
            <w:tcW w:type="dxa" w:w="451"/>
            <w:tcBorders>
              <w:top w:val="single" w:color="C3C2B7" w:sz="4"/>
              <w:left w:val="single" w:color="C3C2B7" w:sz="4"/>
              <w:bottom w:val="single" w:color="C3C2B7" w:sz="4"/>
              <w:right w:val="single" w:color="C3C2B7" w:sz="4"/>
            </w:tcBorders>
            <w:tcMar>
              <w:top w:type="dxa" w:w="70"/>
              <w:left w:type="dxa" w:w="110"/>
              <w:bottom w:type="dxa" w:w="70"/>
              <w:right w:type="dxa" w:w="110"/>
            </w:tcMar>
          </w:tcPr>
          <w:p>
            <w:pPr>
              <w:keepNext/>
              <w:spacing w:after="0" w:line="260"/>
            </w:pPr>
            <w:r>
              <w:rPr>
                <w:rFonts w:ascii="Calibri" w:cs="Calibri" w:eastAsia="Calibri" w:hAnsi="Calibri"/>
                <w:color w:val="1A1A1A"/>
                <w:sz w:val="19"/>
                <w:szCs w:val="19"/>
              </w:rPr>
              <w:t xml:space="preserve">3</w:t>
            </w:r>
          </w:p>
        </w:tc>
        <w:tc>
          <w:tcPr>
            <w:tcW w:type="dxa" w:w="1173"/>
            <w:tcBorders>
              <w:top w:val="single" w:color="C3C2B7" w:sz="4"/>
              <w:left w:val="single" w:color="C3C2B7" w:sz="4"/>
              <w:bottom w:val="single" w:color="C3C2B7" w:sz="4"/>
              <w:right w:val="single" w:color="C3C2B7" w:sz="4"/>
            </w:tcBorders>
            <w:tcMar>
              <w:top w:type="dxa" w:w="70"/>
              <w:left w:type="dxa" w:w="110"/>
              <w:bottom w:type="dxa" w:w="70"/>
              <w:right w:type="dxa" w:w="110"/>
            </w:tcMar>
          </w:tcPr>
          <w:p>
            <w:pPr>
              <w:keepNext/>
              <w:spacing w:after="0" w:line="260"/>
            </w:pPr>
            <w:r>
              <w:rPr>
                <w:rFonts w:ascii="Calibri" w:cs="Calibri" w:eastAsia="Calibri" w:hAnsi="Calibri"/>
                <w:color w:val="1A1A1A"/>
                <w:sz w:val="19"/>
                <w:szCs w:val="19"/>
              </w:rPr>
              <w:t xml:space="preserve">204064</w:t>
            </w:r>
          </w:p>
        </w:tc>
        <w:tc>
          <w:tcPr>
            <w:tcW w:type="dxa" w:w="1083"/>
            <w:tcBorders>
              <w:top w:val="single" w:color="C3C2B7" w:sz="4"/>
              <w:left w:val="single" w:color="C3C2B7" w:sz="4"/>
              <w:bottom w:val="single" w:color="C3C2B7" w:sz="4"/>
              <w:right w:val="single" w:color="C3C2B7" w:sz="4"/>
            </w:tcBorders>
            <w:tcMar>
              <w:top w:type="dxa" w:w="70"/>
              <w:left w:type="dxa" w:w="110"/>
              <w:bottom w:type="dxa" w:w="70"/>
              <w:right w:type="dxa" w:w="110"/>
            </w:tcMar>
          </w:tcPr>
          <w:p>
            <w:pPr>
              <w:keepNext/>
              <w:spacing w:after="0" w:line="260"/>
            </w:pPr>
            <w:r>
              <w:rPr>
                <w:rFonts w:ascii="Calibri" w:cs="Calibri" w:eastAsia="Calibri" w:hAnsi="Calibri"/>
                <w:color w:val="1A1A1A"/>
                <w:sz w:val="19"/>
                <w:szCs w:val="19"/>
              </w:rPr>
              <w:t xml:space="preserve">345.00</w:t>
            </w:r>
          </w:p>
        </w:tc>
        <w:tc>
          <w:tcPr>
            <w:tcW w:type="dxa" w:w="812"/>
            <w:tcBorders>
              <w:top w:val="single" w:color="C3C2B7" w:sz="4"/>
              <w:left w:val="single" w:color="C3C2B7" w:sz="4"/>
              <w:bottom w:val="single" w:color="C3C2B7" w:sz="4"/>
              <w:right w:val="single" w:color="C3C2B7" w:sz="4"/>
            </w:tcBorders>
            <w:tcMar>
              <w:top w:type="dxa" w:w="70"/>
              <w:left w:type="dxa" w:w="110"/>
              <w:bottom w:type="dxa" w:w="70"/>
              <w:right w:type="dxa" w:w="110"/>
            </w:tcMar>
          </w:tcPr>
          <w:p>
            <w:pPr>
              <w:keepNext/>
              <w:spacing w:after="0" w:line="260"/>
            </w:pPr>
            <w:r>
              <w:rPr>
                <w:rFonts w:ascii="Calibri" w:cs="Calibri" w:eastAsia="Calibri" w:hAnsi="Calibri"/>
                <w:color w:val="1A1A1A"/>
                <w:sz w:val="19"/>
                <w:szCs w:val="19"/>
              </w:rPr>
              <w:t xml:space="preserve">0.999</w:t>
            </w:r>
          </w:p>
        </w:tc>
        <w:tc>
          <w:tcPr>
            <w:tcW w:type="dxa" w:w="1083"/>
            <w:tcBorders>
              <w:top w:val="single" w:color="C3C2B7" w:sz="4"/>
              <w:left w:val="single" w:color="C3C2B7" w:sz="4"/>
              <w:bottom w:val="single" w:color="C3C2B7" w:sz="4"/>
              <w:right w:val="single" w:color="C3C2B7" w:sz="4"/>
            </w:tcBorders>
            <w:tcMar>
              <w:top w:type="dxa" w:w="70"/>
              <w:left w:type="dxa" w:w="110"/>
              <w:bottom w:type="dxa" w:w="70"/>
              <w:right w:type="dxa" w:w="110"/>
            </w:tcMar>
          </w:tcPr>
          <w:p>
            <w:pPr>
              <w:keepNext/>
              <w:spacing w:after="0" w:line="260"/>
            </w:pPr>
            <w:r>
              <w:rPr>
                <w:rFonts w:ascii="Calibri" w:cs="Calibri" w:eastAsia="Calibri" w:hAnsi="Calibri"/>
                <w:color w:val="1A1A1A"/>
                <w:sz w:val="19"/>
                <w:szCs w:val="19"/>
              </w:rPr>
              <w:t xml:space="preserve">CRITICAL</w:t>
            </w:r>
          </w:p>
        </w:tc>
        <w:tc>
          <w:tcPr>
            <w:tcW w:type="dxa" w:w="3249"/>
            <w:tcBorders>
              <w:top w:val="single" w:color="C3C2B7" w:sz="4"/>
              <w:left w:val="single" w:color="C3C2B7" w:sz="4"/>
              <w:bottom w:val="single" w:color="C3C2B7" w:sz="4"/>
              <w:right w:val="single" w:color="C3C2B7" w:sz="4"/>
            </w:tcBorders>
            <w:tcMar>
              <w:top w:type="dxa" w:w="70"/>
              <w:left w:type="dxa" w:w="110"/>
              <w:bottom w:type="dxa" w:w="70"/>
              <w:right w:type="dxa" w:w="110"/>
            </w:tcMar>
          </w:tcPr>
          <w:p>
            <w:pPr>
              <w:keepNext/>
              <w:spacing w:after="0" w:line="260"/>
            </w:pPr>
            <w:r>
              <w:rPr>
                <w:rFonts w:ascii="Calibri" w:cs="Calibri" w:eastAsia="Calibri" w:hAnsi="Calibri"/>
                <w:color w:val="1A1A1A"/>
                <w:sz w:val="19"/>
                <w:szCs w:val="19"/>
              </w:rPr>
              <w:t xml:space="preserve">V14 = -5.39: lower than 99.9% of genuine transactions</w:t>
            </w:r>
          </w:p>
        </w:tc>
        <w:tc>
          <w:tcPr>
            <w:tcW w:type="dxa" w:w="1175"/>
            <w:tcBorders>
              <w:top w:val="single" w:color="C3C2B7" w:sz="4"/>
              <w:left w:val="single" w:color="C3C2B7" w:sz="4"/>
              <w:bottom w:val="single" w:color="C3C2B7" w:sz="4"/>
              <w:right w:val="single" w:color="C3C2B7" w:sz="4"/>
            </w:tcBorders>
            <w:tcMar>
              <w:top w:type="dxa" w:w="70"/>
              <w:left w:type="dxa" w:w="110"/>
              <w:bottom w:type="dxa" w:w="70"/>
              <w:right w:type="dxa" w:w="110"/>
            </w:tcMar>
          </w:tcPr>
          <w:p>
            <w:pPr>
              <w:keepNext/>
              <w:spacing w:after="0" w:line="260"/>
            </w:pPr>
            <w:r>
              <w:rPr>
                <w:rFonts w:ascii="Calibri" w:cs="Calibri" w:eastAsia="Calibri" w:hAnsi="Calibri"/>
                <w:color w:val="1A1A1A"/>
                <w:sz w:val="19"/>
                <w:szCs w:val="19"/>
              </w:rPr>
              <w:t xml:space="preserve">yes</w:t>
            </w:r>
          </w:p>
        </w:tc>
      </w:tr>
      <w:tr>
        <w:trPr>
          <w:cantSplit/>
        </w:trPr>
        <w:tc>
          <w:tcPr>
            <w:tcW w:type="dxa" w:w="451"/>
            <w:tcBorders>
              <w:top w:val="single" w:color="C3C2B7" w:sz="4"/>
              <w:left w:val="single" w:color="C3C2B7" w:sz="4"/>
              <w:bottom w:val="single" w:color="C3C2B7" w:sz="4"/>
              <w:right w:val="single" w:color="C3C2B7" w:sz="4"/>
            </w:tcBorders>
            <w:tcMar>
              <w:top w:type="dxa" w:w="70"/>
              <w:left w:type="dxa" w:w="110"/>
              <w:bottom w:type="dxa" w:w="70"/>
              <w:right w:type="dxa" w:w="110"/>
            </w:tcMar>
          </w:tcPr>
          <w:p>
            <w:pPr>
              <w:keepNext/>
              <w:spacing w:after="0" w:line="260"/>
            </w:pPr>
            <w:r>
              <w:rPr>
                <w:rFonts w:ascii="Calibri" w:cs="Calibri" w:eastAsia="Calibri" w:hAnsi="Calibri"/>
                <w:color w:val="1A1A1A"/>
                <w:sz w:val="19"/>
                <w:szCs w:val="19"/>
              </w:rPr>
              <w:t xml:space="preserve">4</w:t>
            </w:r>
          </w:p>
        </w:tc>
        <w:tc>
          <w:tcPr>
            <w:tcW w:type="dxa" w:w="1173"/>
            <w:tcBorders>
              <w:top w:val="single" w:color="C3C2B7" w:sz="4"/>
              <w:left w:val="single" w:color="C3C2B7" w:sz="4"/>
              <w:bottom w:val="single" w:color="C3C2B7" w:sz="4"/>
              <w:right w:val="single" w:color="C3C2B7" w:sz="4"/>
            </w:tcBorders>
            <w:tcMar>
              <w:top w:type="dxa" w:w="70"/>
              <w:left w:type="dxa" w:w="110"/>
              <w:bottom w:type="dxa" w:w="70"/>
              <w:right w:type="dxa" w:w="110"/>
            </w:tcMar>
          </w:tcPr>
          <w:p>
            <w:pPr>
              <w:keepNext/>
              <w:spacing w:after="0" w:line="260"/>
            </w:pPr>
            <w:r>
              <w:rPr>
                <w:rFonts w:ascii="Calibri" w:cs="Calibri" w:eastAsia="Calibri" w:hAnsi="Calibri"/>
                <w:color w:val="1A1A1A"/>
                <w:sz w:val="19"/>
                <w:szCs w:val="19"/>
              </w:rPr>
              <w:t xml:space="preserve">221018</w:t>
            </w:r>
          </w:p>
        </w:tc>
        <w:tc>
          <w:tcPr>
            <w:tcW w:type="dxa" w:w="1083"/>
            <w:tcBorders>
              <w:top w:val="single" w:color="C3C2B7" w:sz="4"/>
              <w:left w:val="single" w:color="C3C2B7" w:sz="4"/>
              <w:bottom w:val="single" w:color="C3C2B7" w:sz="4"/>
              <w:right w:val="single" w:color="C3C2B7" w:sz="4"/>
            </w:tcBorders>
            <w:tcMar>
              <w:top w:type="dxa" w:w="70"/>
              <w:left w:type="dxa" w:w="110"/>
              <w:bottom w:type="dxa" w:w="70"/>
              <w:right w:type="dxa" w:w="110"/>
            </w:tcMar>
          </w:tcPr>
          <w:p>
            <w:pPr>
              <w:keepNext/>
              <w:spacing w:after="0" w:line="260"/>
            </w:pPr>
            <w:r>
              <w:rPr>
                <w:rFonts w:ascii="Calibri" w:cs="Calibri" w:eastAsia="Calibri" w:hAnsi="Calibri"/>
                <w:color w:val="1A1A1A"/>
                <w:sz w:val="19"/>
                <w:szCs w:val="19"/>
              </w:rPr>
              <w:t xml:space="preserve">320.01</w:t>
            </w:r>
          </w:p>
        </w:tc>
        <w:tc>
          <w:tcPr>
            <w:tcW w:type="dxa" w:w="812"/>
            <w:tcBorders>
              <w:top w:val="single" w:color="C3C2B7" w:sz="4"/>
              <w:left w:val="single" w:color="C3C2B7" w:sz="4"/>
              <w:bottom w:val="single" w:color="C3C2B7" w:sz="4"/>
              <w:right w:val="single" w:color="C3C2B7" w:sz="4"/>
            </w:tcBorders>
            <w:tcMar>
              <w:top w:type="dxa" w:w="70"/>
              <w:left w:type="dxa" w:w="110"/>
              <w:bottom w:type="dxa" w:w="70"/>
              <w:right w:type="dxa" w:w="110"/>
            </w:tcMar>
          </w:tcPr>
          <w:p>
            <w:pPr>
              <w:keepNext/>
              <w:spacing w:after="0" w:line="260"/>
            </w:pPr>
            <w:r>
              <w:rPr>
                <w:rFonts w:ascii="Calibri" w:cs="Calibri" w:eastAsia="Calibri" w:hAnsi="Calibri"/>
                <w:color w:val="1A1A1A"/>
                <w:sz w:val="19"/>
                <w:szCs w:val="19"/>
              </w:rPr>
              <w:t xml:space="preserve">0.999</w:t>
            </w:r>
          </w:p>
        </w:tc>
        <w:tc>
          <w:tcPr>
            <w:tcW w:type="dxa" w:w="1083"/>
            <w:tcBorders>
              <w:top w:val="single" w:color="C3C2B7" w:sz="4"/>
              <w:left w:val="single" w:color="C3C2B7" w:sz="4"/>
              <w:bottom w:val="single" w:color="C3C2B7" w:sz="4"/>
              <w:right w:val="single" w:color="C3C2B7" w:sz="4"/>
            </w:tcBorders>
            <w:tcMar>
              <w:top w:type="dxa" w:w="70"/>
              <w:left w:type="dxa" w:w="110"/>
              <w:bottom w:type="dxa" w:w="70"/>
              <w:right w:type="dxa" w:w="110"/>
            </w:tcMar>
          </w:tcPr>
          <w:p>
            <w:pPr>
              <w:keepNext/>
              <w:spacing w:after="0" w:line="260"/>
            </w:pPr>
            <w:r>
              <w:rPr>
                <w:rFonts w:ascii="Calibri" w:cs="Calibri" w:eastAsia="Calibri" w:hAnsi="Calibri"/>
                <w:color w:val="1A1A1A"/>
                <w:sz w:val="19"/>
                <w:szCs w:val="19"/>
              </w:rPr>
              <w:t xml:space="preserve">CRITICAL</w:t>
            </w:r>
          </w:p>
        </w:tc>
        <w:tc>
          <w:tcPr>
            <w:tcW w:type="dxa" w:w="3249"/>
            <w:tcBorders>
              <w:top w:val="single" w:color="C3C2B7" w:sz="4"/>
              <w:left w:val="single" w:color="C3C2B7" w:sz="4"/>
              <w:bottom w:val="single" w:color="C3C2B7" w:sz="4"/>
              <w:right w:val="single" w:color="C3C2B7" w:sz="4"/>
            </w:tcBorders>
            <w:tcMar>
              <w:top w:type="dxa" w:w="70"/>
              <w:left w:type="dxa" w:w="110"/>
              <w:bottom w:type="dxa" w:w="70"/>
              <w:right w:type="dxa" w:w="110"/>
            </w:tcMar>
          </w:tcPr>
          <w:p>
            <w:pPr>
              <w:keepNext/>
              <w:spacing w:after="0" w:line="260"/>
            </w:pPr>
            <w:r>
              <w:rPr>
                <w:rFonts w:ascii="Calibri" w:cs="Calibri" w:eastAsia="Calibri" w:hAnsi="Calibri"/>
                <w:color w:val="1A1A1A"/>
                <w:sz w:val="19"/>
                <w:szCs w:val="19"/>
              </w:rPr>
              <w:t xml:space="preserve">V14 = -6.62: lower than 99.9% of genuine transactions</w:t>
            </w:r>
          </w:p>
        </w:tc>
        <w:tc>
          <w:tcPr>
            <w:tcW w:type="dxa" w:w="1175"/>
            <w:tcBorders>
              <w:top w:val="single" w:color="C3C2B7" w:sz="4"/>
              <w:left w:val="single" w:color="C3C2B7" w:sz="4"/>
              <w:bottom w:val="single" w:color="C3C2B7" w:sz="4"/>
              <w:right w:val="single" w:color="C3C2B7" w:sz="4"/>
            </w:tcBorders>
            <w:tcMar>
              <w:top w:type="dxa" w:w="70"/>
              <w:left w:type="dxa" w:w="110"/>
              <w:bottom w:type="dxa" w:w="70"/>
              <w:right w:type="dxa" w:w="110"/>
            </w:tcMar>
          </w:tcPr>
          <w:p>
            <w:pPr>
              <w:keepNext/>
              <w:spacing w:after="0" w:line="260"/>
            </w:pPr>
            <w:r>
              <w:rPr>
                <w:rFonts w:ascii="Calibri" w:cs="Calibri" w:eastAsia="Calibri" w:hAnsi="Calibri"/>
                <w:color w:val="1A1A1A"/>
                <w:sz w:val="19"/>
                <w:szCs w:val="19"/>
              </w:rPr>
              <w:t xml:space="preserve">yes</w:t>
            </w:r>
          </w:p>
        </w:tc>
      </w:tr>
      <w:tr>
        <w:trPr>
          <w:cantSplit/>
        </w:trPr>
        <w:tc>
          <w:tcPr>
            <w:tcW w:type="dxa" w:w="451"/>
            <w:tcBorders>
              <w:top w:val="single" w:color="C3C2B7" w:sz="4"/>
              <w:left w:val="single" w:color="C3C2B7" w:sz="4"/>
              <w:bottom w:val="single" w:color="C3C2B7" w:sz="4"/>
              <w:right w:val="single" w:color="C3C2B7" w:sz="4"/>
            </w:tcBorders>
            <w:tcMar>
              <w:top w:type="dxa" w:w="70"/>
              <w:left w:type="dxa" w:w="110"/>
              <w:bottom w:type="dxa" w:w="70"/>
              <w:right w:type="dxa" w:w="110"/>
            </w:tcMar>
          </w:tcPr>
          <w:p>
            <w:pPr>
              <w:keepNext w:val="false"/>
              <w:spacing w:after="0" w:line="260"/>
            </w:pPr>
            <w:r>
              <w:rPr>
                <w:rFonts w:ascii="Calibri" w:cs="Calibri" w:eastAsia="Calibri" w:hAnsi="Calibri"/>
                <w:color w:val="1A1A1A"/>
                <w:sz w:val="19"/>
                <w:szCs w:val="19"/>
              </w:rPr>
              <w:t xml:space="preserve">5</w:t>
            </w:r>
          </w:p>
        </w:tc>
        <w:tc>
          <w:tcPr>
            <w:tcW w:type="dxa" w:w="1173"/>
            <w:tcBorders>
              <w:top w:val="single" w:color="C3C2B7" w:sz="4"/>
              <w:left w:val="single" w:color="C3C2B7" w:sz="4"/>
              <w:bottom w:val="single" w:color="C3C2B7" w:sz="4"/>
              <w:right w:val="single" w:color="C3C2B7" w:sz="4"/>
            </w:tcBorders>
            <w:tcMar>
              <w:top w:type="dxa" w:w="70"/>
              <w:left w:type="dxa" w:w="110"/>
              <w:bottom w:type="dxa" w:w="70"/>
              <w:right w:type="dxa" w:w="110"/>
            </w:tcMar>
          </w:tcPr>
          <w:p>
            <w:pPr>
              <w:keepNext w:val="false"/>
              <w:spacing w:after="0" w:line="260"/>
            </w:pPr>
            <w:r>
              <w:rPr>
                <w:rFonts w:ascii="Calibri" w:cs="Calibri" w:eastAsia="Calibri" w:hAnsi="Calibri"/>
                <w:color w:val="1A1A1A"/>
                <w:sz w:val="19"/>
                <w:szCs w:val="19"/>
              </w:rPr>
              <w:t xml:space="preserve">150668</w:t>
            </w:r>
          </w:p>
        </w:tc>
        <w:tc>
          <w:tcPr>
            <w:tcW w:type="dxa" w:w="1083"/>
            <w:tcBorders>
              <w:top w:val="single" w:color="C3C2B7" w:sz="4"/>
              <w:left w:val="single" w:color="C3C2B7" w:sz="4"/>
              <w:bottom w:val="single" w:color="C3C2B7" w:sz="4"/>
              <w:right w:val="single" w:color="C3C2B7" w:sz="4"/>
            </w:tcBorders>
            <w:tcMar>
              <w:top w:type="dxa" w:w="70"/>
              <w:left w:type="dxa" w:w="110"/>
              <w:bottom w:type="dxa" w:w="70"/>
              <w:right w:type="dxa" w:w="110"/>
            </w:tcMar>
          </w:tcPr>
          <w:p>
            <w:pPr>
              <w:keepNext w:val="false"/>
              <w:spacing w:after="0" w:line="260"/>
            </w:pPr>
            <w:r>
              <w:rPr>
                <w:rFonts w:ascii="Calibri" w:cs="Calibri" w:eastAsia="Calibri" w:hAnsi="Calibri"/>
                <w:color w:val="1A1A1A"/>
                <w:sz w:val="19"/>
                <w:szCs w:val="19"/>
              </w:rPr>
              <w:t xml:space="preserve">188.52</w:t>
            </w:r>
          </w:p>
        </w:tc>
        <w:tc>
          <w:tcPr>
            <w:tcW w:type="dxa" w:w="812"/>
            <w:tcBorders>
              <w:top w:val="single" w:color="C3C2B7" w:sz="4"/>
              <w:left w:val="single" w:color="C3C2B7" w:sz="4"/>
              <w:bottom w:val="single" w:color="C3C2B7" w:sz="4"/>
              <w:right w:val="single" w:color="C3C2B7" w:sz="4"/>
            </w:tcBorders>
            <w:tcMar>
              <w:top w:type="dxa" w:w="70"/>
              <w:left w:type="dxa" w:w="110"/>
              <w:bottom w:type="dxa" w:w="70"/>
              <w:right w:type="dxa" w:w="110"/>
            </w:tcMar>
          </w:tcPr>
          <w:p>
            <w:pPr>
              <w:keepNext w:val="false"/>
              <w:spacing w:after="0" w:line="260"/>
            </w:pPr>
            <w:r>
              <w:rPr>
                <w:rFonts w:ascii="Calibri" w:cs="Calibri" w:eastAsia="Calibri" w:hAnsi="Calibri"/>
                <w:color w:val="1A1A1A"/>
                <w:sz w:val="19"/>
                <w:szCs w:val="19"/>
              </w:rPr>
              <w:t xml:space="preserve">0.999</w:t>
            </w:r>
          </w:p>
        </w:tc>
        <w:tc>
          <w:tcPr>
            <w:tcW w:type="dxa" w:w="1083"/>
            <w:tcBorders>
              <w:top w:val="single" w:color="C3C2B7" w:sz="4"/>
              <w:left w:val="single" w:color="C3C2B7" w:sz="4"/>
              <w:bottom w:val="single" w:color="C3C2B7" w:sz="4"/>
              <w:right w:val="single" w:color="C3C2B7" w:sz="4"/>
            </w:tcBorders>
            <w:tcMar>
              <w:top w:type="dxa" w:w="70"/>
              <w:left w:type="dxa" w:w="110"/>
              <w:bottom w:type="dxa" w:w="70"/>
              <w:right w:type="dxa" w:w="110"/>
            </w:tcMar>
          </w:tcPr>
          <w:p>
            <w:pPr>
              <w:keepNext w:val="false"/>
              <w:spacing w:after="0" w:line="260"/>
            </w:pPr>
            <w:r>
              <w:rPr>
                <w:rFonts w:ascii="Calibri" w:cs="Calibri" w:eastAsia="Calibri" w:hAnsi="Calibri"/>
                <w:color w:val="1A1A1A"/>
                <w:sz w:val="19"/>
                <w:szCs w:val="19"/>
              </w:rPr>
              <w:t xml:space="preserve">CRITICAL</w:t>
            </w:r>
          </w:p>
        </w:tc>
        <w:tc>
          <w:tcPr>
            <w:tcW w:type="dxa" w:w="3249"/>
            <w:tcBorders>
              <w:top w:val="single" w:color="C3C2B7" w:sz="4"/>
              <w:left w:val="single" w:color="C3C2B7" w:sz="4"/>
              <w:bottom w:val="single" w:color="C3C2B7" w:sz="4"/>
              <w:right w:val="single" w:color="C3C2B7" w:sz="4"/>
            </w:tcBorders>
            <w:tcMar>
              <w:top w:type="dxa" w:w="70"/>
              <w:left w:type="dxa" w:w="110"/>
              <w:bottom w:type="dxa" w:w="70"/>
              <w:right w:type="dxa" w:w="110"/>
            </w:tcMar>
          </w:tcPr>
          <w:p>
            <w:pPr>
              <w:keepNext w:val="false"/>
              <w:spacing w:after="0" w:line="260"/>
            </w:pPr>
            <w:r>
              <w:rPr>
                <w:rFonts w:ascii="Calibri" w:cs="Calibri" w:eastAsia="Calibri" w:hAnsi="Calibri"/>
                <w:color w:val="1A1A1A"/>
                <w:sz w:val="19"/>
                <w:szCs w:val="19"/>
              </w:rPr>
              <w:t xml:space="preserve">V14 = -14.22: lower than 99.9% of genuine transactions</w:t>
            </w:r>
          </w:p>
        </w:tc>
        <w:tc>
          <w:tcPr>
            <w:tcW w:type="dxa" w:w="1175"/>
            <w:tcBorders>
              <w:top w:val="single" w:color="C3C2B7" w:sz="4"/>
              <w:left w:val="single" w:color="C3C2B7" w:sz="4"/>
              <w:bottom w:val="single" w:color="C3C2B7" w:sz="4"/>
              <w:right w:val="single" w:color="C3C2B7" w:sz="4"/>
            </w:tcBorders>
            <w:tcMar>
              <w:top w:type="dxa" w:w="70"/>
              <w:left w:type="dxa" w:w="110"/>
              <w:bottom w:type="dxa" w:w="70"/>
              <w:right w:type="dxa" w:w="110"/>
            </w:tcMar>
          </w:tcPr>
          <w:p>
            <w:pPr>
              <w:keepNext w:val="false"/>
              <w:spacing w:after="0" w:line="260"/>
            </w:pPr>
            <w:r>
              <w:rPr>
                <w:rFonts w:ascii="Calibri" w:cs="Calibri" w:eastAsia="Calibri" w:hAnsi="Calibri"/>
                <w:color w:val="1A1A1A"/>
                <w:sz w:val="19"/>
                <w:szCs w:val="19"/>
              </w:rPr>
              <w:t xml:space="preserve">yes</w:t>
            </w:r>
          </w:p>
        </w:tc>
      </w:tr>
    </w:tbl>
    <w:p>
      <w:pPr>
        <w:spacing w:after="160"/>
      </w:pPr>
    </w:p>
    <w:p>
      <w:pPr>
        <w:pStyle w:val="Heading2"/>
        <w:spacing w:after="100" w:before="240"/>
      </w:pPr>
      <w:r>
        <w:rPr>
          <w:rFonts w:ascii="Calibri" w:cs="Calibri" w:eastAsia="Calibri" w:hAnsi="Calibri"/>
        </w:rPr>
        <w:t xml:space="preserve">One-line analyst note format</w:t>
      </w:r>
    </w:p>
    <w:p>
      <w:pPr>
        <w:spacing w:after="140" w:line="300"/>
      </w:pPr>
      <w:r>
        <w:rPr>
          <w:rFonts w:ascii="Consolas" w:cs="Consolas" w:eastAsia="Consolas" w:hAnsi="Consolas"/>
          <w:sz w:val="18"/>
          <w:szCs w:val="18"/>
        </w:rPr>
        <w:t xml:space="preserve">#RANK | BAND SCORE | TXN id | EUR amount at Dd HH:MM | WHY reason; reason; reason | DO ACTION | STATUS</w:t>
      </w:r>
    </w:p>
    <w:p>
      <w:pPr>
        <w:spacing w:after="140" w:line="300"/>
      </w:pPr>
      <w:r>
        <w:rPr>
          <w:rFonts w:ascii="Consolas" w:cs="Consolas" w:eastAsia="Consolas" w:hAnsi="Consolas"/>
          <w:color w:val="5F5E5A"/>
          <w:sz w:val="18"/>
          <w:szCs w:val="18"/>
        </w:rPr>
        <w:t xml:space="preserve">#002 | CRITICAL 0.999 | TXN 243699 | EUR 1.00 at D2 18:13 | WHY V14 extremely low; V10 very low; V4 extremely high | DO HOLD_AND_CALL | PENDING_APPROVAL</w:t>
      </w:r>
    </w:p>
    <w:p>
      <w:pPr>
        <w:pStyle w:val="Heading1"/>
        <w:spacing w:after="160" w:before="360"/>
      </w:pPr>
      <w:r>
        <w:rPr>
          <w:rFonts w:ascii="Calibri" w:cs="Calibri" w:eastAsia="Calibri" w:hAnsi="Calibri"/>
        </w:rPr>
        <w:t xml:space="preserve">8. The review-note agent and generative AI</w:t>
      </w:r>
    </w:p>
    <w:p>
      <w:pPr>
        <w:spacing w:after="140" w:line="300"/>
      </w:pPr>
      <w:r>
        <w:rPr>
          <w:rFonts w:ascii="Calibri" w:cs="Calibri" w:eastAsia="Calibri" w:hAnsi="Calibri"/>
        </w:rPr>
        <w:t xml:space="preserve">For each alert the agent gathers the evidence, chooses an action from a fixed policy table and drafts the note. It cannot execute anything.</w:t>
      </w:r>
    </w:p>
    <w:p>
      <w:pPr>
        <w:spacing w:after="140" w:line="300"/>
      </w:pPr>
      <w:r>
        <w:rPr>
          <w:rFonts w:ascii="Calibri" w:cs="Calibri" w:eastAsia="Calibri" w:hAnsi="Calibri"/>
        </w:rPr>
        <w:t xml:space="preserve">Two drafters share the same evidence object. A deterministic template always works and is the default. An optional local LLM (phi3.5, run through Ollama on the analyst's machine so no transaction data leaves it) rewrites the same facts as a three-sentence narrative.</w:t>
      </w:r>
    </w:p>
    <w:p>
      <w:pPr>
        <w:pStyle w:val="Heading2"/>
        <w:spacing w:after="100" w:before="240"/>
      </w:pPr>
      <w:r>
        <w:rPr>
          <w:rFonts w:ascii="Calibri" w:cs="Calibri" w:eastAsia="Calibri" w:hAnsi="Calibri"/>
        </w:rPr>
        <w:t xml:space="preserve">Guardrails</w:t>
      </w:r>
    </w:p>
    <w:p>
      <w:pPr>
        <w:pStyle w:val="ListParagraph"/>
        <w:numPr>
          <w:ilvl w:val="0"/>
          <w:numId w:val="2"/>
        </w:numPr>
        <w:spacing w:after="80" w:line="290"/>
      </w:pPr>
      <w:r>
        <w:rPr>
          <w:rFonts w:ascii="Calibri" w:cs="Calibri" w:eastAsia="Calibri" w:hAnsi="Calibri"/>
        </w:rPr>
        <w:t xml:space="preserve">The model receives only a structured evidence object, never raw data.</w:t>
      </w:r>
    </w:p>
    <w:p>
      <w:pPr>
        <w:pStyle w:val="ListParagraph"/>
        <w:numPr>
          <w:ilvl w:val="0"/>
          <w:numId w:val="2"/>
        </w:numPr>
        <w:spacing w:after="80" w:line="290"/>
      </w:pPr>
      <w:r>
        <w:rPr>
          <w:rFonts w:ascii="Calibri" w:cs="Calibri" w:eastAsia="Calibri" w:hAnsi="Calibri"/>
        </w:rPr>
        <w:t xml:space="preserve">The prompt is a versioned file with explicit rules (quote numbers exactly, never claim fraud is confirmed, three sentences) and one worked example.</w:t>
      </w:r>
    </w:p>
    <w:p>
      <w:pPr>
        <w:pStyle w:val="ListParagraph"/>
        <w:numPr>
          <w:ilvl w:val="0"/>
          <w:numId w:val="2"/>
        </w:numPr>
        <w:spacing w:after="80" w:line="290"/>
      </w:pPr>
      <w:r>
        <w:rPr>
          <w:rFonts w:ascii="Calibri" w:cs="Calibri" w:eastAsia="Calibri" w:hAnsi="Calibri"/>
        </w:rPr>
        <w:t xml:space="preserve">Code checks every draft: each number must appear in the evidence, the transaction id must be present, and overclaiming phrases cause rejection. A rejected draft is replaced by the template.</w:t>
      </w:r>
    </w:p>
    <w:p>
      <w:pPr>
        <w:pStyle w:val="ListParagraph"/>
        <w:numPr>
          <w:ilvl w:val="0"/>
          <w:numId w:val="2"/>
        </w:numPr>
        <w:spacing w:after="80" w:line="290"/>
      </w:pPr>
      <w:r>
        <w:rPr>
          <w:rFonts w:ascii="Calibri" w:cs="Calibri" w:eastAsia="Calibri" w:hAnsi="Calibri"/>
        </w:rPr>
        <w:t xml:space="preserve">All 25 drafts generated for the top of the queue passed the check. Drafts are cached, so rebuilding the queue does not regenerate them.</w:t>
      </w:r>
    </w:p>
    <w:p>
      <w:pPr>
        <w:pStyle w:val="Heading2"/>
        <w:spacing w:after="100" w:before="240"/>
      </w:pPr>
      <w:r>
        <w:rPr>
          <w:rFonts w:ascii="Calibri" w:cs="Calibri" w:eastAsia="Calibri" w:hAnsi="Calibri"/>
        </w:rPr>
        <w:t xml:space="preserve">Example</w:t>
      </w:r>
    </w:p>
    <w:p>
      <w:pPr>
        <w:spacing w:after="140" w:line="300"/>
      </w:pPr>
      <w:r>
        <w:rPr>
          <w:rFonts w:ascii="Calibri" w:cs="Calibri" w:eastAsia="Calibri" w:hAnsi="Calibri"/>
          <w:b/>
          <w:bCs/>
          <w:sz w:val="20"/>
          <w:szCs w:val="20"/>
        </w:rPr>
        <w:t xml:space="preserve">LLM draft for alert #2 (accepted):</w:t>
      </w:r>
      <w:r>
        <w:rPr>
          <w:rFonts w:ascii="Calibri" w:cs="Calibri" w:eastAsia="Calibri" w:hAnsi="Calibri"/>
          <w:sz w:val="20"/>
          <w:szCs w:val="20"/>
        </w:rPr>
        <w:t xml:space="preserve"> Transaction 243699 for EUR 1.0 at 18:13 on day 2 is rank 2 of 200 in today's queue, rated CRITICAL with a risk score of 0.9991. Its V14 value of -14.27 is significantly lower than 99.9% of genuine transactions, V10 is also lower than 99.8%, but V4 is higher than 99.9%. Hold the transaction, block the card temporarily, and call the cardholder, initially comparing merchant, device, and location with the card's usual pattern.</w:t>
      </w:r>
    </w:p>
    <w:p>
      <w:pPr>
        <w:pStyle w:val="Heading1"/>
        <w:spacing w:after="160" w:before="360"/>
      </w:pPr>
      <w:r>
        <w:rPr>
          <w:rFonts w:ascii="Calibri" w:cs="Calibri" w:eastAsia="Calibri" w:hAnsi="Calibri"/>
        </w:rPr>
        <w:t xml:space="preserve">9. Application walkthrough</w:t>
      </w:r>
    </w:p>
    <w:p>
      <w:pPr>
        <w:spacing w:after="140" w:line="300"/>
      </w:pPr>
      <w:r>
        <w:rPr>
          <w:rFonts w:ascii="Calibri" w:cs="Calibri" w:eastAsia="Calibri" w:hAnsi="Calibri"/>
        </w:rPr>
        <w:t xml:space="preserve">The analyst console has four tabs. It runs offline on a laptop and on the free tier of Streamlit Community Cloud.</w:t>
      </w:r>
    </w:p>
    <w:p>
      <w:pPr>
        <w:pStyle w:val="ListParagraph"/>
        <w:numPr>
          <w:ilvl w:val="0"/>
          <w:numId w:val="2"/>
        </w:numPr>
        <w:spacing w:after="80" w:line="290"/>
      </w:pPr>
      <w:r>
        <w:rPr>
          <w:rFonts w:ascii="Calibri" w:cs="Calibri" w:eastAsia="Calibri" w:hAnsi="Calibri"/>
          <w:b/>
          <w:bCs/>
        </w:rPr>
        <w:t xml:space="preserve">Alert queue.</w:t>
      </w:r>
      <w:r>
        <w:rPr>
          <w:rFonts w:ascii="Calibri" w:cs="Calibri" w:eastAsia="Calibri" w:hAnsi="Calibri"/>
        </w:rPr>
        <w:t xml:space="preserve"> The day's 200 alerts, filterable by band and status. Selecting one opens the case: reasons, action, drafted note, and approve, reject or escalate buttons. An evaluation switch reveals the true labels, which analysts never see.</w:t>
      </w:r>
    </w:p>
    <w:p>
      <w:pPr>
        <w:pStyle w:val="ListParagraph"/>
        <w:numPr>
          <w:ilvl w:val="0"/>
          <w:numId w:val="2"/>
        </w:numPr>
        <w:spacing w:after="80" w:line="290"/>
      </w:pPr>
      <w:r>
        <w:rPr>
          <w:rFonts w:ascii="Calibri" w:cs="Calibri" w:eastAsia="Calibri" w:hAnsi="Calibri"/>
          <w:b/>
          <w:bCs/>
        </w:rPr>
        <w:t xml:space="preserve">Live scoring.</w:t>
      </w:r>
      <w:r>
        <w:rPr>
          <w:rFonts w:ascii="Calibri" w:cs="Calibri" w:eastAsia="Calibri" w:hAnsi="Calibri"/>
        </w:rPr>
        <w:t xml:space="preserve"> Pick any day-2 transaction, or upload a file, and it is scored and explained on the spot (about 50 ms), with its rank among the day's transactions. A what-if control changes the amount or time and shows the score move.</w:t>
      </w:r>
    </w:p>
    <w:p>
      <w:pPr>
        <w:pStyle w:val="ListParagraph"/>
        <w:numPr>
          <w:ilvl w:val="0"/>
          <w:numId w:val="2"/>
        </w:numPr>
        <w:spacing w:after="80" w:line="290"/>
      </w:pPr>
      <w:r>
        <w:rPr>
          <w:rFonts w:ascii="Calibri" w:cs="Calibri" w:eastAsia="Calibri" w:hAnsi="Calibri"/>
          <w:b/>
          <w:bCs/>
        </w:rPr>
        <w:t xml:space="preserve">Model evidence.</w:t>
      </w:r>
      <w:r>
        <w:rPr>
          <w:rFonts w:ascii="Calibri" w:cs="Calibri" w:eastAsia="Calibri" w:hAnsi="Calibri"/>
        </w:rPr>
        <w:t xml:space="preserve"> Why accuracy is the wrong yardstick, the model comparison, the two curves side by side, the leakage exhibit and the band profile.</w:t>
      </w:r>
    </w:p>
    <w:p>
      <w:pPr>
        <w:pStyle w:val="ListParagraph"/>
        <w:numPr>
          <w:ilvl w:val="0"/>
          <w:numId w:val="2"/>
        </w:numPr>
        <w:spacing w:after="80" w:line="290"/>
      </w:pPr>
      <w:r>
        <w:rPr>
          <w:rFonts w:ascii="Calibri" w:cs="Calibri" w:eastAsia="Calibri" w:hAnsi="Calibri"/>
          <w:b/>
          <w:bCs/>
        </w:rPr>
        <w:t xml:space="preserve">Business impact.</w:t>
      </w:r>
      <w:r>
        <w:rPr>
          <w:rFonts w:ascii="Calibri" w:cs="Calibri" w:eastAsia="Calibri" w:hAnsi="Calibri"/>
        </w:rPr>
        <w:t xml:space="preserve"> A capacity planner: replay the day at any staffing level, with adjustable cost assumptions.</w:t>
      </w:r>
    </w:p>
    <w:p>
      <w:pPr>
        <w:keepNext/>
        <w:spacing w:after="60" w:before="120"/>
        <w:jc w:val="center"/>
      </w:pPr>
      <w:r>
        <w:drawing>
          <wp:inline distT="0" distB="0" distL="0" distR="0">
            <wp:extent cx="5486400" cy="4286250"/>
            <wp:effectExtent t="0" r="0" b="0" l="0"/>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486400" cy="4286250"/>
                    </a:xfrm>
                    <a:prstGeom prst="rect">
                      <a:avLst/>
                    </a:prstGeom>
                  </pic:spPr>
                </pic:pic>
              </a:graphicData>
            </a:graphic>
          </wp:inline>
        </w:drawing>
      </w:r>
    </w:p>
    <w:p>
      <w:pPr>
        <w:spacing w:after="200"/>
        <w:jc w:val="center"/>
      </w:pPr>
      <w:r>
        <w:rPr>
          <w:rFonts w:ascii="Calibri" w:cs="Calibri" w:eastAsia="Calibri" w:hAnsi="Calibri"/>
          <w:i/>
          <w:iCs/>
          <w:color w:val="5F5E5A"/>
          <w:sz w:val="18"/>
          <w:szCs w:val="18"/>
        </w:rPr>
        <w:t xml:space="preserve">Figure 7. Live scoring: one transaction scored, ranked and explained.</w:t>
      </w:r>
    </w:p>
    <w:p>
      <w:pPr>
        <w:keepNext/>
        <w:spacing w:after="60" w:before="120"/>
        <w:jc w:val="center"/>
      </w:pPr>
      <w:r>
        <w:drawing>
          <wp:inline distT="0" distB="0" distL="0" distR="0">
            <wp:extent cx="5124450" cy="4000500"/>
            <wp:effectExtent t="0" r="0" b="0" l="0"/>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124450" cy="4000500"/>
                    </a:xfrm>
                    <a:prstGeom prst="rect">
                      <a:avLst/>
                    </a:prstGeom>
                  </pic:spPr>
                </pic:pic>
              </a:graphicData>
            </a:graphic>
          </wp:inline>
        </w:drawing>
      </w:r>
    </w:p>
    <w:p>
      <w:pPr>
        <w:spacing w:after="200"/>
        <w:jc w:val="center"/>
      </w:pPr>
      <w:r>
        <w:rPr>
          <w:rFonts w:ascii="Calibri" w:cs="Calibri" w:eastAsia="Calibri" w:hAnsi="Calibri"/>
          <w:i/>
          <w:iCs/>
          <w:color w:val="5F5E5A"/>
          <w:sz w:val="18"/>
          <w:szCs w:val="18"/>
        </w:rPr>
        <w:t xml:space="preserve">Figure 8. MLflow run comparison for the four candidates.</w:t>
      </w:r>
    </w:p>
    <w:p>
      <w:pPr>
        <w:pStyle w:val="Heading1"/>
        <w:spacing w:after="160" w:before="360"/>
      </w:pPr>
      <w:r>
        <w:rPr>
          <w:rFonts w:ascii="Calibri" w:cs="Calibri" w:eastAsia="Calibri" w:hAnsi="Calibri"/>
        </w:rPr>
        <w:t xml:space="preserve">10. Technology stack</w:t>
      </w:r>
    </w:p>
    <w:p>
      <w:pPr>
        <w:spacing w:after="140" w:line="300"/>
      </w:pPr>
      <w:r>
        <w:rPr>
          <w:rFonts w:ascii="Calibri" w:cs="Calibri" w:eastAsia="Calibri" w:hAnsi="Calibri"/>
        </w:rPr>
        <w:t xml:space="preserve">Everything is free and open source. There is no paid service, no API key and no secret in the repository.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3069"/>
        <w:gridCol w:w="4152"/>
      </w:tblGrid>
      <w:tr>
        <w:trPr>
          <w:tblHeader/>
        </w:trPr>
        <w:tc>
          <w:tcPr>
            <w:tcW w:type="dxa" w:w="1805"/>
            <w:tcBorders>
              <w:top w:val="single" w:color="C3C2B7" w:sz="4"/>
              <w:left w:val="single" w:color="C3C2B7" w:sz="4"/>
              <w:bottom w:val="single" w:color="C3C2B7" w:sz="4"/>
              <w:right w:val="single" w:color="C3C2B7" w:sz="4"/>
            </w:tcBorders>
            <w:shd w:fill="E8F0FB" w:color="auto" w:val="clear"/>
            <w:tcMar>
              <w:top w:type="dxa" w:w="70"/>
              <w:left w:type="dxa" w:w="110"/>
              <w:bottom w:type="dxa" w:w="70"/>
              <w:right w:type="dxa" w:w="110"/>
            </w:tcMar>
          </w:tcPr>
          <w:p>
            <w:pPr>
              <w:keepNext/>
              <w:spacing w:after="0" w:line="260"/>
            </w:pPr>
            <w:r>
              <w:rPr>
                <w:rFonts w:ascii="Calibri" w:cs="Calibri" w:eastAsia="Calibri" w:hAnsi="Calibri"/>
                <w:b/>
                <w:bCs/>
                <w:color w:val="0D366B"/>
                <w:sz w:val="19"/>
                <w:szCs w:val="19"/>
              </w:rPr>
              <w:t xml:space="preserve">Layer</w:t>
            </w:r>
          </w:p>
        </w:tc>
        <w:tc>
          <w:tcPr>
            <w:tcW w:type="dxa" w:w="3069"/>
            <w:tcBorders>
              <w:top w:val="single" w:color="C3C2B7" w:sz="4"/>
              <w:left w:val="single" w:color="C3C2B7" w:sz="4"/>
              <w:bottom w:val="single" w:color="C3C2B7" w:sz="4"/>
              <w:right w:val="single" w:color="C3C2B7" w:sz="4"/>
            </w:tcBorders>
            <w:shd w:fill="E8F0FB" w:color="auto" w:val="clear"/>
            <w:tcMar>
              <w:top w:type="dxa" w:w="70"/>
              <w:left w:type="dxa" w:w="110"/>
              <w:bottom w:type="dxa" w:w="70"/>
              <w:right w:type="dxa" w:w="110"/>
            </w:tcMar>
          </w:tcPr>
          <w:p>
            <w:pPr>
              <w:keepNext/>
              <w:spacing w:after="0" w:line="260"/>
            </w:pPr>
            <w:r>
              <w:rPr>
                <w:rFonts w:ascii="Calibri" w:cs="Calibri" w:eastAsia="Calibri" w:hAnsi="Calibri"/>
                <w:b/>
                <w:bCs/>
                <w:color w:val="0D366B"/>
                <w:sz w:val="19"/>
                <w:szCs w:val="19"/>
              </w:rPr>
              <w:t xml:space="preserve">Technology</w:t>
            </w:r>
          </w:p>
        </w:tc>
        <w:tc>
          <w:tcPr>
            <w:tcW w:type="dxa" w:w="4152"/>
            <w:tcBorders>
              <w:top w:val="single" w:color="C3C2B7" w:sz="4"/>
              <w:left w:val="single" w:color="C3C2B7" w:sz="4"/>
              <w:bottom w:val="single" w:color="C3C2B7" w:sz="4"/>
              <w:right w:val="single" w:color="C3C2B7" w:sz="4"/>
            </w:tcBorders>
            <w:shd w:fill="E8F0FB" w:color="auto" w:val="clear"/>
            <w:tcMar>
              <w:top w:type="dxa" w:w="70"/>
              <w:left w:type="dxa" w:w="110"/>
              <w:bottom w:type="dxa" w:w="70"/>
              <w:right w:type="dxa" w:w="110"/>
            </w:tcMar>
          </w:tcPr>
          <w:p>
            <w:pPr>
              <w:keepNext/>
              <w:spacing w:after="0" w:line="260"/>
            </w:pPr>
            <w:r>
              <w:rPr>
                <w:rFonts w:ascii="Calibri" w:cs="Calibri" w:eastAsia="Calibri" w:hAnsi="Calibri"/>
                <w:b/>
                <w:bCs/>
                <w:color w:val="0D366B"/>
                <w:sz w:val="19"/>
                <w:szCs w:val="19"/>
              </w:rPr>
              <w:t xml:space="preserve">Why</w:t>
            </w:r>
          </w:p>
        </w:tc>
      </w:tr>
      <w:tr>
        <w:trPr>
          <w:cantSplit/>
        </w:trPr>
        <w:tc>
          <w:tcPr>
            <w:tcW w:type="dxa" w:w="1805"/>
            <w:tcBorders>
              <w:top w:val="single" w:color="C3C2B7" w:sz="4"/>
              <w:left w:val="single" w:color="C3C2B7" w:sz="4"/>
              <w:bottom w:val="single" w:color="C3C2B7" w:sz="4"/>
              <w:right w:val="single" w:color="C3C2B7" w:sz="4"/>
            </w:tcBorders>
            <w:tcMar>
              <w:top w:type="dxa" w:w="70"/>
              <w:left w:type="dxa" w:w="110"/>
              <w:bottom w:type="dxa" w:w="70"/>
              <w:right w:type="dxa" w:w="110"/>
            </w:tcMar>
          </w:tcPr>
          <w:p>
            <w:pPr>
              <w:keepNext/>
              <w:spacing w:after="0" w:line="260"/>
            </w:pPr>
            <w:r>
              <w:rPr>
                <w:rFonts w:ascii="Calibri" w:cs="Calibri" w:eastAsia="Calibri" w:hAnsi="Calibri"/>
                <w:color w:val="1A1A1A"/>
                <w:sz w:val="19"/>
                <w:szCs w:val="19"/>
              </w:rPr>
              <w:t xml:space="preserve">Data</w:t>
            </w:r>
          </w:p>
        </w:tc>
        <w:tc>
          <w:tcPr>
            <w:tcW w:type="dxa" w:w="3069"/>
            <w:tcBorders>
              <w:top w:val="single" w:color="C3C2B7" w:sz="4"/>
              <w:left w:val="single" w:color="C3C2B7" w:sz="4"/>
              <w:bottom w:val="single" w:color="C3C2B7" w:sz="4"/>
              <w:right w:val="single" w:color="C3C2B7" w:sz="4"/>
            </w:tcBorders>
            <w:tcMar>
              <w:top w:type="dxa" w:w="70"/>
              <w:left w:type="dxa" w:w="110"/>
              <w:bottom w:type="dxa" w:w="70"/>
              <w:right w:type="dxa" w:w="110"/>
            </w:tcMar>
          </w:tcPr>
          <w:p>
            <w:pPr>
              <w:keepNext/>
              <w:spacing w:after="0" w:line="260"/>
            </w:pPr>
            <w:r>
              <w:rPr>
                <w:rFonts w:ascii="Calibri" w:cs="Calibri" w:eastAsia="Calibri" w:hAnsi="Calibri"/>
                <w:color w:val="1A1A1A"/>
                <w:sz w:val="19"/>
                <w:szCs w:val="19"/>
              </w:rPr>
              <w:t xml:space="preserve">pandas, NumPy, PyArrow</w:t>
            </w:r>
          </w:p>
        </w:tc>
        <w:tc>
          <w:tcPr>
            <w:tcW w:type="dxa" w:w="4152"/>
            <w:tcBorders>
              <w:top w:val="single" w:color="C3C2B7" w:sz="4"/>
              <w:left w:val="single" w:color="C3C2B7" w:sz="4"/>
              <w:bottom w:val="single" w:color="C3C2B7" w:sz="4"/>
              <w:right w:val="single" w:color="C3C2B7" w:sz="4"/>
            </w:tcBorders>
            <w:tcMar>
              <w:top w:type="dxa" w:w="70"/>
              <w:left w:type="dxa" w:w="110"/>
              <w:bottom w:type="dxa" w:w="70"/>
              <w:right w:type="dxa" w:w="110"/>
            </w:tcMar>
          </w:tcPr>
          <w:p>
            <w:pPr>
              <w:keepNext/>
              <w:spacing w:after="0" w:line="260"/>
            </w:pPr>
            <w:r>
              <w:rPr>
                <w:rFonts w:ascii="Calibri" w:cs="Calibri" w:eastAsia="Calibri" w:hAnsi="Calibri"/>
                <w:color w:val="1A1A1A"/>
                <w:sz w:val="19"/>
                <w:szCs w:val="19"/>
              </w:rPr>
              <w:t xml:space="preserve">The dataset fits in memory on a laptop</w:t>
            </w:r>
          </w:p>
        </w:tc>
      </w:tr>
      <w:tr>
        <w:trPr>
          <w:cantSplit/>
        </w:trPr>
        <w:tc>
          <w:tcPr>
            <w:tcW w:type="dxa" w:w="1805"/>
            <w:tcBorders>
              <w:top w:val="single" w:color="C3C2B7" w:sz="4"/>
              <w:left w:val="single" w:color="C3C2B7" w:sz="4"/>
              <w:bottom w:val="single" w:color="C3C2B7" w:sz="4"/>
              <w:right w:val="single" w:color="C3C2B7" w:sz="4"/>
            </w:tcBorders>
            <w:tcMar>
              <w:top w:type="dxa" w:w="70"/>
              <w:left w:type="dxa" w:w="110"/>
              <w:bottom w:type="dxa" w:w="70"/>
              <w:right w:type="dxa" w:w="110"/>
            </w:tcMar>
          </w:tcPr>
          <w:p>
            <w:pPr>
              <w:keepNext/>
              <w:spacing w:after="0" w:line="260"/>
            </w:pPr>
            <w:r>
              <w:rPr>
                <w:rFonts w:ascii="Calibri" w:cs="Calibri" w:eastAsia="Calibri" w:hAnsi="Calibri"/>
                <w:color w:val="1A1A1A"/>
                <w:sz w:val="19"/>
                <w:szCs w:val="19"/>
              </w:rPr>
              <w:t xml:space="preserve">Modelling</w:t>
            </w:r>
          </w:p>
        </w:tc>
        <w:tc>
          <w:tcPr>
            <w:tcW w:type="dxa" w:w="3069"/>
            <w:tcBorders>
              <w:top w:val="single" w:color="C3C2B7" w:sz="4"/>
              <w:left w:val="single" w:color="C3C2B7" w:sz="4"/>
              <w:bottom w:val="single" w:color="C3C2B7" w:sz="4"/>
              <w:right w:val="single" w:color="C3C2B7" w:sz="4"/>
            </w:tcBorders>
            <w:tcMar>
              <w:top w:type="dxa" w:w="70"/>
              <w:left w:type="dxa" w:w="110"/>
              <w:bottom w:type="dxa" w:w="70"/>
              <w:right w:type="dxa" w:w="110"/>
            </w:tcMar>
          </w:tcPr>
          <w:p>
            <w:pPr>
              <w:keepNext/>
              <w:spacing w:after="0" w:line="260"/>
            </w:pPr>
            <w:r>
              <w:rPr>
                <w:rFonts w:ascii="Calibri" w:cs="Calibri" w:eastAsia="Calibri" w:hAnsi="Calibri"/>
                <w:color w:val="1A1A1A"/>
                <w:sz w:val="19"/>
                <w:szCs w:val="19"/>
              </w:rPr>
              <w:t xml:space="preserve">scikit-learn, XGBoost, imbalanced-learn</w:t>
            </w:r>
          </w:p>
        </w:tc>
        <w:tc>
          <w:tcPr>
            <w:tcW w:type="dxa" w:w="4152"/>
            <w:tcBorders>
              <w:top w:val="single" w:color="C3C2B7" w:sz="4"/>
              <w:left w:val="single" w:color="C3C2B7" w:sz="4"/>
              <w:bottom w:val="single" w:color="C3C2B7" w:sz="4"/>
              <w:right w:val="single" w:color="C3C2B7" w:sz="4"/>
            </w:tcBorders>
            <w:tcMar>
              <w:top w:type="dxa" w:w="70"/>
              <w:left w:type="dxa" w:w="110"/>
              <w:bottom w:type="dxa" w:w="70"/>
              <w:right w:type="dxa" w:w="110"/>
            </w:tcMar>
          </w:tcPr>
          <w:p>
            <w:pPr>
              <w:keepNext/>
              <w:spacing w:after="0" w:line="260"/>
            </w:pPr>
            <w:r>
              <w:rPr>
                <w:rFonts w:ascii="Calibri" w:cs="Calibri" w:eastAsia="Calibri" w:hAnsi="Calibri"/>
                <w:color w:val="1A1A1A"/>
                <w:sz w:val="19"/>
                <w:szCs w:val="19"/>
              </w:rPr>
              <w:t xml:space="preserve">Pipelines that prevent leakage; SMOTE confined to training folds</w:t>
            </w:r>
          </w:p>
        </w:tc>
      </w:tr>
      <w:tr>
        <w:trPr>
          <w:cantSplit/>
        </w:trPr>
        <w:tc>
          <w:tcPr>
            <w:tcW w:type="dxa" w:w="1805"/>
            <w:tcBorders>
              <w:top w:val="single" w:color="C3C2B7" w:sz="4"/>
              <w:left w:val="single" w:color="C3C2B7" w:sz="4"/>
              <w:bottom w:val="single" w:color="C3C2B7" w:sz="4"/>
              <w:right w:val="single" w:color="C3C2B7" w:sz="4"/>
            </w:tcBorders>
            <w:tcMar>
              <w:top w:type="dxa" w:w="70"/>
              <w:left w:type="dxa" w:w="110"/>
              <w:bottom w:type="dxa" w:w="70"/>
              <w:right w:type="dxa" w:w="110"/>
            </w:tcMar>
          </w:tcPr>
          <w:p>
            <w:pPr>
              <w:keepNext/>
              <w:spacing w:after="0" w:line="260"/>
            </w:pPr>
            <w:r>
              <w:rPr>
                <w:rFonts w:ascii="Calibri" w:cs="Calibri" w:eastAsia="Calibri" w:hAnsi="Calibri"/>
                <w:color w:val="1A1A1A"/>
                <w:sz w:val="19"/>
                <w:szCs w:val="19"/>
              </w:rPr>
              <w:t xml:space="preserve">Explanations</w:t>
            </w:r>
          </w:p>
        </w:tc>
        <w:tc>
          <w:tcPr>
            <w:tcW w:type="dxa" w:w="3069"/>
            <w:tcBorders>
              <w:top w:val="single" w:color="C3C2B7" w:sz="4"/>
              <w:left w:val="single" w:color="C3C2B7" w:sz="4"/>
              <w:bottom w:val="single" w:color="C3C2B7" w:sz="4"/>
              <w:right w:val="single" w:color="C3C2B7" w:sz="4"/>
            </w:tcBorders>
            <w:tcMar>
              <w:top w:type="dxa" w:w="70"/>
              <w:left w:type="dxa" w:w="110"/>
              <w:bottom w:type="dxa" w:w="70"/>
              <w:right w:type="dxa" w:w="110"/>
            </w:tcMar>
          </w:tcPr>
          <w:p>
            <w:pPr>
              <w:keepNext/>
              <w:spacing w:after="0" w:line="260"/>
            </w:pPr>
            <w:r>
              <w:rPr>
                <w:rFonts w:ascii="Calibri" w:cs="Calibri" w:eastAsia="Calibri" w:hAnsi="Calibri"/>
                <w:color w:val="1A1A1A"/>
                <w:sz w:val="19"/>
                <w:szCs w:val="19"/>
              </w:rPr>
              <w:t xml:space="preserve">XGBoost built-in SHAP values</w:t>
            </w:r>
          </w:p>
        </w:tc>
        <w:tc>
          <w:tcPr>
            <w:tcW w:type="dxa" w:w="4152"/>
            <w:tcBorders>
              <w:top w:val="single" w:color="C3C2B7" w:sz="4"/>
              <w:left w:val="single" w:color="C3C2B7" w:sz="4"/>
              <w:bottom w:val="single" w:color="C3C2B7" w:sz="4"/>
              <w:right w:val="single" w:color="C3C2B7" w:sz="4"/>
            </w:tcBorders>
            <w:tcMar>
              <w:top w:type="dxa" w:w="70"/>
              <w:left w:type="dxa" w:w="110"/>
              <w:bottom w:type="dxa" w:w="70"/>
              <w:right w:type="dxa" w:w="110"/>
            </w:tcMar>
          </w:tcPr>
          <w:p>
            <w:pPr>
              <w:keepNext/>
              <w:spacing w:after="0" w:line="260"/>
            </w:pPr>
            <w:r>
              <w:rPr>
                <w:rFonts w:ascii="Calibri" w:cs="Calibri" w:eastAsia="Calibri" w:hAnsi="Calibri"/>
                <w:color w:val="1A1A1A"/>
                <w:sz w:val="19"/>
                <w:szCs w:val="19"/>
              </w:rPr>
              <w:t xml:space="preserve">Exact contributions with no extra dependency</w:t>
            </w:r>
          </w:p>
        </w:tc>
      </w:tr>
      <w:tr>
        <w:trPr>
          <w:cantSplit/>
        </w:trPr>
        <w:tc>
          <w:tcPr>
            <w:tcW w:type="dxa" w:w="1805"/>
            <w:tcBorders>
              <w:top w:val="single" w:color="C3C2B7" w:sz="4"/>
              <w:left w:val="single" w:color="C3C2B7" w:sz="4"/>
              <w:bottom w:val="single" w:color="C3C2B7" w:sz="4"/>
              <w:right w:val="single" w:color="C3C2B7" w:sz="4"/>
            </w:tcBorders>
            <w:tcMar>
              <w:top w:type="dxa" w:w="70"/>
              <w:left w:type="dxa" w:w="110"/>
              <w:bottom w:type="dxa" w:w="70"/>
              <w:right w:type="dxa" w:w="110"/>
            </w:tcMar>
          </w:tcPr>
          <w:p>
            <w:pPr>
              <w:keepNext/>
              <w:spacing w:after="0" w:line="260"/>
            </w:pPr>
            <w:r>
              <w:rPr>
                <w:rFonts w:ascii="Calibri" w:cs="Calibri" w:eastAsia="Calibri" w:hAnsi="Calibri"/>
                <w:color w:val="1A1A1A"/>
                <w:sz w:val="19"/>
                <w:szCs w:val="19"/>
              </w:rPr>
              <w:t xml:space="preserve">Experiment tracking</w:t>
            </w:r>
          </w:p>
        </w:tc>
        <w:tc>
          <w:tcPr>
            <w:tcW w:type="dxa" w:w="3069"/>
            <w:tcBorders>
              <w:top w:val="single" w:color="C3C2B7" w:sz="4"/>
              <w:left w:val="single" w:color="C3C2B7" w:sz="4"/>
              <w:bottom w:val="single" w:color="C3C2B7" w:sz="4"/>
              <w:right w:val="single" w:color="C3C2B7" w:sz="4"/>
            </w:tcBorders>
            <w:tcMar>
              <w:top w:type="dxa" w:w="70"/>
              <w:left w:type="dxa" w:w="110"/>
              <w:bottom w:type="dxa" w:w="70"/>
              <w:right w:type="dxa" w:w="110"/>
            </w:tcMar>
          </w:tcPr>
          <w:p>
            <w:pPr>
              <w:keepNext/>
              <w:spacing w:after="0" w:line="260"/>
            </w:pPr>
            <w:r>
              <w:rPr>
                <w:rFonts w:ascii="Calibri" w:cs="Calibri" w:eastAsia="Calibri" w:hAnsi="Calibri"/>
                <w:color w:val="1A1A1A"/>
                <w:sz w:val="19"/>
                <w:szCs w:val="19"/>
              </w:rPr>
              <w:t xml:space="preserve">MLflow</w:t>
            </w:r>
          </w:p>
        </w:tc>
        <w:tc>
          <w:tcPr>
            <w:tcW w:type="dxa" w:w="4152"/>
            <w:tcBorders>
              <w:top w:val="single" w:color="C3C2B7" w:sz="4"/>
              <w:left w:val="single" w:color="C3C2B7" w:sz="4"/>
              <w:bottom w:val="single" w:color="C3C2B7" w:sz="4"/>
              <w:right w:val="single" w:color="C3C2B7" w:sz="4"/>
            </w:tcBorders>
            <w:tcMar>
              <w:top w:type="dxa" w:w="70"/>
              <w:left w:type="dxa" w:w="110"/>
              <w:bottom w:type="dxa" w:w="70"/>
              <w:right w:type="dxa" w:w="110"/>
            </w:tcMar>
          </w:tcPr>
          <w:p>
            <w:pPr>
              <w:keepNext/>
              <w:spacing w:after="0" w:line="260"/>
            </w:pPr>
            <w:r>
              <w:rPr>
                <w:rFonts w:ascii="Calibri" w:cs="Calibri" w:eastAsia="Calibri" w:hAnsi="Calibri"/>
                <w:color w:val="1A1A1A"/>
                <w:sz w:val="19"/>
                <w:szCs w:val="19"/>
              </w:rPr>
              <w:t xml:space="preserve">Every run logged, compared, and the champion registered</w:t>
            </w:r>
          </w:p>
        </w:tc>
      </w:tr>
      <w:tr>
        <w:trPr>
          <w:cantSplit/>
        </w:trPr>
        <w:tc>
          <w:tcPr>
            <w:tcW w:type="dxa" w:w="1805"/>
            <w:tcBorders>
              <w:top w:val="single" w:color="C3C2B7" w:sz="4"/>
              <w:left w:val="single" w:color="C3C2B7" w:sz="4"/>
              <w:bottom w:val="single" w:color="C3C2B7" w:sz="4"/>
              <w:right w:val="single" w:color="C3C2B7" w:sz="4"/>
            </w:tcBorders>
            <w:tcMar>
              <w:top w:type="dxa" w:w="70"/>
              <w:left w:type="dxa" w:w="110"/>
              <w:bottom w:type="dxa" w:w="70"/>
              <w:right w:type="dxa" w:w="110"/>
            </w:tcMar>
          </w:tcPr>
          <w:p>
            <w:pPr>
              <w:keepNext/>
              <w:spacing w:after="0" w:line="260"/>
            </w:pPr>
            <w:r>
              <w:rPr>
                <w:rFonts w:ascii="Calibri" w:cs="Calibri" w:eastAsia="Calibri" w:hAnsi="Calibri"/>
                <w:color w:val="1A1A1A"/>
                <w:sz w:val="19"/>
                <w:szCs w:val="19"/>
              </w:rPr>
              <w:t xml:space="preserve">Generative AI</w:t>
            </w:r>
          </w:p>
        </w:tc>
        <w:tc>
          <w:tcPr>
            <w:tcW w:type="dxa" w:w="3069"/>
            <w:tcBorders>
              <w:top w:val="single" w:color="C3C2B7" w:sz="4"/>
              <w:left w:val="single" w:color="C3C2B7" w:sz="4"/>
              <w:bottom w:val="single" w:color="C3C2B7" w:sz="4"/>
              <w:right w:val="single" w:color="C3C2B7" w:sz="4"/>
            </w:tcBorders>
            <w:tcMar>
              <w:top w:type="dxa" w:w="70"/>
              <w:left w:type="dxa" w:w="110"/>
              <w:bottom w:type="dxa" w:w="70"/>
              <w:right w:type="dxa" w:w="110"/>
            </w:tcMar>
          </w:tcPr>
          <w:p>
            <w:pPr>
              <w:keepNext/>
              <w:spacing w:after="0" w:line="260"/>
            </w:pPr>
            <w:r>
              <w:rPr>
                <w:rFonts w:ascii="Calibri" w:cs="Calibri" w:eastAsia="Calibri" w:hAnsi="Calibri"/>
                <w:color w:val="1A1A1A"/>
                <w:sz w:val="19"/>
                <w:szCs w:val="19"/>
              </w:rPr>
              <w:t xml:space="preserve">Ollama with phi3.5 (local)</w:t>
            </w:r>
          </w:p>
        </w:tc>
        <w:tc>
          <w:tcPr>
            <w:tcW w:type="dxa" w:w="4152"/>
            <w:tcBorders>
              <w:top w:val="single" w:color="C3C2B7" w:sz="4"/>
              <w:left w:val="single" w:color="C3C2B7" w:sz="4"/>
              <w:bottom w:val="single" w:color="C3C2B7" w:sz="4"/>
              <w:right w:val="single" w:color="C3C2B7" w:sz="4"/>
            </w:tcBorders>
            <w:tcMar>
              <w:top w:type="dxa" w:w="70"/>
              <w:left w:type="dxa" w:w="110"/>
              <w:bottom w:type="dxa" w:w="70"/>
              <w:right w:type="dxa" w:w="110"/>
            </w:tcMar>
          </w:tcPr>
          <w:p>
            <w:pPr>
              <w:keepNext/>
              <w:spacing w:after="0" w:line="260"/>
            </w:pPr>
            <w:r>
              <w:rPr>
                <w:rFonts w:ascii="Calibri" w:cs="Calibri" w:eastAsia="Calibri" w:hAnsi="Calibri"/>
                <w:color w:val="1A1A1A"/>
                <w:sz w:val="19"/>
                <w:szCs w:val="19"/>
              </w:rPr>
              <w:t xml:space="preserve">Note drafting with no data leaving the machine</w:t>
            </w:r>
          </w:p>
        </w:tc>
      </w:tr>
      <w:tr>
        <w:trPr>
          <w:cantSplit/>
        </w:trPr>
        <w:tc>
          <w:tcPr>
            <w:tcW w:type="dxa" w:w="1805"/>
            <w:tcBorders>
              <w:top w:val="single" w:color="C3C2B7" w:sz="4"/>
              <w:left w:val="single" w:color="C3C2B7" w:sz="4"/>
              <w:bottom w:val="single" w:color="C3C2B7" w:sz="4"/>
              <w:right w:val="single" w:color="C3C2B7" w:sz="4"/>
            </w:tcBorders>
            <w:tcMar>
              <w:top w:type="dxa" w:w="70"/>
              <w:left w:type="dxa" w:w="110"/>
              <w:bottom w:type="dxa" w:w="70"/>
              <w:right w:type="dxa" w:w="110"/>
            </w:tcMar>
          </w:tcPr>
          <w:p>
            <w:pPr>
              <w:keepNext/>
              <w:spacing w:after="0" w:line="260"/>
            </w:pPr>
            <w:r>
              <w:rPr>
                <w:rFonts w:ascii="Calibri" w:cs="Calibri" w:eastAsia="Calibri" w:hAnsi="Calibri"/>
                <w:color w:val="1A1A1A"/>
                <w:sz w:val="19"/>
                <w:szCs w:val="19"/>
              </w:rPr>
              <w:t xml:space="preserve">Application</w:t>
            </w:r>
          </w:p>
        </w:tc>
        <w:tc>
          <w:tcPr>
            <w:tcW w:type="dxa" w:w="3069"/>
            <w:tcBorders>
              <w:top w:val="single" w:color="C3C2B7" w:sz="4"/>
              <w:left w:val="single" w:color="C3C2B7" w:sz="4"/>
              <w:bottom w:val="single" w:color="C3C2B7" w:sz="4"/>
              <w:right w:val="single" w:color="C3C2B7" w:sz="4"/>
            </w:tcBorders>
            <w:tcMar>
              <w:top w:type="dxa" w:w="70"/>
              <w:left w:type="dxa" w:w="110"/>
              <w:bottom w:type="dxa" w:w="70"/>
              <w:right w:type="dxa" w:w="110"/>
            </w:tcMar>
          </w:tcPr>
          <w:p>
            <w:pPr>
              <w:keepNext/>
              <w:spacing w:after="0" w:line="260"/>
            </w:pPr>
            <w:r>
              <w:rPr>
                <w:rFonts w:ascii="Calibri" w:cs="Calibri" w:eastAsia="Calibri" w:hAnsi="Calibri"/>
                <w:color w:val="1A1A1A"/>
                <w:sz w:val="19"/>
                <w:szCs w:val="19"/>
              </w:rPr>
              <w:t xml:space="preserve">Streamlit, Plotly</w:t>
            </w:r>
          </w:p>
        </w:tc>
        <w:tc>
          <w:tcPr>
            <w:tcW w:type="dxa" w:w="4152"/>
            <w:tcBorders>
              <w:top w:val="single" w:color="C3C2B7" w:sz="4"/>
              <w:left w:val="single" w:color="C3C2B7" w:sz="4"/>
              <w:bottom w:val="single" w:color="C3C2B7" w:sz="4"/>
              <w:right w:val="single" w:color="C3C2B7" w:sz="4"/>
            </w:tcBorders>
            <w:tcMar>
              <w:top w:type="dxa" w:w="70"/>
              <w:left w:type="dxa" w:w="110"/>
              <w:bottom w:type="dxa" w:w="70"/>
              <w:right w:type="dxa" w:w="110"/>
            </w:tcMar>
          </w:tcPr>
          <w:p>
            <w:pPr>
              <w:keepNext/>
              <w:spacing w:after="0" w:line="260"/>
            </w:pPr>
            <w:r>
              <w:rPr>
                <w:rFonts w:ascii="Calibri" w:cs="Calibri" w:eastAsia="Calibri" w:hAnsi="Calibri"/>
                <w:color w:val="1A1A1A"/>
                <w:sz w:val="19"/>
                <w:szCs w:val="19"/>
              </w:rPr>
              <w:t xml:space="preserve">Analyst console, live scoring, capacity planner</w:t>
            </w:r>
          </w:p>
        </w:tc>
      </w:tr>
      <w:tr>
        <w:trPr>
          <w:cantSplit/>
        </w:trPr>
        <w:tc>
          <w:tcPr>
            <w:tcW w:type="dxa" w:w="1805"/>
            <w:tcBorders>
              <w:top w:val="single" w:color="C3C2B7" w:sz="4"/>
              <w:left w:val="single" w:color="C3C2B7" w:sz="4"/>
              <w:bottom w:val="single" w:color="C3C2B7" w:sz="4"/>
              <w:right w:val="single" w:color="C3C2B7" w:sz="4"/>
            </w:tcBorders>
            <w:tcMar>
              <w:top w:type="dxa" w:w="70"/>
              <w:left w:type="dxa" w:w="110"/>
              <w:bottom w:type="dxa" w:w="70"/>
              <w:right w:type="dxa" w:w="110"/>
            </w:tcMar>
          </w:tcPr>
          <w:p>
            <w:pPr>
              <w:keepNext/>
              <w:spacing w:after="0" w:line="260"/>
            </w:pPr>
            <w:r>
              <w:rPr>
                <w:rFonts w:ascii="Calibri" w:cs="Calibri" w:eastAsia="Calibri" w:hAnsi="Calibri"/>
                <w:color w:val="1A1A1A"/>
                <w:sz w:val="19"/>
                <w:szCs w:val="19"/>
              </w:rPr>
              <w:t xml:space="preserve">Integration</w:t>
            </w:r>
          </w:p>
        </w:tc>
        <w:tc>
          <w:tcPr>
            <w:tcW w:type="dxa" w:w="3069"/>
            <w:tcBorders>
              <w:top w:val="single" w:color="C3C2B7" w:sz="4"/>
              <w:left w:val="single" w:color="C3C2B7" w:sz="4"/>
              <w:bottom w:val="single" w:color="C3C2B7" w:sz="4"/>
              <w:right w:val="single" w:color="C3C2B7" w:sz="4"/>
            </w:tcBorders>
            <w:tcMar>
              <w:top w:type="dxa" w:w="70"/>
              <w:left w:type="dxa" w:w="110"/>
              <w:bottom w:type="dxa" w:w="70"/>
              <w:right w:type="dxa" w:w="110"/>
            </w:tcMar>
          </w:tcPr>
          <w:p>
            <w:pPr>
              <w:keepNext/>
              <w:spacing w:after="0" w:line="260"/>
            </w:pPr>
            <w:r>
              <w:rPr>
                <w:rFonts w:ascii="Calibri" w:cs="Calibri" w:eastAsia="Calibri" w:hAnsi="Calibri"/>
                <w:color w:val="1A1A1A"/>
                <w:sz w:val="19"/>
                <w:szCs w:val="19"/>
              </w:rPr>
              <w:t xml:space="preserve">FastAPI</w:t>
            </w:r>
          </w:p>
        </w:tc>
        <w:tc>
          <w:tcPr>
            <w:tcW w:type="dxa" w:w="4152"/>
            <w:tcBorders>
              <w:top w:val="single" w:color="C3C2B7" w:sz="4"/>
              <w:left w:val="single" w:color="C3C2B7" w:sz="4"/>
              <w:bottom w:val="single" w:color="C3C2B7" w:sz="4"/>
              <w:right w:val="single" w:color="C3C2B7" w:sz="4"/>
            </w:tcBorders>
            <w:tcMar>
              <w:top w:type="dxa" w:w="70"/>
              <w:left w:type="dxa" w:w="110"/>
              <w:bottom w:type="dxa" w:w="70"/>
              <w:right w:type="dxa" w:w="110"/>
            </w:tcMar>
          </w:tcPr>
          <w:p>
            <w:pPr>
              <w:keepNext/>
              <w:spacing w:after="0" w:line="260"/>
            </w:pPr>
            <w:r>
              <w:rPr>
                <w:rFonts w:ascii="Calibri" w:cs="Calibri" w:eastAsia="Calibri" w:hAnsi="Calibri"/>
                <w:color w:val="1A1A1A"/>
                <w:sz w:val="19"/>
                <w:szCs w:val="19"/>
              </w:rPr>
              <w:t xml:space="preserve">A /score endpoint for the payment flow</w:t>
            </w:r>
          </w:p>
        </w:tc>
      </w:tr>
      <w:tr>
        <w:trPr>
          <w:cantSplit/>
        </w:trPr>
        <w:tc>
          <w:tcPr>
            <w:tcW w:type="dxa" w:w="1805"/>
            <w:tcBorders>
              <w:top w:val="single" w:color="C3C2B7" w:sz="4"/>
              <w:left w:val="single" w:color="C3C2B7" w:sz="4"/>
              <w:bottom w:val="single" w:color="C3C2B7" w:sz="4"/>
              <w:right w:val="single" w:color="C3C2B7" w:sz="4"/>
            </w:tcBorders>
            <w:tcMar>
              <w:top w:type="dxa" w:w="70"/>
              <w:left w:type="dxa" w:w="110"/>
              <w:bottom w:type="dxa" w:w="70"/>
              <w:right w:type="dxa" w:w="110"/>
            </w:tcMar>
          </w:tcPr>
          <w:p>
            <w:pPr>
              <w:keepNext/>
              <w:spacing w:after="0" w:line="260"/>
            </w:pPr>
            <w:r>
              <w:rPr>
                <w:rFonts w:ascii="Calibri" w:cs="Calibri" w:eastAsia="Calibri" w:hAnsi="Calibri"/>
                <w:color w:val="1A1A1A"/>
                <w:sz w:val="19"/>
                <w:szCs w:val="19"/>
              </w:rPr>
              <w:t xml:space="preserve">Case store</w:t>
            </w:r>
          </w:p>
        </w:tc>
        <w:tc>
          <w:tcPr>
            <w:tcW w:type="dxa" w:w="3069"/>
            <w:tcBorders>
              <w:top w:val="single" w:color="C3C2B7" w:sz="4"/>
              <w:left w:val="single" w:color="C3C2B7" w:sz="4"/>
              <w:bottom w:val="single" w:color="C3C2B7" w:sz="4"/>
              <w:right w:val="single" w:color="C3C2B7" w:sz="4"/>
            </w:tcBorders>
            <w:tcMar>
              <w:top w:type="dxa" w:w="70"/>
              <w:left w:type="dxa" w:w="110"/>
              <w:bottom w:type="dxa" w:w="70"/>
              <w:right w:type="dxa" w:w="110"/>
            </w:tcMar>
          </w:tcPr>
          <w:p>
            <w:pPr>
              <w:keepNext/>
              <w:spacing w:after="0" w:line="260"/>
            </w:pPr>
            <w:r>
              <w:rPr>
                <w:rFonts w:ascii="Calibri" w:cs="Calibri" w:eastAsia="Calibri" w:hAnsi="Calibri"/>
                <w:color w:val="1A1A1A"/>
                <w:sz w:val="19"/>
                <w:szCs w:val="19"/>
              </w:rPr>
              <w:t xml:space="preserve">SQLite</w:t>
            </w:r>
          </w:p>
        </w:tc>
        <w:tc>
          <w:tcPr>
            <w:tcW w:type="dxa" w:w="4152"/>
            <w:tcBorders>
              <w:top w:val="single" w:color="C3C2B7" w:sz="4"/>
              <w:left w:val="single" w:color="C3C2B7" w:sz="4"/>
              <w:bottom w:val="single" w:color="C3C2B7" w:sz="4"/>
              <w:right w:val="single" w:color="C3C2B7" w:sz="4"/>
            </w:tcBorders>
            <w:tcMar>
              <w:top w:type="dxa" w:w="70"/>
              <w:left w:type="dxa" w:w="110"/>
              <w:bottom w:type="dxa" w:w="70"/>
              <w:right w:type="dxa" w:w="110"/>
            </w:tcMar>
          </w:tcPr>
          <w:p>
            <w:pPr>
              <w:keepNext/>
              <w:spacing w:after="0" w:line="260"/>
            </w:pPr>
            <w:r>
              <w:rPr>
                <w:rFonts w:ascii="Calibri" w:cs="Calibri" w:eastAsia="Calibri" w:hAnsi="Calibri"/>
                <w:color w:val="1A1A1A"/>
                <w:sz w:val="19"/>
                <w:szCs w:val="19"/>
              </w:rPr>
              <w:t xml:space="preserve">Approval workflow and audit log</w:t>
            </w:r>
          </w:p>
        </w:tc>
      </w:tr>
      <w:tr>
        <w:trPr>
          <w:cantSplit/>
        </w:trPr>
        <w:tc>
          <w:tcPr>
            <w:tcW w:type="dxa" w:w="1805"/>
            <w:tcBorders>
              <w:top w:val="single" w:color="C3C2B7" w:sz="4"/>
              <w:left w:val="single" w:color="C3C2B7" w:sz="4"/>
              <w:bottom w:val="single" w:color="C3C2B7" w:sz="4"/>
              <w:right w:val="single" w:color="C3C2B7" w:sz="4"/>
            </w:tcBorders>
            <w:tcMar>
              <w:top w:type="dxa" w:w="70"/>
              <w:left w:type="dxa" w:w="110"/>
              <w:bottom w:type="dxa" w:w="70"/>
              <w:right w:type="dxa" w:w="110"/>
            </w:tcMar>
          </w:tcPr>
          <w:p>
            <w:pPr>
              <w:keepNext w:val="false"/>
              <w:spacing w:after="0" w:line="260"/>
            </w:pPr>
            <w:r>
              <w:rPr>
                <w:rFonts w:ascii="Calibri" w:cs="Calibri" w:eastAsia="Calibri" w:hAnsi="Calibri"/>
                <w:color w:val="1A1A1A"/>
                <w:sz w:val="19"/>
                <w:szCs w:val="19"/>
              </w:rPr>
              <w:t xml:space="preserve">Quality</w:t>
            </w:r>
          </w:p>
        </w:tc>
        <w:tc>
          <w:tcPr>
            <w:tcW w:type="dxa" w:w="3069"/>
            <w:tcBorders>
              <w:top w:val="single" w:color="C3C2B7" w:sz="4"/>
              <w:left w:val="single" w:color="C3C2B7" w:sz="4"/>
              <w:bottom w:val="single" w:color="C3C2B7" w:sz="4"/>
              <w:right w:val="single" w:color="C3C2B7" w:sz="4"/>
            </w:tcBorders>
            <w:tcMar>
              <w:top w:type="dxa" w:w="70"/>
              <w:left w:type="dxa" w:w="110"/>
              <w:bottom w:type="dxa" w:w="70"/>
              <w:right w:type="dxa" w:w="110"/>
            </w:tcMar>
          </w:tcPr>
          <w:p>
            <w:pPr>
              <w:keepNext w:val="false"/>
              <w:spacing w:after="0" w:line="260"/>
            </w:pPr>
            <w:r>
              <w:rPr>
                <w:rFonts w:ascii="Calibri" w:cs="Calibri" w:eastAsia="Calibri" w:hAnsi="Calibri"/>
                <w:color w:val="1A1A1A"/>
                <w:sz w:val="19"/>
                <w:szCs w:val="19"/>
              </w:rPr>
              <w:t xml:space="preserve">pytest (20 tests), ruff</w:t>
            </w:r>
          </w:p>
        </w:tc>
        <w:tc>
          <w:tcPr>
            <w:tcW w:type="dxa" w:w="4152"/>
            <w:tcBorders>
              <w:top w:val="single" w:color="C3C2B7" w:sz="4"/>
              <w:left w:val="single" w:color="C3C2B7" w:sz="4"/>
              <w:bottom w:val="single" w:color="C3C2B7" w:sz="4"/>
              <w:right w:val="single" w:color="C3C2B7" w:sz="4"/>
            </w:tcBorders>
            <w:tcMar>
              <w:top w:type="dxa" w:w="70"/>
              <w:left w:type="dxa" w:w="110"/>
              <w:bottom w:type="dxa" w:w="70"/>
              <w:right w:type="dxa" w:w="110"/>
            </w:tcMar>
          </w:tcPr>
          <w:p>
            <w:pPr>
              <w:keepNext w:val="false"/>
              <w:spacing w:after="0" w:line="260"/>
            </w:pPr>
            <w:r>
              <w:rPr>
                <w:rFonts w:ascii="Calibri" w:cs="Calibri" w:eastAsia="Calibri" w:hAnsi="Calibri"/>
                <w:color w:val="1A1A1A"/>
                <w:sz w:val="19"/>
                <w:szCs w:val="19"/>
              </w:rPr>
              <w:t xml:space="preserve">Leakage guards, artefact consistency, agent guardrails</w:t>
            </w:r>
          </w:p>
        </w:tc>
      </w:tr>
    </w:tbl>
    <w:p>
      <w:pPr>
        <w:spacing w:after="160"/>
      </w:pPr>
    </w:p>
    <w:p>
      <w:pPr>
        <w:pStyle w:val="Heading1"/>
        <w:spacing w:after="160" w:before="360"/>
      </w:pPr>
      <w:r>
        <w:rPr>
          <w:rFonts w:ascii="Calibri" w:cs="Calibri" w:eastAsia="Calibri" w:hAnsi="Calibri"/>
        </w:rPr>
        <w:t xml:space="preserve">11. Business benefits</w:t>
      </w:r>
    </w:p>
    <w:p>
      <w:pPr>
        <w:pStyle w:val="ListParagraph"/>
        <w:numPr>
          <w:ilvl w:val="0"/>
          <w:numId w:val="2"/>
        </w:numPr>
        <w:spacing w:after="80" w:line="290"/>
      </w:pPr>
      <w:r>
        <w:rPr>
          <w:rFonts w:ascii="Calibri" w:cs="Calibri" w:eastAsia="Calibri" w:hAnsi="Calibri"/>
          <w:b/>
          <w:bCs/>
        </w:rPr>
        <w:t xml:space="preserve">The same team catches far more fraud.</w:t>
      </w:r>
      <w:r>
        <w:rPr>
          <w:rFonts w:ascii="Calibri" w:cs="Calibri" w:eastAsia="Calibri" w:hAnsi="Calibri"/>
        </w:rPr>
        <w:t xml:space="preserve"> With no extra headcount, 200 reviews go from finding almost nothing to finding 154 real frauds on the test day, worth EUR 16,428 that day.</w:t>
      </w:r>
    </w:p>
    <w:p>
      <w:pPr>
        <w:pStyle w:val="ListParagraph"/>
        <w:numPr>
          <w:ilvl w:val="0"/>
          <w:numId w:val="2"/>
        </w:numPr>
        <w:spacing w:after="80" w:line="290"/>
      </w:pPr>
      <w:r>
        <w:rPr>
          <w:rFonts w:ascii="Calibri" w:cs="Calibri" w:eastAsia="Calibri" w:hAnsi="Calibri"/>
          <w:b/>
          <w:bCs/>
        </w:rPr>
        <w:t xml:space="preserve">Analyst time goes where it pays.</w:t>
      </w:r>
      <w:r>
        <w:rPr>
          <w:rFonts w:ascii="Calibri" w:cs="Calibri" w:eastAsia="Calibri" w:hAnsi="Calibri"/>
        </w:rPr>
        <w:t xml:space="preserve"> About three in four alerts are real, and the band tells the analyst how much scrutiny an alert needs: 97% of CRITICAL alerts were fraud, against 42% of ELEVATED ones.</w:t>
      </w:r>
    </w:p>
    <w:p>
      <w:pPr>
        <w:pStyle w:val="ListParagraph"/>
        <w:numPr>
          <w:ilvl w:val="0"/>
          <w:numId w:val="2"/>
        </w:numPr>
        <w:spacing w:after="80" w:line="290"/>
      </w:pPr>
      <w:r>
        <w:rPr>
          <w:rFonts w:ascii="Calibri" w:cs="Calibri" w:eastAsia="Calibri" w:hAnsi="Calibri"/>
          <w:b/>
          <w:bCs/>
        </w:rPr>
        <w:t xml:space="preserve">Faster, more consistent decisions.</w:t>
      </w:r>
      <w:r>
        <w:rPr>
          <w:rFonts w:ascii="Calibri" w:cs="Calibri" w:eastAsia="Calibri" w:hAnsi="Calibri"/>
        </w:rPr>
        <w:t xml:space="preserve"> Each alert arrives with its reasons, an action and a drafted note, so the analyst verifies and approves instead of starting from a blank page.</w:t>
      </w:r>
    </w:p>
    <w:p>
      <w:pPr>
        <w:pStyle w:val="ListParagraph"/>
        <w:numPr>
          <w:ilvl w:val="0"/>
          <w:numId w:val="2"/>
        </w:numPr>
        <w:spacing w:after="80" w:line="290"/>
      </w:pPr>
      <w:r>
        <w:rPr>
          <w:rFonts w:ascii="Calibri" w:cs="Calibri" w:eastAsia="Calibri" w:hAnsi="Calibri"/>
          <w:b/>
          <w:bCs/>
        </w:rPr>
        <w:t xml:space="preserve">Fewer good customers interrupted.</w:t>
      </w:r>
      <w:r>
        <w:rPr>
          <w:rFonts w:ascii="Calibri" w:cs="Calibri" w:eastAsia="Calibri" w:hAnsi="Calibri"/>
        </w:rPr>
        <w:t xml:space="preserve"> Calls and card blocks are reserved for the alerts most likely to be fraud.</w:t>
      </w:r>
    </w:p>
    <w:p>
      <w:pPr>
        <w:pStyle w:val="ListParagraph"/>
        <w:numPr>
          <w:ilvl w:val="0"/>
          <w:numId w:val="2"/>
        </w:numPr>
        <w:spacing w:after="80" w:line="290"/>
      </w:pPr>
      <w:r>
        <w:rPr>
          <w:rFonts w:ascii="Calibri" w:cs="Calibri" w:eastAsia="Calibri" w:hAnsi="Calibri"/>
          <w:b/>
          <w:bCs/>
        </w:rPr>
        <w:t xml:space="preserve">A staffing answer, not only a score.</w:t>
      </w:r>
      <w:r>
        <w:rPr>
          <w:rFonts w:ascii="Calibri" w:cs="Calibri" w:eastAsia="Calibri" w:hAnsi="Calibri"/>
        </w:rPr>
        <w:t xml:space="preserve"> On the test day, going from 200 to 300 reviews finds only 5 more frauds. The team is already near the knee of the curve, so the next gain comes from better signals, not more reviewers.</w:t>
      </w:r>
    </w:p>
    <w:p>
      <w:pPr>
        <w:pStyle w:val="ListParagraph"/>
        <w:numPr>
          <w:ilvl w:val="0"/>
          <w:numId w:val="2"/>
        </w:numPr>
        <w:spacing w:after="80" w:line="290"/>
      </w:pPr>
      <w:r>
        <w:rPr>
          <w:rFonts w:ascii="Calibri" w:cs="Calibri" w:eastAsia="Calibri" w:hAnsi="Calibri"/>
          <w:b/>
          <w:bCs/>
        </w:rPr>
        <w:t xml:space="preserve">Safe to adopt.</w:t>
      </w:r>
      <w:r>
        <w:rPr>
          <w:rFonts w:ascii="Calibri" w:cs="Calibri" w:eastAsia="Calibri" w:hAnsi="Calibri"/>
        </w:rPr>
        <w:t xml:space="preserve"> Nothing executes without a human approval, every decision is logged, and every headline number carries a 95% range.</w:t>
      </w:r>
    </w:p>
    <w:p>
      <w:pPr>
        <w:keepNext/>
        <w:spacing w:after="60" w:before="120"/>
        <w:jc w:val="center"/>
      </w:pPr>
      <w:r>
        <w:drawing>
          <wp:inline distT="0" distB="0" distL="0" distR="0">
            <wp:extent cx="4391025" cy="2971800"/>
            <wp:effectExtent t="0" r="0" b="0" l="0"/>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391025" cy="2971800"/>
                    </a:xfrm>
                    <a:prstGeom prst="rect">
                      <a:avLst/>
                    </a:prstGeom>
                  </pic:spPr>
                </pic:pic>
              </a:graphicData>
            </a:graphic>
          </wp:inline>
        </w:drawing>
      </w:r>
    </w:p>
    <w:p>
      <w:pPr>
        <w:spacing w:after="200"/>
        <w:jc w:val="center"/>
      </w:pPr>
      <w:r>
        <w:rPr>
          <w:rFonts w:ascii="Calibri" w:cs="Calibri" w:eastAsia="Calibri" w:hAnsi="Calibri"/>
          <w:i/>
          <w:iCs/>
          <w:color w:val="5F5E5A"/>
          <w:sz w:val="18"/>
          <w:szCs w:val="18"/>
        </w:rPr>
        <w:t xml:space="preserve">Figure 9. What more reviews buy on the test day.</w:t>
      </w:r>
    </w:p>
    <w:p>
      <w:pPr>
        <w:spacing w:after="140" w:line="300"/>
      </w:pPr>
      <w:r>
        <w:rPr>
          <w:rFonts w:ascii="Calibri" w:cs="Calibri" w:eastAsia="Calibri" w:hAnsi="Calibri"/>
          <w:b/>
          <w:bCs/>
        </w:rPr>
        <w:t xml:space="preserve">One finding for the client's attention.</w:t>
      </w:r>
      <w:r>
        <w:rPr>
          <w:rFonts w:ascii="Calibri" w:cs="Calibri" w:eastAsia="Calibri" w:hAnsi="Calibri"/>
        </w:rPr>
        <w:t xml:space="preserve"> Twenty of the 46 false alarms are near-identical EUR 0.77 transactions spread through the day. One pattern produces almost half of the wasted reviews. Ruling on it once, either by allow-listing it or by confirming it as unreported fraud, would free about 10% of the daily capacity.</w:t>
      </w:r>
    </w:p>
    <w:p>
      <w:pPr>
        <w:pStyle w:val="Heading1"/>
        <w:spacing w:after="160" w:before="360"/>
      </w:pPr>
      <w:r>
        <w:rPr>
          <w:rFonts w:ascii="Calibri" w:cs="Calibri" w:eastAsia="Calibri" w:hAnsi="Calibri"/>
        </w:rPr>
        <w:t xml:space="preserve">12. Limits</w:t>
      </w:r>
    </w:p>
    <w:p>
      <w:pPr>
        <w:pStyle w:val="ListParagraph"/>
        <w:numPr>
          <w:ilvl w:val="0"/>
          <w:numId w:val="2"/>
        </w:numPr>
        <w:spacing w:after="80" w:line="290"/>
      </w:pPr>
      <w:r>
        <w:rPr>
          <w:rFonts w:ascii="Calibri" w:cs="Calibri" w:eastAsia="Calibri" w:hAnsi="Calibri"/>
        </w:rPr>
        <w:t xml:space="preserve">Two days of data from 2013. The results show the method works on an unseen day; they are not a forecast of production performance.</w:t>
      </w:r>
    </w:p>
    <w:p>
      <w:pPr>
        <w:pStyle w:val="ListParagraph"/>
        <w:numPr>
          <w:ilvl w:val="0"/>
          <w:numId w:val="2"/>
        </w:numPr>
        <w:spacing w:after="80" w:line="290"/>
      </w:pPr>
      <w:r>
        <w:rPr>
          <w:rFonts w:ascii="Calibri" w:cs="Calibri" w:eastAsia="Calibri" w:hAnsi="Calibri"/>
        </w:rPr>
        <w:t xml:space="preserve">The PCA behind V1-V28 was fitted by the data provider on the whole file, a mild upstream leak that cannot be undone from here.</w:t>
      </w:r>
    </w:p>
    <w:p>
      <w:pPr>
        <w:pStyle w:val="ListParagraph"/>
        <w:numPr>
          <w:ilvl w:val="0"/>
          <w:numId w:val="2"/>
        </w:numPr>
        <w:spacing w:after="80" w:line="290"/>
      </w:pPr>
      <w:r>
        <w:rPr>
          <w:rFonts w:ascii="Calibri" w:cs="Calibri" w:eastAsia="Calibri" w:hAnsi="Calibri"/>
        </w:rPr>
        <w:t xml:space="preserve">Hour of day assumes the dataset's clock starts near midnight, which the overnight dip in volume supports but does not prove.</w:t>
      </w:r>
    </w:p>
    <w:p>
      <w:pPr>
        <w:pStyle w:val="ListParagraph"/>
        <w:numPr>
          <w:ilvl w:val="0"/>
          <w:numId w:val="2"/>
        </w:numPr>
        <w:spacing w:after="80" w:line="290"/>
      </w:pPr>
      <w:r>
        <w:rPr>
          <w:rFonts w:ascii="Calibri" w:cs="Calibri" w:eastAsia="Calibri" w:hAnsi="Calibri"/>
        </w:rPr>
        <w:t xml:space="preserve">Cross-validated PR-AUC on day 1 (0.877) is higher than on day 2 (0.769). Fraud patterns shifted between the two days, which is the drift a client would meet on the first morning.</w:t>
      </w:r>
    </w:p>
    <w:p>
      <w:pPr>
        <w:pStyle w:val="ListParagraph"/>
        <w:numPr>
          <w:ilvl w:val="0"/>
          <w:numId w:val="2"/>
        </w:numPr>
        <w:spacing w:after="80" w:line="290"/>
      </w:pPr>
      <w:r>
        <w:rPr>
          <w:rFonts w:ascii="Calibri" w:cs="Calibri" w:eastAsia="Calibri" w:hAnsi="Calibri"/>
        </w:rPr>
        <w:t xml:space="preserve">The cost figures in the capacity planner are assumptions for the client to replace with their own.</w:t>
      </w:r>
    </w:p>
    <w:p>
      <w:pPr>
        <w:pStyle w:val="Heading1"/>
        <w:spacing w:after="160" w:before="360"/>
      </w:pPr>
      <w:r>
        <w:rPr>
          <w:rFonts w:ascii="Calibri" w:cs="Calibri" w:eastAsia="Calibri" w:hAnsi="Calibri"/>
        </w:rPr>
        <w:t xml:space="preserve">13. Future enhancements</w:t>
      </w:r>
    </w:p>
    <w:p>
      <w:pPr>
        <w:pStyle w:val="ListParagraph"/>
        <w:numPr>
          <w:ilvl w:val="0"/>
          <w:numId w:val="4"/>
        </w:numPr>
        <w:spacing w:after="80" w:line="290"/>
      </w:pPr>
      <w:r>
        <w:rPr>
          <w:rFonts w:ascii="Calibri" w:cs="Calibri" w:eastAsia="Calibri" w:hAnsi="Calibri"/>
          <w:b/>
          <w:bCs/>
        </w:rPr>
        <w:t xml:space="preserve">Close the feedback loop.</w:t>
      </w:r>
      <w:r>
        <w:rPr>
          <w:rFonts w:ascii="Calibri" w:cs="Calibri" w:eastAsia="Calibri" w:hAnsi="Calibri"/>
        </w:rPr>
        <w:t xml:space="preserve"> Analyst decisions are already stored as labels; retrain on them on a schedule and track precision by band.</w:t>
      </w:r>
    </w:p>
    <w:p>
      <w:pPr>
        <w:pStyle w:val="ListParagraph"/>
        <w:numPr>
          <w:ilvl w:val="0"/>
          <w:numId w:val="4"/>
        </w:numPr>
        <w:spacing w:after="80" w:line="290"/>
      </w:pPr>
      <w:r>
        <w:rPr>
          <w:rFonts w:ascii="Calibri" w:cs="Calibri" w:eastAsia="Calibri" w:hAnsi="Calibri"/>
          <w:b/>
          <w:bCs/>
        </w:rPr>
        <w:t xml:space="preserve">Monitor drift.</w:t>
      </w:r>
      <w:r>
        <w:rPr>
          <w:rFonts w:ascii="Calibri" w:cs="Calibri" w:eastAsia="Calibri" w:hAnsi="Calibri"/>
        </w:rPr>
        <w:t xml:space="preserve"> Add input-drift checks and a weekly precision-at-200 report before trusting the model for long.</w:t>
      </w:r>
    </w:p>
    <w:p>
      <w:pPr>
        <w:pStyle w:val="ListParagraph"/>
        <w:numPr>
          <w:ilvl w:val="0"/>
          <w:numId w:val="4"/>
        </w:numPr>
        <w:spacing w:after="80" w:line="290"/>
      </w:pPr>
      <w:r>
        <w:rPr>
          <w:rFonts w:ascii="Calibri" w:cs="Calibri" w:eastAsia="Calibri" w:hAnsi="Calibri"/>
          <w:b/>
          <w:bCs/>
        </w:rPr>
        <w:t xml:space="preserve">Group look-alike alerts</w:t>
      </w:r>
      <w:r>
        <w:rPr>
          <w:rFonts w:ascii="Calibri" w:cs="Calibri" w:eastAsia="Calibri" w:hAnsi="Calibri"/>
        </w:rPr>
        <w:t xml:space="preserve"> so an analyst rules once on a repeating pattern such as the EUR 0.77 cluster.</w:t>
      </w:r>
    </w:p>
    <w:p>
      <w:pPr>
        <w:pStyle w:val="ListParagraph"/>
        <w:numPr>
          <w:ilvl w:val="0"/>
          <w:numId w:val="4"/>
        </w:numPr>
        <w:spacing w:after="80" w:line="290"/>
      </w:pPr>
      <w:r>
        <w:rPr>
          <w:rFonts w:ascii="Calibri" w:cs="Calibri" w:eastAsia="Calibri" w:hAnsi="Calibri"/>
          <w:b/>
          <w:bCs/>
        </w:rPr>
        <w:t xml:space="preserve">Card-level features.</w:t>
      </w:r>
      <w:r>
        <w:rPr>
          <w:rFonts w:ascii="Calibri" w:cs="Calibri" w:eastAsia="Calibri" w:hAnsi="Calibri"/>
        </w:rPr>
        <w:t xml:space="preserve"> With card identity, velocity features such as transactions per card per hour usually add the most signal.</w:t>
      </w:r>
    </w:p>
    <w:p>
      <w:pPr>
        <w:pStyle w:val="ListParagraph"/>
        <w:numPr>
          <w:ilvl w:val="0"/>
          <w:numId w:val="4"/>
        </w:numPr>
        <w:spacing w:after="80" w:line="290"/>
      </w:pPr>
      <w:r>
        <w:rPr>
          <w:rFonts w:ascii="Calibri" w:cs="Calibri" w:eastAsia="Calibri" w:hAnsi="Calibri"/>
          <w:b/>
          <w:bCs/>
        </w:rPr>
        <w:t xml:space="preserve">Rank by expected loss,</w:t>
      </w:r>
      <w:r>
        <w:rPr>
          <w:rFonts w:ascii="Calibri" w:cs="Calibri" w:eastAsia="Calibri" w:hAnsi="Calibri"/>
        </w:rPr>
        <w:t xml:space="preserve"> combining risk with amount and remaining credit limit.</w:t>
      </w:r>
    </w:p>
    <w:p>
      <w:pPr>
        <w:pStyle w:val="ListParagraph"/>
        <w:numPr>
          <w:ilvl w:val="0"/>
          <w:numId w:val="4"/>
        </w:numPr>
        <w:spacing w:after="80" w:line="290"/>
      </w:pPr>
      <w:r>
        <w:rPr>
          <w:rFonts w:ascii="Calibri" w:cs="Calibri" w:eastAsia="Calibri" w:hAnsi="Calibri"/>
          <w:b/>
          <w:bCs/>
        </w:rPr>
        <w:t xml:space="preserve">Real-time path.</w:t>
      </w:r>
      <w:r>
        <w:rPr>
          <w:rFonts w:ascii="Calibri" w:cs="Calibri" w:eastAsia="Calibri" w:hAnsi="Calibri"/>
        </w:rPr>
        <w:t xml:space="preserve"> Put the scoring endpoint behind the authorisation flow with a threshold recalibrated daily.</w:t>
      </w:r>
    </w:p>
    <w:p>
      <w:pPr>
        <w:pStyle w:val="ListParagraph"/>
        <w:numPr>
          <w:ilvl w:val="0"/>
          <w:numId w:val="4"/>
        </w:numPr>
        <w:spacing w:after="80" w:line="290"/>
      </w:pPr>
      <w:r>
        <w:rPr>
          <w:rFonts w:ascii="Calibri" w:cs="Calibri" w:eastAsia="Calibri" w:hAnsi="Calibri"/>
          <w:b/>
          <w:bCs/>
        </w:rPr>
        <w:t xml:space="preserve">Calibrated probabilities and a formal model review</w:t>
      </w:r>
      <w:r>
        <w:rPr>
          <w:rFonts w:ascii="Calibri" w:cs="Calibri" w:eastAsia="Calibri" w:hAnsi="Calibri"/>
        </w:rPr>
        <w:t xml:space="preserve"> before any regulated use.</w:t>
      </w:r>
    </w:p>
    <w:p>
      <w:pPr>
        <w:pStyle w:val="Heading1"/>
        <w:spacing w:after="160" w:before="360"/>
      </w:pPr>
      <w:r>
        <w:rPr>
          <w:rFonts w:ascii="Calibri" w:cs="Calibri" w:eastAsia="Calibri" w:hAnsi="Calibri"/>
        </w:rPr>
        <w:t xml:space="preserve">14. Setup, and how AI-assisted tools were used</w:t>
      </w:r>
    </w:p>
    <w:p>
      <w:pPr>
        <w:spacing w:after="140" w:line="300"/>
      </w:pPr>
      <w:r>
        <w:rPr>
          <w:rFonts w:ascii="Calibri" w:cs="Calibri" w:eastAsia="Calibri" w:hAnsi="Calibri"/>
          <w:b/>
          <w:bCs/>
        </w:rPr>
        <w:t xml:space="preserve">Run the app:</w:t>
      </w:r>
      <w:r>
        <w:rPr>
          <w:rFonts w:ascii="Calibri" w:cs="Calibri" w:eastAsia="Calibri" w:hAnsi="Calibri"/>
        </w:rPr>
        <w:t xml:space="preserve"> clone the repository, create a virtual environment, run pip install -r requirements.txt and then streamlit run streamlit_app.py. The trained model and a day-2 sample are in the repository, so no download is needed. </w:t>
      </w:r>
      <w:r>
        <w:rPr>
          <w:rFonts w:ascii="Calibri" w:cs="Calibri" w:eastAsia="Calibri" w:hAnsi="Calibri"/>
          <w:b/>
          <w:bCs/>
        </w:rPr>
        <w:t xml:space="preserve">Rebuild everything:</w:t>
      </w:r>
      <w:r>
        <w:rPr>
          <w:rFonts w:ascii="Calibri" w:cs="Calibri" w:eastAsia="Calibri" w:hAnsi="Calibri"/>
        </w:rPr>
        <w:t xml:space="preserve"> pip install -r requirements-dev.txt, then python -m fraudlens all. Full instructions are in the README.</w:t>
      </w:r>
    </w:p>
    <w:p>
      <w:pPr>
        <w:spacing w:after="140" w:line="300"/>
      </w:pPr>
      <w:r>
        <w:rPr>
          <w:rFonts w:ascii="Calibri" w:cs="Calibri" w:eastAsia="Calibri" w:hAnsi="Calibri"/>
          <w:b/>
          <w:bCs/>
        </w:rPr>
        <w:t xml:space="preserve">AI-assisted development.</w:t>
      </w:r>
      <w:r>
        <w:rPr>
          <w:rFonts w:ascii="Calibri" w:cs="Calibri" w:eastAsia="Calibri" w:hAnsi="Calibri"/>
        </w:rPr>
        <w:t xml:space="preserve"> The solution was built with Claude Code inside VS Code: reading the requirements, profiling the data, proposing a plan that the team approved, writing the code and tests, and drafting the documents from measured results. Its output was checked rather than trusted. Reading results critically, inspecting every chart and running the test suite each caught real defects, which are listed in docs/AI_ASSISTED_DEVELOPMENT.md.</w:t>
      </w:r>
    </w:p>
    <w:sectPr>
      <w:footerReference w:type="default" r:id="rId6"/>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5F5E5A"/>
        <w:sz w:val="16"/>
        <w:szCs w:val="16"/>
      </w:rPr>
      <w:t xml:space="preserve">FraudLens · Solution document · </w:t>
    </w:r>
    <w:r>
      <w:rPr>
        <w:rFonts w:ascii="Calibri" w:cs="Calibri" w:eastAsia="Calibri" w:hAnsi="Calibri"/>
        <w:color w:val="5F5E5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00" w:hanging="260"/>
      </w:pPr>
    </w:lvl>
  </w:abstractNum>
  <w:abstractNum w:abstractNumId="3" w15:restartNumberingAfterBreak="0">
    <w:multiLevelType w:val="hybridMultilevel"/>
    <w:lvl w:ilvl="0" w:tentative="1">
      <w:start w:val="1"/>
      <w:numFmt w:val="decimal"/>
      <w:lvlText w:val="%1."/>
      <w:lvlJc w:val="left"/>
      <w:pPr>
        <w:ind w:left="500" w:hanging="320"/>
      </w:pPr>
    </w:lvl>
  </w:abstractNum>
  <w:abstractNum w:abstractNumId="4" w15:restartNumberingAfterBreak="0">
    <w:multiLevelType w:val="hybridMultilevel"/>
    <w:lvl w:ilvl="0" w:tentative="1">
      <w:start w:val="1"/>
      <w:numFmt w:val="decimal"/>
      <w:lvlText w:val="%1."/>
      <w:lvlJc w:val="left"/>
      <w:pPr>
        <w:ind w:left="500" w:hanging="32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outlineLvl w:val="0"/>
    </w:pPr>
    <w:rPr>
      <w:rFonts w:ascii="Calibri" w:cs="Calibri" w:eastAsia="Calibri" w:hAnsi="Calibri"/>
      <w:b/>
      <w:bCs/>
      <w:color w:val="0D366B"/>
      <w:sz w:val="34"/>
      <w:szCs w:val="34"/>
    </w:rPr>
  </w:style>
  <w:style w:type="paragraph" w:styleId="Heading2">
    <w:name w:val="Heading 2"/>
    <w:basedOn w:val="Normal"/>
    <w:next w:val="Normal"/>
    <w:qFormat/>
    <w:pPr>
      <w:keepNext/>
      <w:outlineLvl w:val="1"/>
    </w:pPr>
    <w:rPr>
      <w:rFonts w:ascii="Calibri" w:cs="Calibri" w:eastAsia="Calibri" w:hAnsi="Calibri"/>
      <w:b/>
      <w:bCs/>
      <w:color w:val="2A78D6"/>
      <w:sz w:val="25"/>
      <w:szCs w:val="25"/>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yxyy19slfgwzid8-4q3b" Type="http://schemas.openxmlformats.org/officeDocument/2006/relationships/hyperlink" Target="https://github.com/mjbharathgithub/Fraud-Lens" TargetMode="External"/><Relationship Id="rIdk0jm3iw52oy_chnp8xol-" Type="http://schemas.openxmlformats.org/officeDocument/2006/relationships/hyperlink" Target="https://fraudlens-triage.streamlit.app/" TargetMode="External"/><Relationship Id="rId10" Type="http://schemas.openxmlformats.org/officeDocument/2006/relationships/image" Target="media/8cb7728ccc5aa9154d3d4aacf18030f23710fbbc.png"/><Relationship Id="rId11" Type="http://schemas.openxmlformats.org/officeDocument/2006/relationships/image" Target="media/e76a4831b8a1190edabd7d7ace217b553bf40f33.png"/><Relationship Id="rId12" Type="http://schemas.openxmlformats.org/officeDocument/2006/relationships/image" Target="media/af90933eba39db30201f17ac04949a0f31abe9c3.png"/><Relationship Id="rId13" Type="http://schemas.openxmlformats.org/officeDocument/2006/relationships/image" Target="media/3bb2e8db6c4f8200c49bb6a13877355e0d5268d4.png"/><Relationship Id="rId14" Type="http://schemas.openxmlformats.org/officeDocument/2006/relationships/image" Target="media/9c75b1e48c3839594dd4ba0ed238d545e82fd429.png"/><Relationship Id="rId15" Type="http://schemas.openxmlformats.org/officeDocument/2006/relationships/image" Target="media/92cc96cf48107cc86e2aa25c463dfd34dce13bbd.png"/><Relationship Id="rId16" Type="http://schemas.openxmlformats.org/officeDocument/2006/relationships/image" Target="media/e0eef9b2cf8b62e1a56c5f5025cc7eb042e6c341.png"/><Relationship Id="rId17" Type="http://schemas.openxmlformats.org/officeDocument/2006/relationships/image" Target="media/e6968bfe3d58c57187c0c2d3747a8c8becd339ce.png"/><Relationship Id="rId18" Type="http://schemas.openxmlformats.org/officeDocument/2006/relationships/image" Target="media/194c390b0ad5c8cfe551dbf2e58fdd42c84d68af.png"/><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FraudLens: Solution Document</dc:title>
  <dc:creator>FraudLens team</dc:creator>
  <cp:lastModifiedBy>Un-named</cp:lastModifiedBy>
  <cp:revision>1</cp:revision>
  <dcterms:created xsi:type="dcterms:W3CDTF">2026-10-10T08:49:36.488Z</dcterms:created>
  <dcterms:modified xsi:type="dcterms:W3CDTF">2026-10-10T08:49:36.490Z</dcterms:modified>
</cp:coreProperties>
</file>

<file path=docProps/custom.xml><?xml version="1.0" encoding="utf-8"?>
<Properties xmlns="http://schemas.openxmlformats.org/officeDocument/2006/custom-properties" xmlns:vt="http://schemas.openxmlformats.org/officeDocument/2006/docPropsVTypes"/>
</file>