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699204D" wp14:paraId="06CC2BCC" wp14:textId="26FA32D9">
      <w:pPr>
        <w:pStyle w:val="Normal"/>
        <w:rPr>
          <w:rFonts w:ascii="Aptos" w:hAnsi="Aptos"/>
          <w:b w:val="1"/>
          <w:bCs w:val="1"/>
          <w:i w:val="0"/>
          <w:iCs w:val="0"/>
          <w:caps w:val="0"/>
          <w:smallCaps w:val="0"/>
          <w:noProof w:val="0"/>
          <w:sz w:val="32"/>
          <w:szCs w:val="32"/>
          <w:lang w:val="en-US"/>
        </w:rPr>
      </w:pPr>
      <w:r w:rsidRPr="2699204D" w:rsidR="0FB79DD2">
        <w:rPr>
          <w:rFonts w:ascii="Aptos" w:hAnsi="Aptos"/>
          <w:b w:val="1"/>
          <w:bCs w:val="1"/>
          <w:i w:val="0"/>
          <w:iCs w:val="0"/>
          <w:caps w:val="0"/>
          <w:smallCaps w:val="0"/>
          <w:noProof w:val="0"/>
          <w:sz w:val="32"/>
          <w:szCs w:val="32"/>
          <w:lang w:val="en-US"/>
        </w:rPr>
        <w:t>Financial Analysis for Tata Consultancy Services Limited</w:t>
      </w:r>
    </w:p>
    <w:p xmlns:wp14="http://schemas.microsoft.com/office/word/2010/wordml" w:rsidP="2699204D" wp14:paraId="6EC4E6D6" wp14:textId="79421DDF">
      <w:pPr>
        <w:pStyle w:val="Normal"/>
        <w:rPr>
          <w:rFonts w:ascii="Aptos" w:hAnsi="Aptos"/>
          <w:b w:val="1"/>
          <w:bCs w:val="1"/>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 xml:space="preserve">Overview </w:t>
      </w:r>
    </w:p>
    <w:p xmlns:wp14="http://schemas.microsoft.com/office/word/2010/wordml" w:rsidP="2699204D" wp14:paraId="6E90875C" wp14:textId="7835E8B4">
      <w:pPr>
        <w:pStyle w:val="Normal"/>
        <w:suppressLineNumbers w:val="0"/>
        <w:bidi w:val="0"/>
        <w:spacing w:before="0" w:beforeAutospacing="off" w:after="160" w:afterAutospacing="off" w:line="279" w:lineRule="auto"/>
        <w:ind w:left="0" w:right="0"/>
        <w:jc w:val="left"/>
        <w:rPr>
          <w:rFonts w:ascii="Aptos" w:hAnsi="Aptos"/>
          <w:b w:val="0"/>
          <w:bCs w:val="0"/>
          <w:i w:val="0"/>
          <w:iCs w:val="0"/>
          <w:caps w:val="0"/>
          <w:smallCaps w:val="0"/>
          <w:noProof w:val="0"/>
          <w:sz w:val="24"/>
          <w:szCs w:val="24"/>
          <w:lang w:val="en-US"/>
        </w:rPr>
      </w:pPr>
      <w:r w:rsidRPr="2699204D" w:rsidR="0FB79DD2">
        <w:rPr>
          <w:rFonts w:ascii="Aptos" w:hAnsi="Aptos"/>
          <w:b w:val="0"/>
          <w:bCs w:val="0"/>
          <w:i w:val="0"/>
          <w:iCs w:val="0"/>
          <w:caps w:val="0"/>
          <w:smallCaps w:val="0"/>
          <w:noProof w:val="0"/>
          <w:sz w:val="24"/>
          <w:szCs w:val="24"/>
          <w:lang w:val="en-US"/>
        </w:rPr>
        <w:t xml:space="preserve">Tata Consultancy Services Limited provides information technology (IT) and IT enabled services in the Americas, Europe, India, and internationally. The company provides TCS ADD, a suite of AI powered life sciences platforms; TCS </w:t>
      </w:r>
      <w:r w:rsidRPr="2699204D" w:rsidR="0FB79DD2">
        <w:rPr>
          <w:rFonts w:ascii="Aptos" w:hAnsi="Aptos"/>
          <w:b w:val="0"/>
          <w:bCs w:val="0"/>
          <w:i w:val="0"/>
          <w:iCs w:val="0"/>
          <w:caps w:val="0"/>
          <w:smallCaps w:val="0"/>
          <w:noProof w:val="0"/>
          <w:sz w:val="24"/>
          <w:szCs w:val="24"/>
          <w:lang w:val="en-US"/>
        </w:rPr>
        <w:t>BaNCS</w:t>
      </w:r>
      <w:r w:rsidRPr="2699204D" w:rsidR="0FB79DD2">
        <w:rPr>
          <w:rFonts w:ascii="Aptos" w:hAnsi="Aptos"/>
          <w:b w:val="0"/>
          <w:bCs w:val="0"/>
          <w:i w:val="0"/>
          <w:iCs w:val="0"/>
          <w:caps w:val="0"/>
          <w:smallCaps w:val="0"/>
          <w:noProof w:val="0"/>
          <w:sz w:val="24"/>
          <w:szCs w:val="24"/>
          <w:lang w:val="en-US"/>
        </w:rPr>
        <w:t xml:space="preserve">, a financial services platform; TCS BFSI Platforms, a cloud-native, as-a-service digital ecosystem for insurers and financial firms; TCS Chroma, a cloud-based human resource management system platform; TCS Customer Intelligence &amp; Insights, an AI-driven customer analytics and real-time CDP solution; TCS ERP on Cloud, an SAP platform as a service; </w:t>
      </w:r>
      <w:r w:rsidRPr="2699204D" w:rsidR="0FB79DD2">
        <w:rPr>
          <w:rFonts w:ascii="Aptos" w:hAnsi="Aptos"/>
          <w:b w:val="0"/>
          <w:bCs w:val="0"/>
          <w:i w:val="0"/>
          <w:iCs w:val="0"/>
          <w:caps w:val="0"/>
          <w:smallCaps w:val="0"/>
          <w:noProof w:val="0"/>
          <w:sz w:val="24"/>
          <w:szCs w:val="24"/>
          <w:lang w:val="en-US"/>
        </w:rPr>
        <w:t>ignio</w:t>
      </w:r>
      <w:r w:rsidRPr="2699204D" w:rsidR="0FB79DD2">
        <w:rPr>
          <w:rFonts w:ascii="Aptos" w:hAnsi="Aptos"/>
          <w:b w:val="0"/>
          <w:bCs w:val="0"/>
          <w:i w:val="0"/>
          <w:iCs w:val="0"/>
          <w:caps w:val="0"/>
          <w:smallCaps w:val="0"/>
          <w:noProof w:val="0"/>
          <w:sz w:val="24"/>
          <w:szCs w:val="24"/>
          <w:lang w:val="en-US"/>
        </w:rPr>
        <w:t xml:space="preserve">, a cognitive automation software product; TCS </w:t>
      </w:r>
      <w:r w:rsidRPr="2699204D" w:rsidR="0FB79DD2">
        <w:rPr>
          <w:rFonts w:ascii="Aptos" w:hAnsi="Aptos"/>
          <w:b w:val="0"/>
          <w:bCs w:val="0"/>
          <w:i w:val="0"/>
          <w:iCs w:val="0"/>
          <w:caps w:val="0"/>
          <w:smallCaps w:val="0"/>
          <w:noProof w:val="0"/>
          <w:sz w:val="24"/>
          <w:szCs w:val="24"/>
          <w:lang w:val="en-US"/>
        </w:rPr>
        <w:t>iON</w:t>
      </w:r>
      <w:r w:rsidRPr="2699204D" w:rsidR="0FB79DD2">
        <w:rPr>
          <w:rFonts w:ascii="Aptos" w:hAnsi="Aptos"/>
          <w:b w:val="0"/>
          <w:bCs w:val="0"/>
          <w:i w:val="0"/>
          <w:iCs w:val="0"/>
          <w:caps w:val="0"/>
          <w:smallCaps w:val="0"/>
          <w:noProof w:val="0"/>
          <w:sz w:val="24"/>
          <w:szCs w:val="24"/>
          <w:lang w:val="en-US"/>
        </w:rPr>
        <w:t xml:space="preserve">, a learning ecosystem; and TCS HOBS, a cloud-native, catalog-centric platform for personalization of products and processes. It also offers TCS Intelligent Urban Exchange for enterprises and smart cities; TCS </w:t>
      </w:r>
      <w:r w:rsidRPr="2699204D" w:rsidR="0FB79DD2">
        <w:rPr>
          <w:rFonts w:ascii="Aptos" w:hAnsi="Aptos"/>
          <w:b w:val="0"/>
          <w:bCs w:val="0"/>
          <w:i w:val="0"/>
          <w:iCs w:val="0"/>
          <w:caps w:val="0"/>
          <w:smallCaps w:val="0"/>
          <w:noProof w:val="0"/>
          <w:sz w:val="24"/>
          <w:szCs w:val="24"/>
          <w:lang w:val="en-US"/>
        </w:rPr>
        <w:t>OmniStore</w:t>
      </w:r>
      <w:r w:rsidRPr="2699204D" w:rsidR="0FB79DD2">
        <w:rPr>
          <w:rFonts w:ascii="Aptos" w:hAnsi="Aptos"/>
          <w:b w:val="0"/>
          <w:bCs w:val="0"/>
          <w:i w:val="0"/>
          <w:iCs w:val="0"/>
          <w:caps w:val="0"/>
          <w:smallCaps w:val="0"/>
          <w:noProof w:val="0"/>
          <w:sz w:val="24"/>
          <w:szCs w:val="24"/>
          <w:lang w:val="en-US"/>
        </w:rPr>
        <w:t xml:space="preserve">, a retail commerce platform; TCS </w:t>
      </w:r>
      <w:r w:rsidRPr="2699204D" w:rsidR="0FB79DD2">
        <w:rPr>
          <w:rFonts w:ascii="Aptos" w:hAnsi="Aptos"/>
          <w:b w:val="0"/>
          <w:bCs w:val="0"/>
          <w:i w:val="0"/>
          <w:iCs w:val="0"/>
          <w:caps w:val="0"/>
          <w:smallCaps w:val="0"/>
          <w:noProof w:val="0"/>
          <w:sz w:val="24"/>
          <w:szCs w:val="24"/>
          <w:lang w:val="en-US"/>
        </w:rPr>
        <w:t>Optumera</w:t>
      </w:r>
      <w:r w:rsidRPr="2699204D" w:rsidR="0FB79DD2">
        <w:rPr>
          <w:rFonts w:ascii="Aptos" w:hAnsi="Aptos"/>
          <w:b w:val="0"/>
          <w:bCs w:val="0"/>
          <w:i w:val="0"/>
          <w:iCs w:val="0"/>
          <w:caps w:val="0"/>
          <w:smallCaps w:val="0"/>
          <w:noProof w:val="0"/>
          <w:sz w:val="24"/>
          <w:szCs w:val="24"/>
          <w:lang w:val="en-US"/>
        </w:rPr>
        <w:t xml:space="preserve">, a retail-connected strategic intelligence platform; TCS Tap, a platform for intelligent procurement; Quartz, a distributed ledger technology; TCS </w:t>
      </w:r>
      <w:r w:rsidRPr="2699204D" w:rsidR="0FB79DD2">
        <w:rPr>
          <w:rFonts w:ascii="Aptos" w:hAnsi="Aptos"/>
          <w:b w:val="0"/>
          <w:bCs w:val="0"/>
          <w:i w:val="0"/>
          <w:iCs w:val="0"/>
          <w:caps w:val="0"/>
          <w:smallCaps w:val="0"/>
          <w:noProof w:val="0"/>
          <w:sz w:val="24"/>
          <w:szCs w:val="24"/>
          <w:lang w:val="en-US"/>
        </w:rPr>
        <w:t>TwinX</w:t>
      </w:r>
      <w:r w:rsidRPr="2699204D" w:rsidR="0FB79DD2">
        <w:rPr>
          <w:rFonts w:ascii="Aptos" w:hAnsi="Aptos"/>
          <w:b w:val="0"/>
          <w:bCs w:val="0"/>
          <w:i w:val="0"/>
          <w:iCs w:val="0"/>
          <w:caps w:val="0"/>
          <w:smallCaps w:val="0"/>
          <w:noProof w:val="0"/>
          <w:sz w:val="24"/>
          <w:szCs w:val="24"/>
          <w:lang w:val="en-US"/>
        </w:rPr>
        <w:t xml:space="preserve">, an enterprise digital twin platform; TCS MasterCraft, an AI-driven cognitive automation product; Jile, an enterprise agile planning and delivery tool; and TCS </w:t>
      </w:r>
      <w:r w:rsidRPr="2699204D" w:rsidR="0FB79DD2">
        <w:rPr>
          <w:rFonts w:ascii="Aptos" w:hAnsi="Aptos"/>
          <w:b w:val="0"/>
          <w:bCs w:val="0"/>
          <w:i w:val="0"/>
          <w:iCs w:val="0"/>
          <w:caps w:val="0"/>
          <w:smallCaps w:val="0"/>
          <w:noProof w:val="0"/>
          <w:sz w:val="24"/>
          <w:szCs w:val="24"/>
          <w:lang w:val="en-US"/>
        </w:rPr>
        <w:t>DigiBOLT</w:t>
      </w:r>
      <w:r w:rsidRPr="2699204D" w:rsidR="0FB79DD2">
        <w:rPr>
          <w:rFonts w:ascii="Aptos" w:hAnsi="Aptos"/>
          <w:b w:val="0"/>
          <w:bCs w:val="0"/>
          <w:i w:val="0"/>
          <w:iCs w:val="0"/>
          <w:caps w:val="0"/>
          <w:smallCaps w:val="0"/>
          <w:noProof w:val="0"/>
          <w:sz w:val="24"/>
          <w:szCs w:val="24"/>
          <w:lang w:val="en-US"/>
        </w:rPr>
        <w:t xml:space="preserve">, an end-to-end, organization-wide enterprise platform. In addition, the company provides cloud, cognitive business, consulting, cybersecurity, data and analytics, enterprise solutions, IoT and digital engineering, TCS interactive, artificial intelligence, network solutions, and sustainability services. It serves banking; capital markets; consumer packaged goods and distribution; communications, media, and information services; education; energy, resources, and utilities; healthcare; high tech; insurance; life sciences; manufacturing; public services; retail; and travel and </w:t>
      </w:r>
      <w:r w:rsidRPr="2699204D" w:rsidR="0FB79DD2">
        <w:rPr>
          <w:rFonts w:ascii="Aptos" w:hAnsi="Aptos"/>
          <w:b w:val="0"/>
          <w:bCs w:val="0"/>
          <w:i w:val="0"/>
          <w:iCs w:val="0"/>
          <w:caps w:val="0"/>
          <w:smallCaps w:val="0"/>
          <w:noProof w:val="0"/>
          <w:sz w:val="24"/>
          <w:szCs w:val="24"/>
          <w:lang w:val="en-US"/>
        </w:rPr>
        <w:t>logistics</w:t>
      </w:r>
      <w:r w:rsidRPr="2699204D" w:rsidR="0FB79DD2">
        <w:rPr>
          <w:rFonts w:ascii="Aptos" w:hAnsi="Aptos"/>
          <w:b w:val="0"/>
          <w:bCs w:val="0"/>
          <w:i w:val="0"/>
          <w:iCs w:val="0"/>
          <w:caps w:val="0"/>
          <w:smallCaps w:val="0"/>
          <w:noProof w:val="0"/>
          <w:sz w:val="24"/>
          <w:szCs w:val="24"/>
          <w:lang w:val="en-US"/>
        </w:rPr>
        <w:t xml:space="preserve"> industries. The company was founded in 1968 and is based in Mumbai, India. Tata Consultancy Services Limited is a subsidiary of Tata Sons Private Limited.</w:t>
      </w:r>
    </w:p>
    <w:p xmlns:wp14="http://schemas.microsoft.com/office/word/2010/wordml" w:rsidP="2699204D" wp14:paraId="1ED98D41" wp14:textId="1B5F9DC5">
      <w:pPr>
        <w:pStyle w:val="Normal"/>
        <w:rPr>
          <w:rFonts w:ascii="Aptos" w:hAnsi="Aptos"/>
          <w:b w:val="1"/>
          <w:bCs w:val="1"/>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Financial Ratio Analysis</w:t>
      </w:r>
    </w:p>
    <w:p xmlns:wp14="http://schemas.microsoft.com/office/word/2010/wordml" w:rsidP="2699204D" wp14:paraId="1504D946" wp14:textId="0345E761">
      <w:pPr>
        <w:pStyle w:val="Normal"/>
        <w:rPr>
          <w:rFonts w:ascii="Aptos" w:hAnsi="Aptos"/>
          <w:b w:val="1"/>
          <w:bCs w:val="1"/>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Liquidity Ratios</w:t>
      </w:r>
    </w:p>
    <w:tbl>
      <w:tblPr>
        <w:tblStyle w:val="TableNormal"/>
        <w:bidiVisual w:val="0"/>
        <w:tblW w:w="0" w:type="auto"/>
        <w:tblLayout w:type="fixed"/>
        <w:tblLook w:val="06A0" w:firstRow="1" w:lastRow="0" w:firstColumn="1" w:lastColumn="0" w:noHBand="1" w:noVBand="1"/>
      </w:tblPr>
      <w:tblGrid>
        <w:gridCol w:w="2904"/>
        <w:gridCol w:w="2209"/>
        <w:gridCol w:w="2009"/>
        <w:gridCol w:w="1929"/>
      </w:tblGrid>
      <w:tr w:rsidR="2699204D" w:rsidTr="2699204D" w14:paraId="29AC9F23">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RDefault="2699204D" w14:paraId="210E0668" w14:textId="68BEB6A0"/>
        </w:tc>
        <w:tc>
          <w:tcPr>
            <w:tcW w:w="22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23B91F17" w14:textId="739DDA7D">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Current Ratio</w:t>
            </w:r>
          </w:p>
        </w:tc>
        <w:tc>
          <w:tcPr>
            <w:tcW w:w="20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5CD1E45D" w14:textId="25D84E73">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Quick Ratio</w:t>
            </w:r>
          </w:p>
        </w:tc>
        <w:tc>
          <w:tcPr>
            <w:tcW w:w="1929" w:type="dxa"/>
            <w:tcBorders>
              <w:top w:val="single" w:sz="6"/>
              <w:left w:val="single" w:sz="6"/>
              <w:bottom w:val="single" w:sz="6"/>
              <w:right w:val="single" w:sz="6"/>
            </w:tcBorders>
            <w:shd w:val="clear" w:color="auto" w:fill="FFFFFF" w:themeFill="background1"/>
            <w:tcMar/>
            <w:vAlign w:val="center"/>
          </w:tcPr>
          <w:p w:rsidR="2699204D" w:rsidP="2699204D" w:rsidRDefault="2699204D" w14:paraId="1DF9106E" w14:textId="6B319BFC">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Cash Ratio</w:t>
            </w:r>
          </w:p>
        </w:tc>
      </w:tr>
      <w:tr w:rsidR="2699204D" w:rsidTr="2699204D" w14:paraId="37DFBE3A">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3A1A3507" w14:textId="16ACDD6F">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2021-03-31 00:00:00</w:t>
            </w:r>
          </w:p>
        </w:tc>
        <w:tc>
          <w:tcPr>
            <w:tcW w:w="22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341F88D7" w14:textId="367809F7">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20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4C213720" w14:textId="7BDC47C6">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1929" w:type="dxa"/>
            <w:tcBorders>
              <w:top w:val="single" w:sz="6"/>
              <w:left w:val="single" w:sz="6"/>
              <w:bottom w:val="single" w:sz="6"/>
              <w:right w:val="single" w:sz="6"/>
            </w:tcBorders>
            <w:shd w:val="clear" w:color="auto" w:fill="FFFFFF" w:themeFill="background1"/>
            <w:tcMar/>
            <w:vAlign w:val="center"/>
          </w:tcPr>
          <w:p w:rsidR="2699204D" w:rsidP="2699204D" w:rsidRDefault="2699204D" w14:paraId="065E4FFF" w14:textId="587389AA">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r>
      <w:tr w:rsidR="2699204D" w:rsidTr="2699204D" w14:paraId="4579E4B6">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5D37172F" w14:textId="2AFC9C6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2022-03-31 00:00:00</w:t>
            </w:r>
          </w:p>
        </w:tc>
        <w:tc>
          <w:tcPr>
            <w:tcW w:w="22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1D249A77" w14:textId="42F2CAA8">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2.55744</w:t>
            </w:r>
          </w:p>
        </w:tc>
        <w:tc>
          <w:tcPr>
            <w:tcW w:w="20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2C586C6B" w14:textId="7E5ABE9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2.55696</w:t>
            </w:r>
          </w:p>
        </w:tc>
        <w:tc>
          <w:tcPr>
            <w:tcW w:w="1929" w:type="dxa"/>
            <w:tcBorders>
              <w:top w:val="single" w:sz="6"/>
              <w:left w:val="single" w:sz="6"/>
              <w:bottom w:val="single" w:sz="6"/>
              <w:right w:val="single" w:sz="6"/>
            </w:tcBorders>
            <w:shd w:val="clear" w:color="auto" w:fill="FFFFFF" w:themeFill="background1"/>
            <w:tcMar/>
            <w:vAlign w:val="center"/>
          </w:tcPr>
          <w:p w:rsidR="2699204D" w:rsidP="2699204D" w:rsidRDefault="2699204D" w14:paraId="6390DEC3" w14:textId="0E9646B6">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0.294113</w:t>
            </w:r>
          </w:p>
        </w:tc>
      </w:tr>
      <w:tr w:rsidR="2699204D" w:rsidTr="2699204D" w14:paraId="52495542">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036732E6" w14:textId="1F70A079">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2023-03-31 00:00:00</w:t>
            </w:r>
          </w:p>
        </w:tc>
        <w:tc>
          <w:tcPr>
            <w:tcW w:w="22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5DAB815A" w14:textId="745D8717">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2.53157</w:t>
            </w:r>
          </w:p>
        </w:tc>
        <w:tc>
          <w:tcPr>
            <w:tcW w:w="20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5106AC54" w14:textId="0F00EA0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2.53092</w:t>
            </w:r>
          </w:p>
        </w:tc>
        <w:tc>
          <w:tcPr>
            <w:tcW w:w="1929" w:type="dxa"/>
            <w:tcBorders>
              <w:top w:val="single" w:sz="6"/>
              <w:left w:val="single" w:sz="6"/>
              <w:bottom w:val="single" w:sz="6"/>
              <w:right w:val="single" w:sz="6"/>
            </w:tcBorders>
            <w:shd w:val="clear" w:color="auto" w:fill="FFFFFF" w:themeFill="background1"/>
            <w:tcMar/>
            <w:vAlign w:val="center"/>
          </w:tcPr>
          <w:p w:rsidR="2699204D" w:rsidP="2699204D" w:rsidRDefault="2699204D" w14:paraId="44D9C9BF" w14:textId="3C3792A7">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0.163345</w:t>
            </w:r>
          </w:p>
        </w:tc>
      </w:tr>
      <w:tr w:rsidR="2699204D" w:rsidTr="2699204D" w14:paraId="14A6F208">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3849D870" w14:textId="4EB86437">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2024-03-31 00:00:00</w:t>
            </w:r>
          </w:p>
        </w:tc>
        <w:tc>
          <w:tcPr>
            <w:tcW w:w="22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2F4EF5BA" w14:textId="2346DD58">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2.45063</w:t>
            </w:r>
          </w:p>
        </w:tc>
        <w:tc>
          <w:tcPr>
            <w:tcW w:w="20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5A59CC4C" w14:textId="61034A17">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2.45003</w:t>
            </w:r>
          </w:p>
        </w:tc>
        <w:tc>
          <w:tcPr>
            <w:tcW w:w="1929" w:type="dxa"/>
            <w:tcBorders>
              <w:top w:val="single" w:sz="6"/>
              <w:left w:val="single" w:sz="6"/>
              <w:bottom w:val="single" w:sz="6"/>
              <w:right w:val="single" w:sz="6"/>
            </w:tcBorders>
            <w:shd w:val="clear" w:color="auto" w:fill="FFFFFF" w:themeFill="background1"/>
            <w:tcMar/>
            <w:vAlign w:val="center"/>
          </w:tcPr>
          <w:p w:rsidR="2699204D" w:rsidP="2699204D" w:rsidRDefault="2699204D" w14:paraId="57D1D1B0" w14:textId="6C79FCF4">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0.195363</w:t>
            </w:r>
          </w:p>
        </w:tc>
      </w:tr>
      <w:tr w:rsidR="2699204D" w:rsidTr="2699204D" w14:paraId="064A6982">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1FBB6F47" w14:textId="46BBA91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2025-03-31 00:00:00</w:t>
            </w:r>
          </w:p>
        </w:tc>
        <w:tc>
          <w:tcPr>
            <w:tcW w:w="22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19CFD682" w14:textId="102C255A">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2.32092</w:t>
            </w:r>
          </w:p>
        </w:tc>
        <w:tc>
          <w:tcPr>
            <w:tcW w:w="2009" w:type="dxa"/>
            <w:tcBorders>
              <w:top w:val="single" w:sz="6"/>
              <w:left w:val="single" w:sz="6"/>
              <w:bottom w:val="single" w:sz="6"/>
              <w:right w:val="single" w:sz="6"/>
            </w:tcBorders>
            <w:shd w:val="clear" w:color="auto" w:fill="FFFFFF" w:themeFill="background1"/>
            <w:tcMar/>
            <w:vAlign w:val="center"/>
          </w:tcPr>
          <w:p w:rsidR="2699204D" w:rsidP="2699204D" w:rsidRDefault="2699204D" w14:paraId="4EAB4AF9" w14:textId="22C7354D">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2.32052</w:t>
            </w:r>
          </w:p>
        </w:tc>
        <w:tc>
          <w:tcPr>
            <w:tcW w:w="1929" w:type="dxa"/>
            <w:tcBorders>
              <w:top w:val="single" w:sz="6"/>
              <w:left w:val="single" w:sz="6"/>
              <w:bottom w:val="single" w:sz="6"/>
              <w:right w:val="single" w:sz="6"/>
            </w:tcBorders>
            <w:shd w:val="clear" w:color="auto" w:fill="FFFFFF" w:themeFill="background1"/>
            <w:tcMar/>
            <w:vAlign w:val="center"/>
          </w:tcPr>
          <w:p w:rsidR="2699204D" w:rsidP="2699204D" w:rsidRDefault="2699204D" w14:paraId="47B87CE7" w14:textId="2401F767">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0.157186</w:t>
            </w:r>
          </w:p>
        </w:tc>
      </w:tr>
    </w:tbl>
    <w:p xmlns:wp14="http://schemas.microsoft.com/office/word/2010/wordml" w:rsidP="2699204D" wp14:paraId="49C4F6FE" wp14:textId="159F60DF">
      <w:pPr>
        <w:rPr>
          <w:rFonts w:ascii="Aptos" w:hAnsi="Aptos"/>
          <w:b w:val="0"/>
          <w:bCs w:val="0"/>
          <w:i w:val="0"/>
          <w:iCs w:val="0"/>
          <w:caps w:val="0"/>
          <w:smallCaps w:val="0"/>
          <w:noProof w:val="0"/>
          <w:sz w:val="24"/>
          <w:szCs w:val="24"/>
          <w:lang w:val="en-US"/>
        </w:rPr>
      </w:pPr>
      <w:r w:rsidRPr="2699204D" w:rsidR="0FB79DD2">
        <w:rPr>
          <w:rFonts w:ascii="Aptos" w:hAnsi="Aptos"/>
          <w:b w:val="0"/>
          <w:bCs w:val="0"/>
          <w:i w:val="0"/>
          <w:iCs w:val="0"/>
          <w:caps w:val="0"/>
          <w:smallCaps w:val="0"/>
          <w:noProof w:val="0"/>
          <w:sz w:val="24"/>
          <w:szCs w:val="24"/>
          <w:lang w:val="en-US"/>
        </w:rPr>
        <w:t>The Current Ratio for TCS.NS has consistently been above 2.3, indicating a strong ability to cover short-term liabilities. The Quick Ratio, which excludes inventory, also remains high, suggesting excellent liquidity even without relying on inventory sales. The Cash Ratio, while fluctuating, shows that the company maintains a decent cash position relative to its current liabilities.</w:t>
      </w:r>
    </w:p>
    <w:p xmlns:wp14="http://schemas.microsoft.com/office/word/2010/wordml" w:rsidP="2699204D" wp14:paraId="2A07F24B" wp14:textId="694939A3">
      <w:pPr>
        <w:pStyle w:val="Normal"/>
        <w:rPr>
          <w:rFonts w:ascii="Aptos" w:hAnsi="Aptos"/>
          <w:b w:val="1"/>
          <w:bCs w:val="1"/>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Profitability Ratios</w:t>
      </w:r>
    </w:p>
    <w:tbl>
      <w:tblPr>
        <w:tblStyle w:val="TableNormal"/>
        <w:bidiVisual w:val="0"/>
        <w:tblW w:w="0" w:type="auto"/>
        <w:tblLayout w:type="fixed"/>
        <w:tblLook w:val="06A0" w:firstRow="1" w:lastRow="0" w:firstColumn="1" w:lastColumn="0" w:noHBand="1" w:noVBand="1"/>
      </w:tblPr>
      <w:tblGrid>
        <w:gridCol w:w="1367"/>
        <w:gridCol w:w="1583"/>
        <w:gridCol w:w="1613"/>
        <w:gridCol w:w="2346"/>
        <w:gridCol w:w="1212"/>
        <w:gridCol w:w="1240"/>
      </w:tblGrid>
      <w:tr w:rsidR="2699204D" w:rsidTr="2699204D" w14:paraId="73074DD5">
        <w:trPr>
          <w:trHeight w:val="300"/>
        </w:trPr>
        <w:tc>
          <w:tcPr>
            <w:tcW w:w="1367" w:type="dxa"/>
            <w:tcBorders>
              <w:top w:val="single" w:sz="6"/>
              <w:left w:val="single" w:sz="6"/>
              <w:bottom w:val="single" w:sz="6"/>
              <w:right w:val="single" w:sz="6"/>
            </w:tcBorders>
            <w:shd w:val="clear" w:color="auto" w:fill="FFFFFF" w:themeFill="background1"/>
            <w:tcMar/>
            <w:vAlign w:val="center"/>
          </w:tcPr>
          <w:p w:rsidR="2699204D" w:rsidRDefault="2699204D" w14:paraId="12AB7797" w14:textId="2E04466B"/>
        </w:tc>
        <w:tc>
          <w:tcPr>
            <w:tcW w:w="1583" w:type="dxa"/>
            <w:tcBorders>
              <w:top w:val="single" w:sz="6"/>
              <w:left w:val="single" w:sz="6"/>
              <w:bottom w:val="single" w:sz="6"/>
              <w:right w:val="single" w:sz="6"/>
            </w:tcBorders>
            <w:shd w:val="clear" w:color="auto" w:fill="FFFFFF" w:themeFill="background1"/>
            <w:tcMar/>
            <w:vAlign w:val="center"/>
          </w:tcPr>
          <w:p w:rsidR="2699204D" w:rsidP="2699204D" w:rsidRDefault="2699204D" w14:paraId="0D5AE7FE" w14:textId="0DA97FDA">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Return on Equity (RoE)</w:t>
            </w:r>
          </w:p>
        </w:tc>
        <w:tc>
          <w:tcPr>
            <w:tcW w:w="1613" w:type="dxa"/>
            <w:tcBorders>
              <w:top w:val="single" w:sz="6"/>
              <w:left w:val="single" w:sz="6"/>
              <w:bottom w:val="single" w:sz="6"/>
              <w:right w:val="single" w:sz="6"/>
            </w:tcBorders>
            <w:shd w:val="clear" w:color="auto" w:fill="FFFFFF" w:themeFill="background1"/>
            <w:tcMar/>
            <w:vAlign w:val="center"/>
          </w:tcPr>
          <w:p w:rsidR="2699204D" w:rsidP="2699204D" w:rsidRDefault="2699204D" w14:paraId="326E25C3" w14:textId="5DFCC16C">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Return on Assets (RoA)</w:t>
            </w:r>
          </w:p>
        </w:tc>
        <w:tc>
          <w:tcPr>
            <w:tcW w:w="2346" w:type="dxa"/>
            <w:tcBorders>
              <w:top w:val="single" w:sz="6"/>
              <w:left w:val="single" w:sz="6"/>
              <w:bottom w:val="single" w:sz="6"/>
              <w:right w:val="single" w:sz="6"/>
            </w:tcBorders>
            <w:shd w:val="clear" w:color="auto" w:fill="FFFFFF" w:themeFill="background1"/>
            <w:tcMar/>
            <w:vAlign w:val="center"/>
          </w:tcPr>
          <w:p w:rsidR="2699204D" w:rsidP="2699204D" w:rsidRDefault="2699204D" w14:paraId="2E3C774F" w14:textId="274DCC6B">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Return on Capital Employed (RoCE)</w:t>
            </w:r>
          </w:p>
        </w:tc>
        <w:tc>
          <w:tcPr>
            <w:tcW w:w="1212" w:type="dxa"/>
            <w:tcBorders>
              <w:top w:val="single" w:sz="6"/>
              <w:left w:val="single" w:sz="6"/>
              <w:bottom w:val="single" w:sz="6"/>
              <w:right w:val="single" w:sz="6"/>
            </w:tcBorders>
            <w:shd w:val="clear" w:color="auto" w:fill="FFFFFF" w:themeFill="background1"/>
            <w:tcMar/>
            <w:vAlign w:val="center"/>
          </w:tcPr>
          <w:p w:rsidR="2699204D" w:rsidP="2699204D" w:rsidRDefault="2699204D" w14:paraId="10653215" w14:textId="14E14732">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Net Profit Margin</w:t>
            </w:r>
          </w:p>
        </w:tc>
        <w:tc>
          <w:tcPr>
            <w:tcW w:w="1240" w:type="dxa"/>
            <w:tcBorders>
              <w:top w:val="single" w:sz="6"/>
              <w:left w:val="single" w:sz="6"/>
              <w:bottom w:val="single" w:sz="6"/>
              <w:right w:val="single" w:sz="6"/>
            </w:tcBorders>
            <w:shd w:val="clear" w:color="auto" w:fill="FFFFFF" w:themeFill="background1"/>
            <w:tcMar/>
            <w:vAlign w:val="center"/>
          </w:tcPr>
          <w:p w:rsidR="2699204D" w:rsidP="2699204D" w:rsidRDefault="2699204D" w14:paraId="0E8663CC" w14:textId="49B77853">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Operating Margin</w:t>
            </w:r>
          </w:p>
        </w:tc>
      </w:tr>
      <w:tr w:rsidR="2699204D" w:rsidTr="2699204D" w14:paraId="13DB6D14">
        <w:trPr>
          <w:trHeight w:val="300"/>
        </w:trPr>
        <w:tc>
          <w:tcPr>
            <w:tcW w:w="1367" w:type="dxa"/>
            <w:tcBorders>
              <w:top w:val="single" w:sz="6"/>
              <w:left w:val="single" w:sz="6"/>
              <w:bottom w:val="single" w:sz="6"/>
              <w:right w:val="single" w:sz="6"/>
            </w:tcBorders>
            <w:shd w:val="clear" w:color="auto" w:fill="FFFFFF" w:themeFill="background1"/>
            <w:tcMar/>
            <w:vAlign w:val="center"/>
          </w:tcPr>
          <w:p w:rsidR="2699204D" w:rsidP="2699204D" w:rsidRDefault="2699204D" w14:paraId="313759D1" w14:textId="4A41C87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2021-03-31 00:00:00</w:t>
            </w:r>
          </w:p>
        </w:tc>
        <w:tc>
          <w:tcPr>
            <w:tcW w:w="1583" w:type="dxa"/>
            <w:tcBorders>
              <w:top w:val="single" w:sz="6"/>
              <w:left w:val="single" w:sz="6"/>
              <w:bottom w:val="single" w:sz="6"/>
              <w:right w:val="single" w:sz="6"/>
            </w:tcBorders>
            <w:shd w:val="clear" w:color="auto" w:fill="FFFFFF" w:themeFill="background1"/>
            <w:tcMar/>
            <w:vAlign w:val="center"/>
          </w:tcPr>
          <w:p w:rsidR="2699204D" w:rsidP="2699204D" w:rsidRDefault="2699204D" w14:paraId="74933ADE" w14:textId="3380A44D">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1613" w:type="dxa"/>
            <w:tcBorders>
              <w:top w:val="single" w:sz="6"/>
              <w:left w:val="single" w:sz="6"/>
              <w:bottom w:val="single" w:sz="6"/>
              <w:right w:val="single" w:sz="6"/>
            </w:tcBorders>
            <w:shd w:val="clear" w:color="auto" w:fill="FFFFFF" w:themeFill="background1"/>
            <w:tcMar/>
            <w:vAlign w:val="center"/>
          </w:tcPr>
          <w:p w:rsidR="2699204D" w:rsidP="2699204D" w:rsidRDefault="2699204D" w14:paraId="4C5BE93C" w14:textId="02F014A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2346" w:type="dxa"/>
            <w:tcBorders>
              <w:top w:val="single" w:sz="6"/>
              <w:left w:val="single" w:sz="6"/>
              <w:bottom w:val="single" w:sz="6"/>
              <w:right w:val="single" w:sz="6"/>
            </w:tcBorders>
            <w:shd w:val="clear" w:color="auto" w:fill="FFFFFF" w:themeFill="background1"/>
            <w:tcMar/>
            <w:vAlign w:val="center"/>
          </w:tcPr>
          <w:p w:rsidR="2699204D" w:rsidP="2699204D" w:rsidRDefault="2699204D" w14:paraId="4FC87997" w14:textId="3EE67BA1">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1212" w:type="dxa"/>
            <w:tcBorders>
              <w:top w:val="single" w:sz="6"/>
              <w:left w:val="single" w:sz="6"/>
              <w:bottom w:val="single" w:sz="6"/>
              <w:right w:val="single" w:sz="6"/>
            </w:tcBorders>
            <w:shd w:val="clear" w:color="auto" w:fill="FFFFFF" w:themeFill="background1"/>
            <w:tcMar/>
            <w:vAlign w:val="center"/>
          </w:tcPr>
          <w:p w:rsidR="2699204D" w:rsidP="2699204D" w:rsidRDefault="2699204D" w14:paraId="650D92D3" w14:textId="4AF5EAA4">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1240" w:type="dxa"/>
            <w:tcBorders>
              <w:top w:val="single" w:sz="6"/>
              <w:left w:val="single" w:sz="6"/>
              <w:bottom w:val="single" w:sz="6"/>
              <w:right w:val="single" w:sz="6"/>
            </w:tcBorders>
            <w:shd w:val="clear" w:color="auto" w:fill="FFFFFF" w:themeFill="background1"/>
            <w:tcMar/>
            <w:vAlign w:val="center"/>
          </w:tcPr>
          <w:p w:rsidR="2699204D" w:rsidP="2699204D" w:rsidRDefault="2699204D" w14:paraId="7381CB18" w14:textId="4F9CFE0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r>
      <w:tr w:rsidR="2699204D" w:rsidTr="2699204D" w14:paraId="1787B0EF">
        <w:trPr>
          <w:trHeight w:val="300"/>
        </w:trPr>
        <w:tc>
          <w:tcPr>
            <w:tcW w:w="1367" w:type="dxa"/>
            <w:tcBorders>
              <w:top w:val="single" w:sz="6"/>
              <w:left w:val="single" w:sz="6"/>
              <w:bottom w:val="single" w:sz="6"/>
              <w:right w:val="single" w:sz="6"/>
            </w:tcBorders>
            <w:shd w:val="clear" w:color="auto" w:fill="FFFFFF" w:themeFill="background1"/>
            <w:tcMar/>
            <w:vAlign w:val="center"/>
          </w:tcPr>
          <w:p w:rsidR="2699204D" w:rsidP="2699204D" w:rsidRDefault="2699204D" w14:paraId="5B9330AD" w14:textId="3E7BE7DA">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2022-03-31 00:00:00</w:t>
            </w:r>
          </w:p>
        </w:tc>
        <w:tc>
          <w:tcPr>
            <w:tcW w:w="1583" w:type="dxa"/>
            <w:tcBorders>
              <w:top w:val="single" w:sz="6"/>
              <w:left w:val="single" w:sz="6"/>
              <w:bottom w:val="single" w:sz="6"/>
              <w:right w:val="single" w:sz="6"/>
            </w:tcBorders>
            <w:shd w:val="clear" w:color="auto" w:fill="FFFFFF" w:themeFill="background1"/>
            <w:tcMar/>
            <w:vAlign w:val="center"/>
          </w:tcPr>
          <w:p w:rsidR="2699204D" w:rsidP="2699204D" w:rsidRDefault="2699204D" w14:paraId="4102635B" w14:textId="74DC3B6D">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0.429969</w:t>
            </w:r>
          </w:p>
        </w:tc>
        <w:tc>
          <w:tcPr>
            <w:tcW w:w="1613" w:type="dxa"/>
            <w:tcBorders>
              <w:top w:val="single" w:sz="6"/>
              <w:left w:val="single" w:sz="6"/>
              <w:bottom w:val="single" w:sz="6"/>
              <w:right w:val="single" w:sz="6"/>
            </w:tcBorders>
            <w:shd w:val="clear" w:color="auto" w:fill="FFFFFF" w:themeFill="background1"/>
            <w:tcMar/>
            <w:vAlign w:val="center"/>
          </w:tcPr>
          <w:p w:rsidR="2699204D" w:rsidP="2699204D" w:rsidRDefault="2699204D" w14:paraId="2A411D71" w14:textId="7FAC3F29">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0.270835</w:t>
            </w:r>
          </w:p>
        </w:tc>
        <w:tc>
          <w:tcPr>
            <w:tcW w:w="2346" w:type="dxa"/>
            <w:tcBorders>
              <w:top w:val="single" w:sz="6"/>
              <w:left w:val="single" w:sz="6"/>
              <w:bottom w:val="single" w:sz="6"/>
              <w:right w:val="single" w:sz="6"/>
            </w:tcBorders>
            <w:shd w:val="clear" w:color="auto" w:fill="FFFFFF" w:themeFill="background1"/>
            <w:tcMar/>
            <w:vAlign w:val="center"/>
          </w:tcPr>
          <w:p w:rsidR="2699204D" w:rsidP="2699204D" w:rsidRDefault="2699204D" w14:paraId="6FA46034" w14:textId="7E8A957B">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0.529139</w:t>
            </w:r>
          </w:p>
        </w:tc>
        <w:tc>
          <w:tcPr>
            <w:tcW w:w="1212" w:type="dxa"/>
            <w:tcBorders>
              <w:top w:val="single" w:sz="6"/>
              <w:left w:val="single" w:sz="6"/>
              <w:bottom w:val="single" w:sz="6"/>
              <w:right w:val="single" w:sz="6"/>
            </w:tcBorders>
            <w:shd w:val="clear" w:color="auto" w:fill="FFFFFF" w:themeFill="background1"/>
            <w:tcMar/>
            <w:vAlign w:val="center"/>
          </w:tcPr>
          <w:p w:rsidR="2699204D" w:rsidP="2699204D" w:rsidRDefault="2699204D" w14:paraId="56F2E351" w14:textId="3E1EE5A5">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0.199876</w:t>
            </w:r>
          </w:p>
        </w:tc>
        <w:tc>
          <w:tcPr>
            <w:tcW w:w="1240" w:type="dxa"/>
            <w:tcBorders>
              <w:top w:val="single" w:sz="6"/>
              <w:left w:val="single" w:sz="6"/>
              <w:bottom w:val="single" w:sz="6"/>
              <w:right w:val="single" w:sz="6"/>
            </w:tcBorders>
            <w:shd w:val="clear" w:color="auto" w:fill="FFFFFF" w:themeFill="background1"/>
            <w:tcMar/>
            <w:vAlign w:val="center"/>
          </w:tcPr>
          <w:p w:rsidR="2699204D" w:rsidP="2699204D" w:rsidRDefault="2699204D" w14:paraId="2FFB8274" w14:textId="75D373B1">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0.253387</w:t>
            </w:r>
          </w:p>
        </w:tc>
      </w:tr>
      <w:tr w:rsidR="2699204D" w:rsidTr="2699204D" w14:paraId="2D666853">
        <w:trPr>
          <w:trHeight w:val="300"/>
        </w:trPr>
        <w:tc>
          <w:tcPr>
            <w:tcW w:w="1367" w:type="dxa"/>
            <w:tcBorders>
              <w:top w:val="single" w:sz="6"/>
              <w:left w:val="single" w:sz="6"/>
              <w:bottom w:val="single" w:sz="6"/>
              <w:right w:val="single" w:sz="6"/>
            </w:tcBorders>
            <w:shd w:val="clear" w:color="auto" w:fill="FFFFFF" w:themeFill="background1"/>
            <w:tcMar/>
            <w:vAlign w:val="center"/>
          </w:tcPr>
          <w:p w:rsidR="2699204D" w:rsidP="2699204D" w:rsidRDefault="2699204D" w14:paraId="7052641B" w14:textId="60A262D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2023-03-31 00:00:00</w:t>
            </w:r>
          </w:p>
        </w:tc>
        <w:tc>
          <w:tcPr>
            <w:tcW w:w="1583" w:type="dxa"/>
            <w:tcBorders>
              <w:top w:val="single" w:sz="6"/>
              <w:left w:val="single" w:sz="6"/>
              <w:bottom w:val="single" w:sz="6"/>
              <w:right w:val="single" w:sz="6"/>
            </w:tcBorders>
            <w:shd w:val="clear" w:color="auto" w:fill="FFFFFF" w:themeFill="background1"/>
            <w:tcMar/>
            <w:vAlign w:val="center"/>
          </w:tcPr>
          <w:p w:rsidR="2699204D" w:rsidP="2699204D" w:rsidRDefault="2699204D" w14:paraId="0977C321" w14:textId="10FCE4EE">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0.466104</w:t>
            </w:r>
          </w:p>
        </w:tc>
        <w:tc>
          <w:tcPr>
            <w:tcW w:w="1613" w:type="dxa"/>
            <w:tcBorders>
              <w:top w:val="single" w:sz="6"/>
              <w:left w:val="single" w:sz="6"/>
              <w:bottom w:val="single" w:sz="6"/>
              <w:right w:val="single" w:sz="6"/>
            </w:tcBorders>
            <w:shd w:val="clear" w:color="auto" w:fill="FFFFFF" w:themeFill="background1"/>
            <w:tcMar/>
            <w:vAlign w:val="center"/>
          </w:tcPr>
          <w:p w:rsidR="2699204D" w:rsidP="2699204D" w:rsidRDefault="2699204D" w14:paraId="6EE168F7" w14:textId="66389E5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0.293399</w:t>
            </w:r>
          </w:p>
        </w:tc>
        <w:tc>
          <w:tcPr>
            <w:tcW w:w="2346" w:type="dxa"/>
            <w:tcBorders>
              <w:top w:val="single" w:sz="6"/>
              <w:left w:val="single" w:sz="6"/>
              <w:bottom w:val="single" w:sz="6"/>
              <w:right w:val="single" w:sz="6"/>
            </w:tcBorders>
            <w:shd w:val="clear" w:color="auto" w:fill="FFFFFF" w:themeFill="background1"/>
            <w:tcMar/>
            <w:vAlign w:val="center"/>
          </w:tcPr>
          <w:p w:rsidR="2699204D" w:rsidP="2699204D" w:rsidRDefault="2699204D" w14:paraId="429E308B" w14:textId="318A8706">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0.576324</w:t>
            </w:r>
          </w:p>
        </w:tc>
        <w:tc>
          <w:tcPr>
            <w:tcW w:w="1212" w:type="dxa"/>
            <w:tcBorders>
              <w:top w:val="single" w:sz="6"/>
              <w:left w:val="single" w:sz="6"/>
              <w:bottom w:val="single" w:sz="6"/>
              <w:right w:val="single" w:sz="6"/>
            </w:tcBorders>
            <w:shd w:val="clear" w:color="auto" w:fill="FFFFFF" w:themeFill="background1"/>
            <w:tcMar/>
            <w:vAlign w:val="center"/>
          </w:tcPr>
          <w:p w:rsidR="2699204D" w:rsidP="2699204D" w:rsidRDefault="2699204D" w14:paraId="720762A5" w14:textId="1325E411">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0.186939</w:t>
            </w:r>
          </w:p>
        </w:tc>
        <w:tc>
          <w:tcPr>
            <w:tcW w:w="1240" w:type="dxa"/>
            <w:tcBorders>
              <w:top w:val="single" w:sz="6"/>
              <w:left w:val="single" w:sz="6"/>
              <w:bottom w:val="single" w:sz="6"/>
              <w:right w:val="single" w:sz="6"/>
            </w:tcBorders>
            <w:shd w:val="clear" w:color="auto" w:fill="FFFFFF" w:themeFill="background1"/>
            <w:tcMar/>
            <w:vAlign w:val="center"/>
          </w:tcPr>
          <w:p w:rsidR="2699204D" w:rsidP="2699204D" w:rsidRDefault="2699204D" w14:paraId="2AB22913" w14:textId="684BB3EC">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0.241185</w:t>
            </w:r>
          </w:p>
        </w:tc>
      </w:tr>
      <w:tr w:rsidR="2699204D" w:rsidTr="2699204D" w14:paraId="50752ED5">
        <w:trPr>
          <w:trHeight w:val="300"/>
        </w:trPr>
        <w:tc>
          <w:tcPr>
            <w:tcW w:w="1367" w:type="dxa"/>
            <w:tcBorders>
              <w:top w:val="single" w:sz="6"/>
              <w:left w:val="single" w:sz="6"/>
              <w:bottom w:val="single" w:sz="6"/>
              <w:right w:val="single" w:sz="6"/>
            </w:tcBorders>
            <w:shd w:val="clear" w:color="auto" w:fill="FFFFFF" w:themeFill="background1"/>
            <w:tcMar/>
            <w:vAlign w:val="center"/>
          </w:tcPr>
          <w:p w:rsidR="2699204D" w:rsidP="2699204D" w:rsidRDefault="2699204D" w14:paraId="732694C8" w14:textId="30CBADC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2024-03-31 00:00:00</w:t>
            </w:r>
          </w:p>
        </w:tc>
        <w:tc>
          <w:tcPr>
            <w:tcW w:w="1583" w:type="dxa"/>
            <w:tcBorders>
              <w:top w:val="single" w:sz="6"/>
              <w:left w:val="single" w:sz="6"/>
              <w:bottom w:val="single" w:sz="6"/>
              <w:right w:val="single" w:sz="6"/>
            </w:tcBorders>
            <w:shd w:val="clear" w:color="auto" w:fill="FFFFFF" w:themeFill="background1"/>
            <w:tcMar/>
            <w:vAlign w:val="center"/>
          </w:tcPr>
          <w:p w:rsidR="2699204D" w:rsidP="2699204D" w:rsidRDefault="2699204D" w14:paraId="45EA8A49" w14:textId="45FB53D4">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0.507332</w:t>
            </w:r>
          </w:p>
        </w:tc>
        <w:tc>
          <w:tcPr>
            <w:tcW w:w="1613" w:type="dxa"/>
            <w:tcBorders>
              <w:top w:val="single" w:sz="6"/>
              <w:left w:val="single" w:sz="6"/>
              <w:bottom w:val="single" w:sz="6"/>
              <w:right w:val="single" w:sz="6"/>
            </w:tcBorders>
            <w:shd w:val="clear" w:color="auto" w:fill="FFFFFF" w:themeFill="background1"/>
            <w:tcMar/>
            <w:vAlign w:val="center"/>
          </w:tcPr>
          <w:p w:rsidR="2699204D" w:rsidP="2699204D" w:rsidRDefault="2699204D" w14:paraId="446A537A" w14:textId="357FC8B9">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0.313474</w:t>
            </w:r>
          </w:p>
        </w:tc>
        <w:tc>
          <w:tcPr>
            <w:tcW w:w="2346" w:type="dxa"/>
            <w:tcBorders>
              <w:top w:val="single" w:sz="6"/>
              <w:left w:val="single" w:sz="6"/>
              <w:bottom w:val="single" w:sz="6"/>
              <w:right w:val="single" w:sz="6"/>
            </w:tcBorders>
            <w:shd w:val="clear" w:color="auto" w:fill="FFFFFF" w:themeFill="background1"/>
            <w:tcMar/>
            <w:vAlign w:val="center"/>
          </w:tcPr>
          <w:p w:rsidR="2699204D" w:rsidP="2699204D" w:rsidRDefault="2699204D" w14:paraId="78A8B457" w14:textId="3943F97F">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0.625592</w:t>
            </w:r>
          </w:p>
        </w:tc>
        <w:tc>
          <w:tcPr>
            <w:tcW w:w="1212" w:type="dxa"/>
            <w:tcBorders>
              <w:top w:val="single" w:sz="6"/>
              <w:left w:val="single" w:sz="6"/>
              <w:bottom w:val="single" w:sz="6"/>
              <w:right w:val="single" w:sz="6"/>
            </w:tcBorders>
            <w:shd w:val="clear" w:color="auto" w:fill="FFFFFF" w:themeFill="background1"/>
            <w:tcMar/>
            <w:vAlign w:val="center"/>
          </w:tcPr>
          <w:p w:rsidR="2699204D" w:rsidP="2699204D" w:rsidRDefault="2699204D" w14:paraId="77D5B94F" w14:textId="2DA99511">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0.190574</w:t>
            </w:r>
          </w:p>
        </w:tc>
        <w:tc>
          <w:tcPr>
            <w:tcW w:w="1240" w:type="dxa"/>
            <w:tcBorders>
              <w:top w:val="single" w:sz="6"/>
              <w:left w:val="single" w:sz="6"/>
              <w:bottom w:val="single" w:sz="6"/>
              <w:right w:val="single" w:sz="6"/>
            </w:tcBorders>
            <w:shd w:val="clear" w:color="auto" w:fill="FFFFFF" w:themeFill="background1"/>
            <w:tcMar/>
            <w:vAlign w:val="center"/>
          </w:tcPr>
          <w:p w:rsidR="2699204D" w:rsidP="2699204D" w:rsidRDefault="2699204D" w14:paraId="2B57D771" w14:textId="06351B4C">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0.246686</w:t>
            </w:r>
          </w:p>
        </w:tc>
      </w:tr>
      <w:tr w:rsidR="2699204D" w:rsidTr="2699204D" w14:paraId="099BA7E9">
        <w:trPr>
          <w:trHeight w:val="300"/>
        </w:trPr>
        <w:tc>
          <w:tcPr>
            <w:tcW w:w="1367" w:type="dxa"/>
            <w:tcBorders>
              <w:top w:val="single" w:sz="6"/>
              <w:left w:val="single" w:sz="6"/>
              <w:bottom w:val="single" w:sz="6"/>
              <w:right w:val="single" w:sz="6"/>
            </w:tcBorders>
            <w:shd w:val="clear" w:color="auto" w:fill="FFFFFF" w:themeFill="background1"/>
            <w:tcMar/>
            <w:vAlign w:val="center"/>
          </w:tcPr>
          <w:p w:rsidR="2699204D" w:rsidP="2699204D" w:rsidRDefault="2699204D" w14:paraId="6ED888BD" w14:textId="41897334">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2025-03-31 00:00:00</w:t>
            </w:r>
          </w:p>
        </w:tc>
        <w:tc>
          <w:tcPr>
            <w:tcW w:w="1583" w:type="dxa"/>
            <w:tcBorders>
              <w:top w:val="single" w:sz="6"/>
              <w:left w:val="single" w:sz="6"/>
              <w:bottom w:val="single" w:sz="6"/>
              <w:right w:val="single" w:sz="6"/>
            </w:tcBorders>
            <w:shd w:val="clear" w:color="auto" w:fill="FFFFFF" w:themeFill="background1"/>
            <w:tcMar/>
            <w:vAlign w:val="center"/>
          </w:tcPr>
          <w:p w:rsidR="2699204D" w:rsidP="2699204D" w:rsidRDefault="2699204D" w14:paraId="2B2CB388" w14:textId="7CE18BD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0.5124</w:t>
            </w:r>
          </w:p>
        </w:tc>
        <w:tc>
          <w:tcPr>
            <w:tcW w:w="1613" w:type="dxa"/>
            <w:tcBorders>
              <w:top w:val="single" w:sz="6"/>
              <w:left w:val="single" w:sz="6"/>
              <w:bottom w:val="single" w:sz="6"/>
              <w:right w:val="single" w:sz="6"/>
            </w:tcBorders>
            <w:shd w:val="clear" w:color="auto" w:fill="FFFFFF" w:themeFill="background1"/>
            <w:tcMar/>
            <w:vAlign w:val="center"/>
          </w:tcPr>
          <w:p w:rsidR="2699204D" w:rsidP="2699204D" w:rsidRDefault="2699204D" w14:paraId="768B7184" w14:textId="0AC028C4">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0.304162</w:t>
            </w:r>
          </w:p>
        </w:tc>
        <w:tc>
          <w:tcPr>
            <w:tcW w:w="2346" w:type="dxa"/>
            <w:tcBorders>
              <w:top w:val="single" w:sz="6"/>
              <w:left w:val="single" w:sz="6"/>
              <w:bottom w:val="single" w:sz="6"/>
              <w:right w:val="single" w:sz="6"/>
            </w:tcBorders>
            <w:shd w:val="clear" w:color="auto" w:fill="FFFFFF" w:themeFill="background1"/>
            <w:tcMar/>
            <w:vAlign w:val="center"/>
          </w:tcPr>
          <w:p w:rsidR="2699204D" w:rsidP="2699204D" w:rsidRDefault="2699204D" w14:paraId="540AFED4" w14:textId="02C33365">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0.620165</w:t>
            </w:r>
          </w:p>
        </w:tc>
        <w:tc>
          <w:tcPr>
            <w:tcW w:w="1212" w:type="dxa"/>
            <w:tcBorders>
              <w:top w:val="single" w:sz="6"/>
              <w:left w:val="single" w:sz="6"/>
              <w:bottom w:val="single" w:sz="6"/>
              <w:right w:val="single" w:sz="6"/>
            </w:tcBorders>
            <w:shd w:val="clear" w:color="auto" w:fill="FFFFFF" w:themeFill="background1"/>
            <w:tcMar/>
            <w:vAlign w:val="center"/>
          </w:tcPr>
          <w:p w:rsidR="2699204D" w:rsidP="2699204D" w:rsidRDefault="2699204D" w14:paraId="5E24A8D2" w14:textId="524224F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0.190162</w:t>
            </w:r>
          </w:p>
        </w:tc>
        <w:tc>
          <w:tcPr>
            <w:tcW w:w="1240" w:type="dxa"/>
            <w:tcBorders>
              <w:top w:val="single" w:sz="6"/>
              <w:left w:val="single" w:sz="6"/>
              <w:bottom w:val="single" w:sz="6"/>
              <w:right w:val="single" w:sz="6"/>
            </w:tcBorders>
            <w:shd w:val="clear" w:color="auto" w:fill="FFFFFF" w:themeFill="background1"/>
            <w:tcMar/>
            <w:vAlign w:val="center"/>
          </w:tcPr>
          <w:p w:rsidR="2699204D" w:rsidP="2699204D" w:rsidRDefault="2699204D" w14:paraId="7C5625F2" w14:textId="7006E8D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0.243976</w:t>
            </w:r>
          </w:p>
        </w:tc>
      </w:tr>
    </w:tbl>
    <w:p xmlns:wp14="http://schemas.microsoft.com/office/word/2010/wordml" w:rsidP="2699204D" wp14:paraId="52BEC133" wp14:textId="3DDDDE20">
      <w:pPr>
        <w:rPr>
          <w:rFonts w:ascii="Aptos" w:hAnsi="Aptos"/>
          <w:b w:val="0"/>
          <w:bCs w:val="0"/>
          <w:i w:val="0"/>
          <w:iCs w:val="0"/>
          <w:caps w:val="0"/>
          <w:smallCaps w:val="0"/>
          <w:noProof w:val="0"/>
          <w:sz w:val="24"/>
          <w:szCs w:val="24"/>
          <w:lang w:val="en-US"/>
        </w:rPr>
      </w:pPr>
      <w:r w:rsidRPr="2699204D" w:rsidR="0FB79DD2">
        <w:rPr>
          <w:rFonts w:ascii="Aptos" w:hAnsi="Aptos"/>
          <w:b w:val="0"/>
          <w:bCs w:val="0"/>
          <w:i w:val="0"/>
          <w:iCs w:val="0"/>
          <w:caps w:val="0"/>
          <w:smallCaps w:val="0"/>
          <w:noProof w:val="0"/>
          <w:sz w:val="24"/>
          <w:szCs w:val="24"/>
          <w:lang w:val="en-US"/>
        </w:rPr>
        <w:t>TCS.NS demonstrates exceptional profitability. The Return on Equity (RoE) is consistently above 40%, indicating very high returns on shareholder investment. The Return on Assets (RoA) is also strong, consistently above 27%, showcasing efficient asset utilization. The Return on Capital Employed (RoCE) is remarkably high, exceeding 50%, which signifies excellent efficiency in capital utilization. Both Net Profit Margin and Operating Margin are consistently high, well above 18% and 24% respectively, indicating strong profitability and cost efficiency.</w:t>
      </w:r>
    </w:p>
    <w:p xmlns:wp14="http://schemas.microsoft.com/office/word/2010/wordml" w:rsidP="2699204D" wp14:paraId="6224E359" wp14:textId="6462AB79">
      <w:pPr>
        <w:pStyle w:val="Normal"/>
        <w:rPr>
          <w:rFonts w:ascii="Aptos" w:hAnsi="Aptos"/>
          <w:b w:val="1"/>
          <w:bCs w:val="1"/>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Efficiency Ratios</w:t>
      </w:r>
    </w:p>
    <w:tbl>
      <w:tblPr>
        <w:tblStyle w:val="TableNormal"/>
        <w:bidiVisual w:val="0"/>
        <w:tblW w:w="0" w:type="auto"/>
        <w:tblLayout w:type="fixed"/>
        <w:tblLook w:val="06A0" w:firstRow="1" w:lastRow="0" w:firstColumn="1" w:lastColumn="0" w:noHBand="1" w:noVBand="1"/>
      </w:tblPr>
      <w:tblGrid>
        <w:gridCol w:w="2904"/>
        <w:gridCol w:w="2418"/>
        <w:gridCol w:w="2844"/>
      </w:tblGrid>
      <w:tr w:rsidR="2699204D" w:rsidTr="2699204D" w14:paraId="12EDA55B">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RDefault="2699204D" w14:paraId="3D701644" w14:textId="2A055A23"/>
        </w:tc>
        <w:tc>
          <w:tcPr>
            <w:tcW w:w="2418" w:type="dxa"/>
            <w:tcBorders>
              <w:top w:val="single" w:sz="6"/>
              <w:left w:val="single" w:sz="6"/>
              <w:bottom w:val="single" w:sz="6"/>
              <w:right w:val="single" w:sz="6"/>
            </w:tcBorders>
            <w:shd w:val="clear" w:color="auto" w:fill="FFFFFF" w:themeFill="background1"/>
            <w:tcMar/>
            <w:vAlign w:val="center"/>
          </w:tcPr>
          <w:p w:rsidR="2699204D" w:rsidP="2699204D" w:rsidRDefault="2699204D" w14:paraId="75E69A2A" w14:textId="0E3F47C6">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Asset Turnover</w:t>
            </w:r>
          </w:p>
        </w:tc>
        <w:tc>
          <w:tcPr>
            <w:tcW w:w="2844" w:type="dxa"/>
            <w:tcBorders>
              <w:top w:val="single" w:sz="6"/>
              <w:left w:val="single" w:sz="6"/>
              <w:bottom w:val="single" w:sz="6"/>
              <w:right w:val="single" w:sz="6"/>
            </w:tcBorders>
            <w:shd w:val="clear" w:color="auto" w:fill="FFFFFF" w:themeFill="background1"/>
            <w:tcMar/>
            <w:vAlign w:val="center"/>
          </w:tcPr>
          <w:p w:rsidR="2699204D" w:rsidP="2699204D" w:rsidRDefault="2699204D" w14:paraId="7F38E7BE" w14:textId="374C4D72">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Inventory Turnover</w:t>
            </w:r>
          </w:p>
        </w:tc>
      </w:tr>
      <w:tr w:rsidR="2699204D" w:rsidTr="2699204D" w14:paraId="22216FAA">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0407E4BF" w14:textId="4F0C3DDD">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2021-03-31 00:00:00</w:t>
            </w:r>
          </w:p>
        </w:tc>
        <w:tc>
          <w:tcPr>
            <w:tcW w:w="2418" w:type="dxa"/>
            <w:tcBorders>
              <w:top w:val="single" w:sz="6"/>
              <w:left w:val="single" w:sz="6"/>
              <w:bottom w:val="single" w:sz="6"/>
              <w:right w:val="single" w:sz="6"/>
            </w:tcBorders>
            <w:shd w:val="clear" w:color="auto" w:fill="FFFFFF" w:themeFill="background1"/>
            <w:tcMar/>
            <w:vAlign w:val="center"/>
          </w:tcPr>
          <w:p w:rsidR="2699204D" w:rsidP="2699204D" w:rsidRDefault="2699204D" w14:paraId="6064D799" w14:textId="1B1FE591">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2844" w:type="dxa"/>
            <w:tcBorders>
              <w:top w:val="single" w:sz="6"/>
              <w:left w:val="single" w:sz="6"/>
              <w:bottom w:val="single" w:sz="6"/>
              <w:right w:val="single" w:sz="6"/>
            </w:tcBorders>
            <w:shd w:val="clear" w:color="auto" w:fill="FFFFFF" w:themeFill="background1"/>
            <w:tcMar/>
            <w:vAlign w:val="center"/>
          </w:tcPr>
          <w:p w:rsidR="2699204D" w:rsidP="2699204D" w:rsidRDefault="2699204D" w14:paraId="60E446C8" w14:textId="4265CA97">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r>
      <w:tr w:rsidR="2699204D" w:rsidTr="2699204D" w14:paraId="0BF9CA77">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239E4CCD" w14:textId="0A67A96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2022-03-31 00:00:00</w:t>
            </w:r>
          </w:p>
        </w:tc>
        <w:tc>
          <w:tcPr>
            <w:tcW w:w="2418" w:type="dxa"/>
            <w:tcBorders>
              <w:top w:val="single" w:sz="6"/>
              <w:left w:val="single" w:sz="6"/>
              <w:bottom w:val="single" w:sz="6"/>
              <w:right w:val="single" w:sz="6"/>
            </w:tcBorders>
            <w:shd w:val="clear" w:color="auto" w:fill="FFFFFF" w:themeFill="background1"/>
            <w:tcMar/>
            <w:vAlign w:val="center"/>
          </w:tcPr>
          <w:p w:rsidR="2699204D" w:rsidP="2699204D" w:rsidRDefault="2699204D" w14:paraId="0BFC9C07" w14:textId="1F84A60E">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1.35502</w:t>
            </w:r>
          </w:p>
        </w:tc>
        <w:tc>
          <w:tcPr>
            <w:tcW w:w="2844" w:type="dxa"/>
            <w:tcBorders>
              <w:top w:val="single" w:sz="6"/>
              <w:left w:val="single" w:sz="6"/>
              <w:bottom w:val="single" w:sz="6"/>
              <w:right w:val="single" w:sz="6"/>
            </w:tcBorders>
            <w:shd w:val="clear" w:color="auto" w:fill="FFFFFF" w:themeFill="background1"/>
            <w:tcMar/>
            <w:vAlign w:val="center"/>
          </w:tcPr>
          <w:p w:rsidR="2699204D" w:rsidP="2699204D" w:rsidRDefault="2699204D" w14:paraId="3CF248FC" w14:textId="23B8591B">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r>
      <w:tr w:rsidR="2699204D" w:rsidTr="2699204D" w14:paraId="35764639">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1F20DFF5" w14:textId="4C1B347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2023-03-31 00:00:00</w:t>
            </w:r>
          </w:p>
        </w:tc>
        <w:tc>
          <w:tcPr>
            <w:tcW w:w="2418" w:type="dxa"/>
            <w:tcBorders>
              <w:top w:val="single" w:sz="6"/>
              <w:left w:val="single" w:sz="6"/>
              <w:bottom w:val="single" w:sz="6"/>
              <w:right w:val="single" w:sz="6"/>
            </w:tcBorders>
            <w:shd w:val="clear" w:color="auto" w:fill="FFFFFF" w:themeFill="background1"/>
            <w:tcMar/>
            <w:vAlign w:val="center"/>
          </w:tcPr>
          <w:p w:rsidR="2699204D" w:rsidP="2699204D" w:rsidRDefault="2699204D" w14:paraId="6993B657" w14:textId="71353747">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1.56948</w:t>
            </w:r>
          </w:p>
        </w:tc>
        <w:tc>
          <w:tcPr>
            <w:tcW w:w="2844" w:type="dxa"/>
            <w:tcBorders>
              <w:top w:val="single" w:sz="6"/>
              <w:left w:val="single" w:sz="6"/>
              <w:bottom w:val="single" w:sz="6"/>
              <w:right w:val="single" w:sz="6"/>
            </w:tcBorders>
            <w:shd w:val="clear" w:color="auto" w:fill="FFFFFF" w:themeFill="background1"/>
            <w:tcMar/>
            <w:vAlign w:val="center"/>
          </w:tcPr>
          <w:p w:rsidR="2699204D" w:rsidP="2699204D" w:rsidRDefault="2699204D" w14:paraId="506E3C1B" w14:textId="14716D18">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4989.96</w:t>
            </w:r>
          </w:p>
        </w:tc>
      </w:tr>
      <w:tr w:rsidR="2699204D" w:rsidTr="2699204D" w14:paraId="1AB01549">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431E83C6" w14:textId="7F582A1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2024-03-31 00:00:00</w:t>
            </w:r>
          </w:p>
        </w:tc>
        <w:tc>
          <w:tcPr>
            <w:tcW w:w="2418" w:type="dxa"/>
            <w:tcBorders>
              <w:top w:val="single" w:sz="6"/>
              <w:left w:val="single" w:sz="6"/>
              <w:bottom w:val="single" w:sz="6"/>
              <w:right w:val="single" w:sz="6"/>
            </w:tcBorders>
            <w:shd w:val="clear" w:color="auto" w:fill="FFFFFF" w:themeFill="background1"/>
            <w:tcMar/>
            <w:vAlign w:val="center"/>
          </w:tcPr>
          <w:p w:rsidR="2699204D" w:rsidP="2699204D" w:rsidRDefault="2699204D" w14:paraId="050A881D" w14:textId="20663B7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1.64489</w:t>
            </w:r>
          </w:p>
        </w:tc>
        <w:tc>
          <w:tcPr>
            <w:tcW w:w="2844" w:type="dxa"/>
            <w:tcBorders>
              <w:top w:val="single" w:sz="6"/>
              <w:left w:val="single" w:sz="6"/>
              <w:bottom w:val="single" w:sz="6"/>
              <w:right w:val="single" w:sz="6"/>
            </w:tcBorders>
            <w:shd w:val="clear" w:color="auto" w:fill="FFFFFF" w:themeFill="background1"/>
            <w:tcMar/>
            <w:vAlign w:val="center"/>
          </w:tcPr>
          <w:p w:rsidR="2699204D" w:rsidP="2699204D" w:rsidRDefault="2699204D" w14:paraId="5BDED389" w14:textId="2812802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4745.39</w:t>
            </w:r>
          </w:p>
        </w:tc>
      </w:tr>
      <w:tr w:rsidR="2699204D" w:rsidTr="2699204D" w14:paraId="060AF254">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66A63BDE" w14:textId="6DBE8E6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2025-03-31 00:00:00</w:t>
            </w:r>
          </w:p>
        </w:tc>
        <w:tc>
          <w:tcPr>
            <w:tcW w:w="2418" w:type="dxa"/>
            <w:tcBorders>
              <w:top w:val="single" w:sz="6"/>
              <w:left w:val="single" w:sz="6"/>
              <w:bottom w:val="single" w:sz="6"/>
              <w:right w:val="single" w:sz="6"/>
            </w:tcBorders>
            <w:shd w:val="clear" w:color="auto" w:fill="FFFFFF" w:themeFill="background1"/>
            <w:tcMar/>
            <w:vAlign w:val="center"/>
          </w:tcPr>
          <w:p w:rsidR="2699204D" w:rsidP="2699204D" w:rsidRDefault="2699204D" w14:paraId="46772052" w14:textId="518B13B1">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1.59948</w:t>
            </w:r>
          </w:p>
        </w:tc>
        <w:tc>
          <w:tcPr>
            <w:tcW w:w="2844" w:type="dxa"/>
            <w:tcBorders>
              <w:top w:val="single" w:sz="6"/>
              <w:left w:val="single" w:sz="6"/>
              <w:bottom w:val="single" w:sz="6"/>
              <w:right w:val="single" w:sz="6"/>
            </w:tcBorders>
            <w:shd w:val="clear" w:color="auto" w:fill="FFFFFF" w:themeFill="background1"/>
            <w:tcMar/>
            <w:vAlign w:val="center"/>
          </w:tcPr>
          <w:p w:rsidR="2699204D" w:rsidP="2699204D" w:rsidRDefault="2699204D" w14:paraId="16D827DB" w14:textId="5588A2EF">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5946.24</w:t>
            </w:r>
          </w:p>
        </w:tc>
      </w:tr>
    </w:tbl>
    <w:p xmlns:wp14="http://schemas.microsoft.com/office/word/2010/wordml" w:rsidP="2699204D" wp14:paraId="7717BBC1" wp14:textId="0D110EB0">
      <w:pPr>
        <w:rPr>
          <w:rFonts w:ascii="Aptos" w:hAnsi="Aptos"/>
          <w:b w:val="0"/>
          <w:bCs w:val="0"/>
          <w:i w:val="0"/>
          <w:iCs w:val="0"/>
          <w:caps w:val="0"/>
          <w:smallCaps w:val="0"/>
          <w:noProof w:val="0"/>
          <w:sz w:val="24"/>
          <w:szCs w:val="24"/>
          <w:lang w:val="en-US"/>
        </w:rPr>
      </w:pPr>
      <w:r w:rsidRPr="2699204D" w:rsidR="0FB79DD2">
        <w:rPr>
          <w:rFonts w:ascii="Aptos" w:hAnsi="Aptos"/>
          <w:b w:val="0"/>
          <w:bCs w:val="0"/>
          <w:i w:val="0"/>
          <w:iCs w:val="0"/>
          <w:caps w:val="0"/>
          <w:smallCaps w:val="0"/>
          <w:noProof w:val="0"/>
          <w:sz w:val="24"/>
          <w:szCs w:val="24"/>
          <w:lang w:val="en-US"/>
        </w:rPr>
        <w:t>The Asset Turnover Ratio for TCS.NS has shown an increasing trend, indicating that the company is becoming more effective at generating sales from its assets. The Inventory Turnover is exceptionally high, consistently in the thousands, which is expected for a service-based IT company with minimal physical inventory.</w:t>
      </w:r>
    </w:p>
    <w:p xmlns:wp14="http://schemas.microsoft.com/office/word/2010/wordml" w:rsidP="2699204D" wp14:paraId="26D12AF6" wp14:textId="3F0D8174">
      <w:pPr>
        <w:pStyle w:val="Normal"/>
        <w:rPr>
          <w:rFonts w:ascii="Aptos" w:hAnsi="Aptos"/>
          <w:b w:val="1"/>
          <w:bCs w:val="1"/>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Valuation Ratios</w:t>
      </w:r>
    </w:p>
    <w:tbl>
      <w:tblPr>
        <w:tblStyle w:val="TableNormal"/>
        <w:bidiVisual w:val="0"/>
        <w:tblW w:w="0" w:type="auto"/>
        <w:tblLayout w:type="fixed"/>
        <w:tblLook w:val="06A0" w:firstRow="1" w:lastRow="0" w:firstColumn="1" w:lastColumn="0" w:noHBand="1" w:noVBand="1"/>
      </w:tblPr>
      <w:tblGrid>
        <w:gridCol w:w="1966"/>
        <w:gridCol w:w="2257"/>
        <w:gridCol w:w="1955"/>
        <w:gridCol w:w="1945"/>
        <w:gridCol w:w="1237"/>
      </w:tblGrid>
      <w:tr w:rsidR="2699204D" w:rsidTr="2699204D" w14:paraId="3452269A">
        <w:trPr>
          <w:trHeight w:val="300"/>
        </w:trPr>
        <w:tc>
          <w:tcPr>
            <w:tcW w:w="1966" w:type="dxa"/>
            <w:tcBorders>
              <w:top w:val="single" w:sz="6"/>
              <w:left w:val="single" w:sz="6"/>
              <w:bottom w:val="single" w:sz="6"/>
              <w:right w:val="single" w:sz="6"/>
            </w:tcBorders>
            <w:shd w:val="clear" w:color="auto" w:fill="FFFFFF" w:themeFill="background1"/>
            <w:tcMar/>
            <w:vAlign w:val="center"/>
          </w:tcPr>
          <w:p w:rsidR="2699204D" w:rsidRDefault="2699204D" w14:paraId="021177D2" w14:textId="5F110E15"/>
        </w:tc>
        <w:tc>
          <w:tcPr>
            <w:tcW w:w="2257" w:type="dxa"/>
            <w:tcBorders>
              <w:top w:val="single" w:sz="6"/>
              <w:left w:val="single" w:sz="6"/>
              <w:bottom w:val="single" w:sz="6"/>
              <w:right w:val="single" w:sz="6"/>
            </w:tcBorders>
            <w:shd w:val="clear" w:color="auto" w:fill="FFFFFF" w:themeFill="background1"/>
            <w:tcMar/>
            <w:vAlign w:val="center"/>
          </w:tcPr>
          <w:p w:rsidR="2699204D" w:rsidP="2699204D" w:rsidRDefault="2699204D" w14:paraId="7F60F820" w14:textId="18FB4F48">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Price-to-Earnings (P/E)</w:t>
            </w:r>
          </w:p>
        </w:tc>
        <w:tc>
          <w:tcPr>
            <w:tcW w:w="1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79B3E57E" w14:textId="35F1AEDD">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Price-to-Sales (P/S)</w:t>
            </w:r>
          </w:p>
        </w:tc>
        <w:tc>
          <w:tcPr>
            <w:tcW w:w="1945" w:type="dxa"/>
            <w:tcBorders>
              <w:top w:val="single" w:sz="6"/>
              <w:left w:val="single" w:sz="6"/>
              <w:bottom w:val="single" w:sz="6"/>
              <w:right w:val="single" w:sz="6"/>
            </w:tcBorders>
            <w:shd w:val="clear" w:color="auto" w:fill="FFFFFF" w:themeFill="background1"/>
            <w:tcMar/>
            <w:vAlign w:val="center"/>
          </w:tcPr>
          <w:p w:rsidR="2699204D" w:rsidP="2699204D" w:rsidRDefault="2699204D" w14:paraId="61D21394" w14:textId="24849DF6">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Price-to-Book (P/B)</w:t>
            </w:r>
          </w:p>
        </w:tc>
        <w:tc>
          <w:tcPr>
            <w:tcW w:w="1237" w:type="dxa"/>
            <w:tcBorders>
              <w:top w:val="single" w:sz="6"/>
              <w:left w:val="single" w:sz="6"/>
              <w:bottom w:val="single" w:sz="6"/>
              <w:right w:val="single" w:sz="6"/>
            </w:tcBorders>
            <w:shd w:val="clear" w:color="auto" w:fill="FFFFFF" w:themeFill="background1"/>
            <w:tcMar/>
            <w:vAlign w:val="center"/>
          </w:tcPr>
          <w:p w:rsidR="2699204D" w:rsidP="2699204D" w:rsidRDefault="2699204D" w14:paraId="2C7A986A" w14:textId="73583C18">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EV/EBIDTA</w:t>
            </w:r>
          </w:p>
        </w:tc>
      </w:tr>
      <w:tr w:rsidR="2699204D" w:rsidTr="2699204D" w14:paraId="60C490D7">
        <w:trPr>
          <w:trHeight w:val="300"/>
        </w:trPr>
        <w:tc>
          <w:tcPr>
            <w:tcW w:w="1966" w:type="dxa"/>
            <w:tcBorders>
              <w:top w:val="single" w:sz="6"/>
              <w:left w:val="single" w:sz="6"/>
              <w:bottom w:val="single" w:sz="6"/>
              <w:right w:val="single" w:sz="6"/>
            </w:tcBorders>
            <w:shd w:val="clear" w:color="auto" w:fill="FFFFFF" w:themeFill="background1"/>
            <w:tcMar/>
            <w:vAlign w:val="center"/>
          </w:tcPr>
          <w:p w:rsidR="2699204D" w:rsidP="2699204D" w:rsidRDefault="2699204D" w14:paraId="03A5B1C5" w14:textId="4771C23A">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2021-03-31 00:00:00</w:t>
            </w:r>
          </w:p>
        </w:tc>
        <w:tc>
          <w:tcPr>
            <w:tcW w:w="2257" w:type="dxa"/>
            <w:tcBorders>
              <w:top w:val="single" w:sz="6"/>
              <w:left w:val="single" w:sz="6"/>
              <w:bottom w:val="single" w:sz="6"/>
              <w:right w:val="single" w:sz="6"/>
            </w:tcBorders>
            <w:shd w:val="clear" w:color="auto" w:fill="FFFFFF" w:themeFill="background1"/>
            <w:tcMar/>
            <w:vAlign w:val="center"/>
          </w:tcPr>
          <w:p w:rsidR="2699204D" w:rsidP="2699204D" w:rsidRDefault="2699204D" w14:paraId="33902FC3" w14:textId="0AEEFFF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23.2934</w:t>
            </w:r>
          </w:p>
        </w:tc>
        <w:tc>
          <w:tcPr>
            <w:tcW w:w="1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02A8D6A5" w14:textId="02D3433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1945" w:type="dxa"/>
            <w:tcBorders>
              <w:top w:val="single" w:sz="6"/>
              <w:left w:val="single" w:sz="6"/>
              <w:bottom w:val="single" w:sz="6"/>
              <w:right w:val="single" w:sz="6"/>
            </w:tcBorders>
            <w:shd w:val="clear" w:color="auto" w:fill="FFFFFF" w:themeFill="background1"/>
            <w:tcMar/>
            <w:vAlign w:val="center"/>
          </w:tcPr>
          <w:p w:rsidR="2699204D" w:rsidP="2699204D" w:rsidRDefault="2699204D" w14:paraId="62AF8080" w14:textId="2473B17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1237" w:type="dxa"/>
            <w:tcBorders>
              <w:top w:val="single" w:sz="6"/>
              <w:left w:val="single" w:sz="6"/>
              <w:bottom w:val="single" w:sz="6"/>
              <w:right w:val="single" w:sz="6"/>
            </w:tcBorders>
            <w:shd w:val="clear" w:color="auto" w:fill="FFFFFF" w:themeFill="background1"/>
            <w:tcMar/>
            <w:vAlign w:val="center"/>
          </w:tcPr>
          <w:p w:rsidR="2699204D" w:rsidP="2699204D" w:rsidRDefault="2699204D" w14:paraId="0F78BE51" w14:textId="13908E5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r>
      <w:tr w:rsidR="2699204D" w:rsidTr="2699204D" w14:paraId="57E42207">
        <w:trPr>
          <w:trHeight w:val="300"/>
        </w:trPr>
        <w:tc>
          <w:tcPr>
            <w:tcW w:w="1966" w:type="dxa"/>
            <w:tcBorders>
              <w:top w:val="single" w:sz="6"/>
              <w:left w:val="single" w:sz="6"/>
              <w:bottom w:val="single" w:sz="6"/>
              <w:right w:val="single" w:sz="6"/>
            </w:tcBorders>
            <w:shd w:val="clear" w:color="auto" w:fill="FFFFFF" w:themeFill="background1"/>
            <w:tcMar/>
            <w:vAlign w:val="center"/>
          </w:tcPr>
          <w:p w:rsidR="2699204D" w:rsidP="2699204D" w:rsidRDefault="2699204D" w14:paraId="34DDB4B7" w14:textId="77CC06BC">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2022-03-31 00:00:00</w:t>
            </w:r>
          </w:p>
        </w:tc>
        <w:tc>
          <w:tcPr>
            <w:tcW w:w="2257" w:type="dxa"/>
            <w:tcBorders>
              <w:top w:val="single" w:sz="6"/>
              <w:left w:val="single" w:sz="6"/>
              <w:bottom w:val="single" w:sz="6"/>
              <w:right w:val="single" w:sz="6"/>
            </w:tcBorders>
            <w:shd w:val="clear" w:color="auto" w:fill="FFFFFF" w:themeFill="background1"/>
            <w:tcMar/>
            <w:vAlign w:val="center"/>
          </w:tcPr>
          <w:p w:rsidR="2699204D" w:rsidP="2699204D" w:rsidRDefault="2699204D" w14:paraId="72E50EF7" w14:textId="5DC19CA6">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23.2934</w:t>
            </w:r>
          </w:p>
        </w:tc>
        <w:tc>
          <w:tcPr>
            <w:tcW w:w="1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09883A30" w14:textId="77E2EE0B">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5.98656</w:t>
            </w:r>
          </w:p>
        </w:tc>
        <w:tc>
          <w:tcPr>
            <w:tcW w:w="1945" w:type="dxa"/>
            <w:tcBorders>
              <w:top w:val="single" w:sz="6"/>
              <w:left w:val="single" w:sz="6"/>
              <w:bottom w:val="single" w:sz="6"/>
              <w:right w:val="single" w:sz="6"/>
            </w:tcBorders>
            <w:shd w:val="clear" w:color="auto" w:fill="FFFFFF" w:themeFill="background1"/>
            <w:tcMar/>
            <w:vAlign w:val="center"/>
          </w:tcPr>
          <w:p w:rsidR="2699204D" w:rsidP="2699204D" w:rsidRDefault="2699204D" w14:paraId="5AAFE0CA" w14:textId="4090B347">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12.8782</w:t>
            </w:r>
          </w:p>
        </w:tc>
        <w:tc>
          <w:tcPr>
            <w:tcW w:w="1237" w:type="dxa"/>
            <w:tcBorders>
              <w:top w:val="single" w:sz="6"/>
              <w:left w:val="single" w:sz="6"/>
              <w:bottom w:val="single" w:sz="6"/>
              <w:right w:val="single" w:sz="6"/>
            </w:tcBorders>
            <w:shd w:val="clear" w:color="auto" w:fill="FFFFFF" w:themeFill="background1"/>
            <w:tcMar/>
            <w:vAlign w:val="center"/>
          </w:tcPr>
          <w:p w:rsidR="2699204D" w:rsidP="2699204D" w:rsidRDefault="2699204D" w14:paraId="5D844F7A" w14:textId="1EADF678">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23.5307</w:t>
            </w:r>
          </w:p>
        </w:tc>
      </w:tr>
      <w:tr w:rsidR="2699204D" w:rsidTr="2699204D" w14:paraId="70F5148F">
        <w:trPr>
          <w:trHeight w:val="300"/>
        </w:trPr>
        <w:tc>
          <w:tcPr>
            <w:tcW w:w="1966" w:type="dxa"/>
            <w:tcBorders>
              <w:top w:val="single" w:sz="6"/>
              <w:left w:val="single" w:sz="6"/>
              <w:bottom w:val="single" w:sz="6"/>
              <w:right w:val="single" w:sz="6"/>
            </w:tcBorders>
            <w:shd w:val="clear" w:color="auto" w:fill="FFFFFF" w:themeFill="background1"/>
            <w:tcMar/>
            <w:vAlign w:val="center"/>
          </w:tcPr>
          <w:p w:rsidR="2699204D" w:rsidP="2699204D" w:rsidRDefault="2699204D" w14:paraId="307D3D11" w14:textId="298EE03D">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2023-03-31 00:00:00</w:t>
            </w:r>
          </w:p>
        </w:tc>
        <w:tc>
          <w:tcPr>
            <w:tcW w:w="2257" w:type="dxa"/>
            <w:tcBorders>
              <w:top w:val="single" w:sz="6"/>
              <w:left w:val="single" w:sz="6"/>
              <w:bottom w:val="single" w:sz="6"/>
              <w:right w:val="single" w:sz="6"/>
            </w:tcBorders>
            <w:shd w:val="clear" w:color="auto" w:fill="FFFFFF" w:themeFill="background1"/>
            <w:tcMar/>
            <w:vAlign w:val="center"/>
          </w:tcPr>
          <w:p w:rsidR="2699204D" w:rsidP="2699204D" w:rsidRDefault="2699204D" w14:paraId="51678336" w14:textId="32EC2DA9">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23.2934</w:t>
            </w:r>
          </w:p>
        </w:tc>
        <w:tc>
          <w:tcPr>
            <w:tcW w:w="1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0CEE7FD6" w14:textId="5508A41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5.09162</w:t>
            </w:r>
          </w:p>
        </w:tc>
        <w:tc>
          <w:tcPr>
            <w:tcW w:w="1945" w:type="dxa"/>
            <w:tcBorders>
              <w:top w:val="single" w:sz="6"/>
              <w:left w:val="single" w:sz="6"/>
              <w:bottom w:val="single" w:sz="6"/>
              <w:right w:val="single" w:sz="6"/>
            </w:tcBorders>
            <w:shd w:val="clear" w:color="auto" w:fill="FFFFFF" w:themeFill="background1"/>
            <w:tcMar/>
            <w:vAlign w:val="center"/>
          </w:tcPr>
          <w:p w:rsidR="2699204D" w:rsidP="2699204D" w:rsidRDefault="2699204D" w14:paraId="0E55C42B" w14:textId="64FD468E">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12.6952</w:t>
            </w:r>
          </w:p>
        </w:tc>
        <w:tc>
          <w:tcPr>
            <w:tcW w:w="1237" w:type="dxa"/>
            <w:tcBorders>
              <w:top w:val="single" w:sz="6"/>
              <w:left w:val="single" w:sz="6"/>
              <w:bottom w:val="single" w:sz="6"/>
              <w:right w:val="single" w:sz="6"/>
            </w:tcBorders>
            <w:shd w:val="clear" w:color="auto" w:fill="FFFFFF" w:themeFill="background1"/>
            <w:tcMar/>
            <w:vAlign w:val="center"/>
          </w:tcPr>
          <w:p w:rsidR="2699204D" w:rsidP="2699204D" w:rsidRDefault="2699204D" w14:paraId="6E141C62" w14:textId="534BACF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21.1214</w:t>
            </w:r>
          </w:p>
        </w:tc>
      </w:tr>
      <w:tr w:rsidR="2699204D" w:rsidTr="2699204D" w14:paraId="3D23C334">
        <w:trPr>
          <w:trHeight w:val="300"/>
        </w:trPr>
        <w:tc>
          <w:tcPr>
            <w:tcW w:w="1966" w:type="dxa"/>
            <w:tcBorders>
              <w:top w:val="single" w:sz="6"/>
              <w:left w:val="single" w:sz="6"/>
              <w:bottom w:val="single" w:sz="6"/>
              <w:right w:val="single" w:sz="6"/>
            </w:tcBorders>
            <w:shd w:val="clear" w:color="auto" w:fill="FFFFFF" w:themeFill="background1"/>
            <w:tcMar/>
            <w:vAlign w:val="center"/>
          </w:tcPr>
          <w:p w:rsidR="2699204D" w:rsidP="2699204D" w:rsidRDefault="2699204D" w14:paraId="73CB3B59" w14:textId="5CFCE1EA">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2024-03-31 00:00:00</w:t>
            </w:r>
          </w:p>
        </w:tc>
        <w:tc>
          <w:tcPr>
            <w:tcW w:w="2257" w:type="dxa"/>
            <w:tcBorders>
              <w:top w:val="single" w:sz="6"/>
              <w:left w:val="single" w:sz="6"/>
              <w:bottom w:val="single" w:sz="6"/>
              <w:right w:val="single" w:sz="6"/>
            </w:tcBorders>
            <w:shd w:val="clear" w:color="auto" w:fill="FFFFFF" w:themeFill="background1"/>
            <w:tcMar/>
            <w:vAlign w:val="center"/>
          </w:tcPr>
          <w:p w:rsidR="2699204D" w:rsidP="2699204D" w:rsidRDefault="2699204D" w14:paraId="398318FE" w14:textId="40963F3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23.2934</w:t>
            </w:r>
          </w:p>
        </w:tc>
        <w:tc>
          <w:tcPr>
            <w:tcW w:w="1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6B134D81" w14:textId="57E2F2DE">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4.76538</w:t>
            </w:r>
          </w:p>
        </w:tc>
        <w:tc>
          <w:tcPr>
            <w:tcW w:w="1945" w:type="dxa"/>
            <w:tcBorders>
              <w:top w:val="single" w:sz="6"/>
              <w:left w:val="single" w:sz="6"/>
              <w:bottom w:val="single" w:sz="6"/>
              <w:right w:val="single" w:sz="6"/>
            </w:tcBorders>
            <w:shd w:val="clear" w:color="auto" w:fill="FFFFFF" w:themeFill="background1"/>
            <w:tcMar/>
            <w:vAlign w:val="center"/>
          </w:tcPr>
          <w:p w:rsidR="2699204D" w:rsidP="2699204D" w:rsidRDefault="2699204D" w14:paraId="6F931D75" w14:textId="471BDE85">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12.686</w:t>
            </w:r>
          </w:p>
        </w:tc>
        <w:tc>
          <w:tcPr>
            <w:tcW w:w="1237" w:type="dxa"/>
            <w:tcBorders>
              <w:top w:val="single" w:sz="6"/>
              <w:left w:val="single" w:sz="6"/>
              <w:bottom w:val="single" w:sz="6"/>
              <w:right w:val="single" w:sz="6"/>
            </w:tcBorders>
            <w:shd w:val="clear" w:color="auto" w:fill="FFFFFF" w:themeFill="background1"/>
            <w:tcMar/>
            <w:vAlign w:val="center"/>
          </w:tcPr>
          <w:p w:rsidR="2699204D" w:rsidP="2699204D" w:rsidRDefault="2699204D" w14:paraId="7C5A0397" w14:textId="6A7DECBB">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19.301</w:t>
            </w:r>
          </w:p>
        </w:tc>
      </w:tr>
      <w:tr w:rsidR="2699204D" w:rsidTr="2699204D" w14:paraId="579A2534">
        <w:trPr>
          <w:trHeight w:val="300"/>
        </w:trPr>
        <w:tc>
          <w:tcPr>
            <w:tcW w:w="1966" w:type="dxa"/>
            <w:tcBorders>
              <w:top w:val="single" w:sz="6"/>
              <w:left w:val="single" w:sz="6"/>
              <w:bottom w:val="single" w:sz="6"/>
              <w:right w:val="single" w:sz="6"/>
            </w:tcBorders>
            <w:shd w:val="clear" w:color="auto" w:fill="FFFFFF" w:themeFill="background1"/>
            <w:tcMar/>
            <w:vAlign w:val="center"/>
          </w:tcPr>
          <w:p w:rsidR="2699204D" w:rsidP="2699204D" w:rsidRDefault="2699204D" w14:paraId="13D78169" w14:textId="3A14BBED">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2025-03-31 00:00:00</w:t>
            </w:r>
          </w:p>
        </w:tc>
        <w:tc>
          <w:tcPr>
            <w:tcW w:w="2257" w:type="dxa"/>
            <w:tcBorders>
              <w:top w:val="single" w:sz="6"/>
              <w:left w:val="single" w:sz="6"/>
              <w:bottom w:val="single" w:sz="6"/>
              <w:right w:val="single" w:sz="6"/>
            </w:tcBorders>
            <w:shd w:val="clear" w:color="auto" w:fill="FFFFFF" w:themeFill="background1"/>
            <w:tcMar/>
            <w:vAlign w:val="center"/>
          </w:tcPr>
          <w:p w:rsidR="2699204D" w:rsidP="2699204D" w:rsidRDefault="2699204D" w14:paraId="5C8FB7C8" w14:textId="448B28F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23.2934</w:t>
            </w:r>
          </w:p>
        </w:tc>
        <w:tc>
          <w:tcPr>
            <w:tcW w:w="1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1C43ACCB" w14:textId="1F120CC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4.49604</w:t>
            </w:r>
          </w:p>
        </w:tc>
        <w:tc>
          <w:tcPr>
            <w:tcW w:w="1945" w:type="dxa"/>
            <w:tcBorders>
              <w:top w:val="single" w:sz="6"/>
              <w:left w:val="single" w:sz="6"/>
              <w:bottom w:val="single" w:sz="6"/>
              <w:right w:val="single" w:sz="6"/>
            </w:tcBorders>
            <w:shd w:val="clear" w:color="auto" w:fill="FFFFFF" w:themeFill="background1"/>
            <w:tcMar/>
            <w:vAlign w:val="center"/>
          </w:tcPr>
          <w:p w:rsidR="2699204D" w:rsidP="2699204D" w:rsidRDefault="2699204D" w14:paraId="33B7B97B" w14:textId="7D7E1726">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12.1148</w:t>
            </w:r>
          </w:p>
        </w:tc>
        <w:tc>
          <w:tcPr>
            <w:tcW w:w="1237" w:type="dxa"/>
            <w:tcBorders>
              <w:top w:val="single" w:sz="6"/>
              <w:left w:val="single" w:sz="6"/>
              <w:bottom w:val="single" w:sz="6"/>
              <w:right w:val="single" w:sz="6"/>
            </w:tcBorders>
            <w:shd w:val="clear" w:color="auto" w:fill="FFFFFF" w:themeFill="background1"/>
            <w:tcMar/>
            <w:vAlign w:val="center"/>
          </w:tcPr>
          <w:p w:rsidR="2699204D" w:rsidP="2699204D" w:rsidRDefault="2699204D" w14:paraId="7DEBDA87" w14:textId="6434864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18.4452</w:t>
            </w:r>
          </w:p>
        </w:tc>
      </w:tr>
    </w:tbl>
    <w:p xmlns:wp14="http://schemas.microsoft.com/office/word/2010/wordml" w:rsidP="2699204D" wp14:paraId="3C9C1E3C" wp14:textId="7ACAA5F4">
      <w:pPr>
        <w:rPr>
          <w:rFonts w:ascii="Aptos" w:hAnsi="Aptos"/>
          <w:b w:val="0"/>
          <w:bCs w:val="0"/>
          <w:i w:val="0"/>
          <w:iCs w:val="0"/>
          <w:caps w:val="0"/>
          <w:smallCaps w:val="0"/>
          <w:noProof w:val="0"/>
          <w:sz w:val="24"/>
          <w:szCs w:val="24"/>
          <w:lang w:val="en-US"/>
        </w:rPr>
      </w:pPr>
      <w:r w:rsidRPr="2699204D" w:rsidR="0FB79DD2">
        <w:rPr>
          <w:rFonts w:ascii="Aptos" w:hAnsi="Aptos"/>
          <w:b w:val="0"/>
          <w:bCs w:val="0"/>
          <w:i w:val="0"/>
          <w:iCs w:val="0"/>
          <w:caps w:val="0"/>
          <w:smallCaps w:val="0"/>
          <w:noProof w:val="0"/>
          <w:sz w:val="24"/>
          <w:szCs w:val="24"/>
          <w:lang w:val="en-US"/>
        </w:rPr>
        <w:t>The Price-to-Earnings (P/E) ratio has remained constant at 23.29, which is slightly above the "reasonable" threshold of &lt;20, suggesting the stock might be fairly valued to slightly overvalued. The Price-to-Sales (P/S) ratio has been decreasing, moving from nearly 6 to 4.49, indicating a potential shift towards a more fair valuation. The Price-to-Book (P/B) ratio is consistently high, above 12, suggesting the stock is valued significantly higher than its book value. The EV/EBITDA ratio has been decreasing, moving from 23.53 to 18.44, which still suggests the company is on the expensive side, but the trend is positive.</w:t>
      </w:r>
    </w:p>
    <w:p xmlns:wp14="http://schemas.microsoft.com/office/word/2010/wordml" w:rsidP="2699204D" wp14:paraId="0A16290E" wp14:textId="1679891B">
      <w:pPr>
        <w:pStyle w:val="Normal"/>
        <w:rPr>
          <w:rFonts w:ascii="Aptos" w:hAnsi="Aptos"/>
          <w:b w:val="1"/>
          <w:bCs w:val="1"/>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Leverage Ratios</w:t>
      </w:r>
    </w:p>
    <w:tbl>
      <w:tblPr>
        <w:tblStyle w:val="TableNormal"/>
        <w:bidiVisual w:val="0"/>
        <w:tblW w:w="0" w:type="auto"/>
        <w:tblLayout w:type="fixed"/>
        <w:tblLook w:val="06A0" w:firstRow="1" w:lastRow="0" w:firstColumn="1" w:lastColumn="0" w:noHBand="1" w:noVBand="1"/>
      </w:tblPr>
      <w:tblGrid>
        <w:gridCol w:w="2904"/>
        <w:gridCol w:w="2955"/>
        <w:gridCol w:w="2703"/>
      </w:tblGrid>
      <w:tr w:rsidR="2699204D" w:rsidTr="2699204D" w14:paraId="6653E988">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RDefault="2699204D" w14:paraId="2107DECA" w14:textId="44D47E46"/>
        </w:tc>
        <w:tc>
          <w:tcPr>
            <w:tcW w:w="2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7548B354" w14:textId="58F1AA06">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Debt-to-Equity (D/E)</w:t>
            </w:r>
          </w:p>
        </w:tc>
        <w:tc>
          <w:tcPr>
            <w:tcW w:w="2703" w:type="dxa"/>
            <w:tcBorders>
              <w:top w:val="single" w:sz="6"/>
              <w:left w:val="single" w:sz="6"/>
              <w:bottom w:val="single" w:sz="6"/>
              <w:right w:val="single" w:sz="6"/>
            </w:tcBorders>
            <w:shd w:val="clear" w:color="auto" w:fill="FFFFFF" w:themeFill="background1"/>
            <w:tcMar/>
            <w:vAlign w:val="center"/>
          </w:tcPr>
          <w:p w:rsidR="2699204D" w:rsidP="2699204D" w:rsidRDefault="2699204D" w14:paraId="6BA97530" w14:textId="12943E98">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Interest Coverage</w:t>
            </w:r>
          </w:p>
        </w:tc>
      </w:tr>
      <w:tr w:rsidR="2699204D" w:rsidTr="2699204D" w14:paraId="25994CAC">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377136D3" w14:textId="0757F5A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2021-03-31 00:00:00</w:t>
            </w:r>
          </w:p>
        </w:tc>
        <w:tc>
          <w:tcPr>
            <w:tcW w:w="2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3CCCC164" w14:textId="14151DC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2703" w:type="dxa"/>
            <w:tcBorders>
              <w:top w:val="single" w:sz="6"/>
              <w:left w:val="single" w:sz="6"/>
              <w:bottom w:val="single" w:sz="6"/>
              <w:right w:val="single" w:sz="6"/>
            </w:tcBorders>
            <w:shd w:val="clear" w:color="auto" w:fill="FFFFFF" w:themeFill="background1"/>
            <w:tcMar/>
            <w:vAlign w:val="center"/>
          </w:tcPr>
          <w:p w:rsidR="2699204D" w:rsidP="2699204D" w:rsidRDefault="2699204D" w14:paraId="7E977990" w14:textId="67AF63A5">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r>
      <w:tr w:rsidR="2699204D" w:rsidTr="2699204D" w14:paraId="52482523">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00E72D61" w14:textId="77EAB95F">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2022-03-31 00:00:00</w:t>
            </w:r>
          </w:p>
        </w:tc>
        <w:tc>
          <w:tcPr>
            <w:tcW w:w="2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6984299A" w14:textId="0CBFDEF7">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0.0877057</w:t>
            </w:r>
          </w:p>
        </w:tc>
        <w:tc>
          <w:tcPr>
            <w:tcW w:w="2703" w:type="dxa"/>
            <w:tcBorders>
              <w:top w:val="single" w:sz="6"/>
              <w:left w:val="single" w:sz="6"/>
              <w:bottom w:val="single" w:sz="6"/>
              <w:right w:val="single" w:sz="6"/>
            </w:tcBorders>
            <w:shd w:val="clear" w:color="auto" w:fill="FFFFFF" w:themeFill="background1"/>
            <w:tcMar/>
            <w:vAlign w:val="center"/>
          </w:tcPr>
          <w:p w:rsidR="2699204D" w:rsidP="2699204D" w:rsidRDefault="2699204D" w14:paraId="09056F37" w14:textId="2404B2CE">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66.9273</w:t>
            </w:r>
          </w:p>
        </w:tc>
      </w:tr>
      <w:tr w:rsidR="2699204D" w:rsidTr="2699204D" w14:paraId="784DDE1F">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6946E02A" w14:textId="3D57C168">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2023-03-31 00:00:00</w:t>
            </w:r>
          </w:p>
        </w:tc>
        <w:tc>
          <w:tcPr>
            <w:tcW w:w="2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00B2BDDB" w14:textId="17F3EFE5">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0.0850217</w:t>
            </w:r>
          </w:p>
        </w:tc>
        <w:tc>
          <w:tcPr>
            <w:tcW w:w="2703" w:type="dxa"/>
            <w:tcBorders>
              <w:top w:val="single" w:sz="6"/>
              <w:left w:val="single" w:sz="6"/>
              <w:bottom w:val="single" w:sz="6"/>
              <w:right w:val="single" w:sz="6"/>
            </w:tcBorders>
            <w:shd w:val="clear" w:color="auto" w:fill="FFFFFF" w:themeFill="background1"/>
            <w:tcMar/>
            <w:vAlign w:val="center"/>
          </w:tcPr>
          <w:p w:rsidR="2699204D" w:rsidP="2699204D" w:rsidRDefault="2699204D" w14:paraId="2E97B385" w14:textId="72645027">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74.0513</w:t>
            </w:r>
          </w:p>
        </w:tc>
      </w:tr>
      <w:tr w:rsidR="2699204D" w:rsidTr="2699204D" w14:paraId="032A1053">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3E2DC68A" w14:textId="04F6ED4D">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2024-03-31 00:00:00</w:t>
            </w:r>
          </w:p>
        </w:tc>
        <w:tc>
          <w:tcPr>
            <w:tcW w:w="2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57C683EA" w14:textId="62AAECE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0.0886406</w:t>
            </w:r>
          </w:p>
        </w:tc>
        <w:tc>
          <w:tcPr>
            <w:tcW w:w="2703" w:type="dxa"/>
            <w:tcBorders>
              <w:top w:val="single" w:sz="6"/>
              <w:left w:val="single" w:sz="6"/>
              <w:bottom w:val="single" w:sz="6"/>
              <w:right w:val="single" w:sz="6"/>
            </w:tcBorders>
            <w:shd w:val="clear" w:color="auto" w:fill="FFFFFF" w:themeFill="background1"/>
            <w:tcMar/>
            <w:vAlign w:val="center"/>
          </w:tcPr>
          <w:p w:rsidR="2699204D" w:rsidP="2699204D" w:rsidRDefault="2699204D" w14:paraId="795F0F7C" w14:textId="402C472F">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80.6877</w:t>
            </w:r>
          </w:p>
        </w:tc>
      </w:tr>
      <w:tr w:rsidR="2699204D" w:rsidTr="2699204D" w14:paraId="47287C79">
        <w:trPr>
          <w:trHeight w:val="300"/>
        </w:trPr>
        <w:tc>
          <w:tcPr>
            <w:tcW w:w="2904" w:type="dxa"/>
            <w:tcBorders>
              <w:top w:val="single" w:sz="6"/>
              <w:left w:val="single" w:sz="6"/>
              <w:bottom w:val="single" w:sz="6"/>
              <w:right w:val="single" w:sz="6"/>
            </w:tcBorders>
            <w:shd w:val="clear" w:color="auto" w:fill="FFFFFF" w:themeFill="background1"/>
            <w:tcMar/>
            <w:vAlign w:val="center"/>
          </w:tcPr>
          <w:p w:rsidR="2699204D" w:rsidP="2699204D" w:rsidRDefault="2699204D" w14:paraId="618A083A" w14:textId="15E30A6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2025-03-31 00:00:00</w:t>
            </w:r>
          </w:p>
        </w:tc>
        <w:tc>
          <w:tcPr>
            <w:tcW w:w="2955" w:type="dxa"/>
            <w:tcBorders>
              <w:top w:val="single" w:sz="6"/>
              <w:left w:val="single" w:sz="6"/>
              <w:bottom w:val="single" w:sz="6"/>
              <w:right w:val="single" w:sz="6"/>
            </w:tcBorders>
            <w:shd w:val="clear" w:color="auto" w:fill="FFFFFF" w:themeFill="background1"/>
            <w:tcMar/>
            <w:vAlign w:val="center"/>
          </w:tcPr>
          <w:p w:rsidR="2699204D" w:rsidP="2699204D" w:rsidRDefault="2699204D" w14:paraId="6C606BE7" w14:textId="6F10F268">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0.0991177</w:t>
            </w:r>
          </w:p>
        </w:tc>
        <w:tc>
          <w:tcPr>
            <w:tcW w:w="2703" w:type="dxa"/>
            <w:tcBorders>
              <w:top w:val="single" w:sz="6"/>
              <w:left w:val="single" w:sz="6"/>
              <w:bottom w:val="single" w:sz="6"/>
              <w:right w:val="single" w:sz="6"/>
            </w:tcBorders>
            <w:shd w:val="clear" w:color="auto" w:fill="FFFFFF" w:themeFill="background1"/>
            <w:tcMar/>
            <w:vAlign w:val="center"/>
          </w:tcPr>
          <w:p w:rsidR="2699204D" w:rsidP="2699204D" w:rsidRDefault="2699204D" w14:paraId="16919008" w14:textId="7345F26F">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83.0741</w:t>
            </w:r>
          </w:p>
        </w:tc>
      </w:tr>
    </w:tbl>
    <w:p xmlns:wp14="http://schemas.microsoft.com/office/word/2010/wordml" w:rsidP="2699204D" wp14:paraId="2445B94F" wp14:textId="72D44967">
      <w:pPr>
        <w:rPr>
          <w:rFonts w:ascii="Aptos" w:hAnsi="Aptos"/>
          <w:b w:val="0"/>
          <w:bCs w:val="0"/>
          <w:i w:val="0"/>
          <w:iCs w:val="0"/>
          <w:caps w:val="0"/>
          <w:smallCaps w:val="0"/>
          <w:noProof w:val="0"/>
          <w:sz w:val="24"/>
          <w:szCs w:val="24"/>
          <w:lang w:val="en-US"/>
        </w:rPr>
      </w:pPr>
      <w:r w:rsidRPr="2699204D" w:rsidR="0FB79DD2">
        <w:rPr>
          <w:rFonts w:ascii="Aptos" w:hAnsi="Aptos"/>
          <w:b w:val="0"/>
          <w:bCs w:val="0"/>
          <w:i w:val="0"/>
          <w:iCs w:val="0"/>
          <w:caps w:val="0"/>
          <w:smallCaps w:val="0"/>
          <w:noProof w:val="0"/>
          <w:sz w:val="24"/>
          <w:szCs w:val="24"/>
          <w:lang w:val="en-US"/>
        </w:rPr>
        <w:t>TCS.NS exhibits very low leverage. The Debt-to-Equity (D/E) ratio is consistently below 0.1, indicating a very healthy and low debt burden. The Interest Coverage ratio is exceptionally high, consistently above 66, demonstrating the company's strong ability to cover its interest expenses and indicating a very low risk of default.</w:t>
      </w:r>
    </w:p>
    <w:p xmlns:wp14="http://schemas.microsoft.com/office/word/2010/wordml" w:rsidP="2699204D" wp14:paraId="32858B31" wp14:textId="2FC4F2C7">
      <w:pPr>
        <w:pStyle w:val="Normal"/>
        <w:rPr>
          <w:rFonts w:ascii="Aptos" w:hAnsi="Aptos"/>
          <w:b w:val="1"/>
          <w:bCs w:val="1"/>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Performance and Growth Metrics</w:t>
      </w:r>
    </w:p>
    <w:tbl>
      <w:tblPr>
        <w:tblStyle w:val="TableNormal"/>
        <w:bidiVisual w:val="0"/>
        <w:tblW w:w="0" w:type="auto"/>
        <w:tblLayout w:type="fixed"/>
        <w:tblLook w:val="06A0" w:firstRow="1" w:lastRow="0" w:firstColumn="1" w:lastColumn="0" w:noHBand="1" w:noVBand="1"/>
      </w:tblPr>
      <w:tblGrid>
        <w:gridCol w:w="1184"/>
        <w:gridCol w:w="1238"/>
        <w:gridCol w:w="1042"/>
        <w:gridCol w:w="1235"/>
        <w:gridCol w:w="1015"/>
        <w:gridCol w:w="629"/>
        <w:gridCol w:w="973"/>
        <w:gridCol w:w="1034"/>
        <w:gridCol w:w="1010"/>
      </w:tblGrid>
      <w:tr w:rsidR="2699204D" w:rsidTr="2699204D" w14:paraId="584C1078">
        <w:trPr>
          <w:trHeight w:val="300"/>
        </w:trPr>
        <w:tc>
          <w:tcPr>
            <w:tcW w:w="1184" w:type="dxa"/>
            <w:tcBorders>
              <w:top w:val="single" w:sz="6"/>
              <w:left w:val="single" w:sz="6"/>
              <w:bottom w:val="single" w:sz="6"/>
              <w:right w:val="single" w:sz="6"/>
            </w:tcBorders>
            <w:shd w:val="clear" w:color="auto" w:fill="FFFFFF" w:themeFill="background1"/>
            <w:tcMar/>
            <w:vAlign w:val="center"/>
          </w:tcPr>
          <w:p w:rsidR="2699204D" w:rsidRDefault="2699204D" w14:paraId="2AB2A1C8" w14:textId="6F96660B"/>
        </w:tc>
        <w:tc>
          <w:tcPr>
            <w:tcW w:w="1238" w:type="dxa"/>
            <w:tcBorders>
              <w:top w:val="single" w:sz="6"/>
              <w:left w:val="single" w:sz="6"/>
              <w:bottom w:val="single" w:sz="6"/>
              <w:right w:val="single" w:sz="6"/>
            </w:tcBorders>
            <w:shd w:val="clear" w:color="auto" w:fill="FFFFFF" w:themeFill="background1"/>
            <w:tcMar/>
            <w:vAlign w:val="center"/>
          </w:tcPr>
          <w:p w:rsidR="2699204D" w:rsidP="2699204D" w:rsidRDefault="2699204D" w14:paraId="41ABBAA2" w14:textId="2F3DAFE8">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Revenue Growth (%)</w:t>
            </w:r>
          </w:p>
        </w:tc>
        <w:tc>
          <w:tcPr>
            <w:tcW w:w="1042" w:type="dxa"/>
            <w:tcBorders>
              <w:top w:val="single" w:sz="6"/>
              <w:left w:val="single" w:sz="6"/>
              <w:bottom w:val="single" w:sz="6"/>
              <w:right w:val="single" w:sz="6"/>
            </w:tcBorders>
            <w:shd w:val="clear" w:color="auto" w:fill="FFFFFF" w:themeFill="background1"/>
            <w:tcMar/>
            <w:vAlign w:val="center"/>
          </w:tcPr>
          <w:p w:rsidR="2699204D" w:rsidP="2699204D" w:rsidRDefault="2699204D" w14:paraId="063AC710" w14:textId="5ECEB30A">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EBIT Growth (%)</w:t>
            </w:r>
          </w:p>
        </w:tc>
        <w:tc>
          <w:tcPr>
            <w:tcW w:w="1235" w:type="dxa"/>
            <w:tcBorders>
              <w:top w:val="single" w:sz="6"/>
              <w:left w:val="single" w:sz="6"/>
              <w:bottom w:val="single" w:sz="6"/>
              <w:right w:val="single" w:sz="6"/>
            </w:tcBorders>
            <w:shd w:val="clear" w:color="auto" w:fill="FFFFFF" w:themeFill="background1"/>
            <w:tcMar/>
            <w:vAlign w:val="center"/>
          </w:tcPr>
          <w:p w:rsidR="2699204D" w:rsidP="2699204D" w:rsidRDefault="2699204D" w14:paraId="2843BED6" w14:textId="389263C5">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Net Profit Margin (%)</w:t>
            </w:r>
          </w:p>
        </w:tc>
        <w:tc>
          <w:tcPr>
            <w:tcW w:w="1015" w:type="dxa"/>
            <w:tcBorders>
              <w:top w:val="single" w:sz="6"/>
              <w:left w:val="single" w:sz="6"/>
              <w:bottom w:val="single" w:sz="6"/>
              <w:right w:val="single" w:sz="6"/>
            </w:tcBorders>
            <w:shd w:val="clear" w:color="auto" w:fill="FFFFFF" w:themeFill="background1"/>
            <w:tcMar/>
            <w:vAlign w:val="center"/>
          </w:tcPr>
          <w:p w:rsidR="2699204D" w:rsidP="2699204D" w:rsidRDefault="2699204D" w14:paraId="30FC4C7F" w14:textId="0AD6E9CC">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EPS Growth (%)</w:t>
            </w:r>
          </w:p>
        </w:tc>
        <w:tc>
          <w:tcPr>
            <w:tcW w:w="629" w:type="dxa"/>
            <w:tcBorders>
              <w:top w:val="single" w:sz="6"/>
              <w:left w:val="single" w:sz="6"/>
              <w:bottom w:val="single" w:sz="6"/>
              <w:right w:val="single" w:sz="6"/>
            </w:tcBorders>
            <w:shd w:val="clear" w:color="auto" w:fill="FFFFFF" w:themeFill="background1"/>
            <w:tcMar/>
            <w:vAlign w:val="center"/>
          </w:tcPr>
          <w:p w:rsidR="2699204D" w:rsidP="2699204D" w:rsidRDefault="2699204D" w14:paraId="2DC5D439" w14:textId="27F33D51">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EPS</w:t>
            </w:r>
          </w:p>
        </w:tc>
        <w:tc>
          <w:tcPr>
            <w:tcW w:w="973" w:type="dxa"/>
            <w:tcBorders>
              <w:top w:val="single" w:sz="6"/>
              <w:left w:val="single" w:sz="6"/>
              <w:bottom w:val="single" w:sz="6"/>
              <w:right w:val="single" w:sz="6"/>
            </w:tcBorders>
            <w:shd w:val="clear" w:color="auto" w:fill="FFFFFF" w:themeFill="background1"/>
            <w:tcMar/>
            <w:vAlign w:val="center"/>
          </w:tcPr>
          <w:p w:rsidR="2699204D" w:rsidP="2699204D" w:rsidRDefault="2699204D" w14:paraId="210C1C17" w14:textId="59C1612E">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Debt-to-Equity</w:t>
            </w:r>
          </w:p>
        </w:tc>
        <w:tc>
          <w:tcPr>
            <w:tcW w:w="1034" w:type="dxa"/>
            <w:tcBorders>
              <w:top w:val="single" w:sz="6"/>
              <w:left w:val="single" w:sz="6"/>
              <w:bottom w:val="single" w:sz="6"/>
              <w:right w:val="single" w:sz="6"/>
            </w:tcBorders>
            <w:shd w:val="clear" w:color="auto" w:fill="FFFFFF" w:themeFill="background1"/>
            <w:tcMar/>
            <w:vAlign w:val="center"/>
          </w:tcPr>
          <w:p w:rsidR="2699204D" w:rsidP="2699204D" w:rsidRDefault="2699204D" w14:paraId="1E064773" w14:textId="51D03CF7">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Free Cash Flow</w:t>
            </w:r>
          </w:p>
        </w:tc>
        <w:tc>
          <w:tcPr>
            <w:tcW w:w="1010" w:type="dxa"/>
            <w:tcBorders>
              <w:top w:val="single" w:sz="6"/>
              <w:left w:val="single" w:sz="6"/>
              <w:bottom w:val="single" w:sz="6"/>
              <w:right w:val="single" w:sz="6"/>
            </w:tcBorders>
            <w:shd w:val="clear" w:color="auto" w:fill="FFFFFF" w:themeFill="background1"/>
            <w:tcMar/>
            <w:vAlign w:val="center"/>
          </w:tcPr>
          <w:p w:rsidR="2699204D" w:rsidP="2699204D" w:rsidRDefault="2699204D" w14:paraId="17D3CBF5" w14:textId="05879CC9">
            <w:pPr>
              <w:rPr>
                <w:rFonts w:ascii="Aptos" w:hAnsi="Aptos"/>
                <w:b w:val="1"/>
                <w:bCs w:val="1"/>
                <w:i w:val="0"/>
                <w:iCs w:val="0"/>
                <w:caps w:val="0"/>
                <w:smallCaps w:val="0"/>
                <w:sz w:val="24"/>
                <w:szCs w:val="24"/>
              </w:rPr>
            </w:pPr>
            <w:r w:rsidRPr="2699204D" w:rsidR="2699204D">
              <w:rPr>
                <w:rFonts w:ascii="Aptos" w:hAnsi="Aptos"/>
                <w:b w:val="1"/>
                <w:bCs w:val="1"/>
                <w:i w:val="0"/>
                <w:iCs w:val="0"/>
                <w:caps w:val="0"/>
                <w:smallCaps w:val="0"/>
                <w:sz w:val="24"/>
                <w:szCs w:val="24"/>
              </w:rPr>
              <w:t>FCF Growth (%)</w:t>
            </w:r>
          </w:p>
        </w:tc>
      </w:tr>
      <w:tr w:rsidR="2699204D" w:rsidTr="2699204D" w14:paraId="1C61D5D8">
        <w:trPr>
          <w:trHeight w:val="300"/>
        </w:trPr>
        <w:tc>
          <w:tcPr>
            <w:tcW w:w="1184" w:type="dxa"/>
            <w:tcBorders>
              <w:top w:val="single" w:sz="6"/>
              <w:left w:val="single" w:sz="6"/>
              <w:bottom w:val="single" w:sz="6"/>
              <w:right w:val="single" w:sz="6"/>
            </w:tcBorders>
            <w:shd w:val="clear" w:color="auto" w:fill="FFFFFF" w:themeFill="background1"/>
            <w:tcMar/>
            <w:vAlign w:val="center"/>
          </w:tcPr>
          <w:p w:rsidR="2699204D" w:rsidP="2699204D" w:rsidRDefault="2699204D" w14:paraId="4F31A7E9" w14:textId="463940A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2022-03-31 00:00:00</w:t>
            </w:r>
          </w:p>
        </w:tc>
        <w:tc>
          <w:tcPr>
            <w:tcW w:w="1238" w:type="dxa"/>
            <w:tcBorders>
              <w:top w:val="single" w:sz="6"/>
              <w:left w:val="single" w:sz="6"/>
              <w:bottom w:val="single" w:sz="6"/>
              <w:right w:val="single" w:sz="6"/>
            </w:tcBorders>
            <w:shd w:val="clear" w:color="auto" w:fill="FFFFFF" w:themeFill="background1"/>
            <w:tcMar/>
            <w:vAlign w:val="center"/>
          </w:tcPr>
          <w:p w:rsidR="2699204D" w:rsidP="2699204D" w:rsidRDefault="2699204D" w14:paraId="4902D3B3" w14:textId="443EB234">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1042" w:type="dxa"/>
            <w:tcBorders>
              <w:top w:val="single" w:sz="6"/>
              <w:left w:val="single" w:sz="6"/>
              <w:bottom w:val="single" w:sz="6"/>
              <w:right w:val="single" w:sz="6"/>
            </w:tcBorders>
            <w:shd w:val="clear" w:color="auto" w:fill="FFFFFF" w:themeFill="background1"/>
            <w:tcMar/>
            <w:vAlign w:val="center"/>
          </w:tcPr>
          <w:p w:rsidR="2699204D" w:rsidP="2699204D" w:rsidRDefault="2699204D" w14:paraId="3F972A64" w14:textId="40FB314B">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1235" w:type="dxa"/>
            <w:tcBorders>
              <w:top w:val="single" w:sz="6"/>
              <w:left w:val="single" w:sz="6"/>
              <w:bottom w:val="single" w:sz="6"/>
              <w:right w:val="single" w:sz="6"/>
            </w:tcBorders>
            <w:shd w:val="clear" w:color="auto" w:fill="FFFFFF" w:themeFill="background1"/>
            <w:tcMar/>
            <w:vAlign w:val="center"/>
          </w:tcPr>
          <w:p w:rsidR="2699204D" w:rsidP="2699204D" w:rsidRDefault="2699204D" w14:paraId="3F66414C" w14:textId="4673966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19.9876</w:t>
            </w:r>
          </w:p>
        </w:tc>
        <w:tc>
          <w:tcPr>
            <w:tcW w:w="1015" w:type="dxa"/>
            <w:tcBorders>
              <w:top w:val="single" w:sz="6"/>
              <w:left w:val="single" w:sz="6"/>
              <w:bottom w:val="single" w:sz="6"/>
              <w:right w:val="single" w:sz="6"/>
            </w:tcBorders>
            <w:shd w:val="clear" w:color="auto" w:fill="FFFFFF" w:themeFill="background1"/>
            <w:tcMar/>
            <w:vAlign w:val="center"/>
          </w:tcPr>
          <w:p w:rsidR="2699204D" w:rsidP="2699204D" w:rsidRDefault="2699204D" w14:paraId="796B2AD1" w14:textId="46B9349F">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c>
          <w:tcPr>
            <w:tcW w:w="629" w:type="dxa"/>
            <w:tcBorders>
              <w:top w:val="single" w:sz="6"/>
              <w:left w:val="single" w:sz="6"/>
              <w:bottom w:val="single" w:sz="6"/>
              <w:right w:val="single" w:sz="6"/>
            </w:tcBorders>
            <w:shd w:val="clear" w:color="auto" w:fill="FFFFFF" w:themeFill="background1"/>
            <w:tcMar/>
            <w:vAlign w:val="center"/>
          </w:tcPr>
          <w:p w:rsidR="2699204D" w:rsidP="2699204D" w:rsidRDefault="2699204D" w14:paraId="481CBA6F" w14:textId="01664A39">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104.746</w:t>
            </w:r>
          </w:p>
        </w:tc>
        <w:tc>
          <w:tcPr>
            <w:tcW w:w="973" w:type="dxa"/>
            <w:tcBorders>
              <w:top w:val="single" w:sz="6"/>
              <w:left w:val="single" w:sz="6"/>
              <w:bottom w:val="single" w:sz="6"/>
              <w:right w:val="single" w:sz="6"/>
            </w:tcBorders>
            <w:shd w:val="clear" w:color="auto" w:fill="FFFFFF" w:themeFill="background1"/>
            <w:tcMar/>
            <w:vAlign w:val="center"/>
          </w:tcPr>
          <w:p w:rsidR="2699204D" w:rsidP="2699204D" w:rsidRDefault="2699204D" w14:paraId="5E727269" w14:textId="3B35132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0.0877057</w:t>
            </w:r>
          </w:p>
        </w:tc>
        <w:tc>
          <w:tcPr>
            <w:tcW w:w="1034" w:type="dxa"/>
            <w:tcBorders>
              <w:top w:val="single" w:sz="6"/>
              <w:left w:val="single" w:sz="6"/>
              <w:bottom w:val="single" w:sz="6"/>
              <w:right w:val="single" w:sz="6"/>
            </w:tcBorders>
            <w:shd w:val="clear" w:color="auto" w:fill="FFFFFF" w:themeFill="background1"/>
            <w:tcMar/>
            <w:vAlign w:val="center"/>
          </w:tcPr>
          <w:p w:rsidR="2699204D" w:rsidP="2699204D" w:rsidRDefault="2699204D" w14:paraId="5A33C8EC" w14:textId="4BA5ACFA">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3.6954e+11</w:t>
            </w:r>
          </w:p>
        </w:tc>
        <w:tc>
          <w:tcPr>
            <w:tcW w:w="1010" w:type="dxa"/>
            <w:tcBorders>
              <w:top w:val="single" w:sz="6"/>
              <w:left w:val="single" w:sz="6"/>
              <w:bottom w:val="single" w:sz="6"/>
              <w:right w:val="single" w:sz="6"/>
            </w:tcBorders>
            <w:shd w:val="clear" w:color="auto" w:fill="FFFFFF" w:themeFill="background1"/>
            <w:tcMar/>
            <w:vAlign w:val="center"/>
          </w:tcPr>
          <w:p w:rsidR="2699204D" w:rsidP="2699204D" w:rsidRDefault="2699204D" w14:paraId="2B80A5BB" w14:textId="3664453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nan</w:t>
            </w:r>
          </w:p>
        </w:tc>
      </w:tr>
      <w:tr w:rsidR="2699204D" w:rsidTr="2699204D" w14:paraId="6B22615E">
        <w:trPr>
          <w:trHeight w:val="300"/>
        </w:trPr>
        <w:tc>
          <w:tcPr>
            <w:tcW w:w="1184" w:type="dxa"/>
            <w:tcBorders>
              <w:top w:val="single" w:sz="6"/>
              <w:left w:val="single" w:sz="6"/>
              <w:bottom w:val="single" w:sz="6"/>
              <w:right w:val="single" w:sz="6"/>
            </w:tcBorders>
            <w:shd w:val="clear" w:color="auto" w:fill="FFFFFF" w:themeFill="background1"/>
            <w:tcMar/>
            <w:vAlign w:val="center"/>
          </w:tcPr>
          <w:p w:rsidR="2699204D" w:rsidP="2699204D" w:rsidRDefault="2699204D" w14:paraId="18489B52" w14:textId="783B79B1">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2023-03-31 00:00:00</w:t>
            </w:r>
          </w:p>
        </w:tc>
        <w:tc>
          <w:tcPr>
            <w:tcW w:w="1238" w:type="dxa"/>
            <w:tcBorders>
              <w:top w:val="single" w:sz="6"/>
              <w:left w:val="single" w:sz="6"/>
              <w:bottom w:val="single" w:sz="6"/>
              <w:right w:val="single" w:sz="6"/>
            </w:tcBorders>
            <w:shd w:val="clear" w:color="auto" w:fill="FFFFFF" w:themeFill="background1"/>
            <w:tcMar/>
            <w:vAlign w:val="center"/>
          </w:tcPr>
          <w:p w:rsidR="2699204D" w:rsidP="2699204D" w:rsidRDefault="2699204D" w14:paraId="2A672966" w14:textId="4D670B0A">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17.5767</w:t>
            </w:r>
          </w:p>
        </w:tc>
        <w:tc>
          <w:tcPr>
            <w:tcW w:w="1042" w:type="dxa"/>
            <w:tcBorders>
              <w:top w:val="single" w:sz="6"/>
              <w:left w:val="single" w:sz="6"/>
              <w:bottom w:val="single" w:sz="6"/>
              <w:right w:val="single" w:sz="6"/>
            </w:tcBorders>
            <w:shd w:val="clear" w:color="auto" w:fill="FFFFFF" w:themeFill="background1"/>
            <w:tcMar/>
            <w:vAlign w:val="center"/>
          </w:tcPr>
          <w:p w:rsidR="2699204D" w:rsidP="2699204D" w:rsidRDefault="2699204D" w14:paraId="0415C1C2" w14:textId="555D14E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9.93882</w:t>
            </w:r>
          </w:p>
        </w:tc>
        <w:tc>
          <w:tcPr>
            <w:tcW w:w="1235" w:type="dxa"/>
            <w:tcBorders>
              <w:top w:val="single" w:sz="6"/>
              <w:left w:val="single" w:sz="6"/>
              <w:bottom w:val="single" w:sz="6"/>
              <w:right w:val="single" w:sz="6"/>
            </w:tcBorders>
            <w:shd w:val="clear" w:color="auto" w:fill="FFFFFF" w:themeFill="background1"/>
            <w:tcMar/>
            <w:vAlign w:val="center"/>
          </w:tcPr>
          <w:p w:rsidR="2699204D" w:rsidP="2699204D" w:rsidRDefault="2699204D" w14:paraId="5D52A19A" w14:textId="361D600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18.6939</w:t>
            </w:r>
          </w:p>
        </w:tc>
        <w:tc>
          <w:tcPr>
            <w:tcW w:w="1015" w:type="dxa"/>
            <w:tcBorders>
              <w:top w:val="single" w:sz="6"/>
              <w:left w:val="single" w:sz="6"/>
              <w:bottom w:val="single" w:sz="6"/>
              <w:right w:val="single" w:sz="6"/>
            </w:tcBorders>
            <w:shd w:val="clear" w:color="auto" w:fill="FFFFFF" w:themeFill="background1"/>
            <w:tcMar/>
            <w:vAlign w:val="center"/>
          </w:tcPr>
          <w:p w:rsidR="2699204D" w:rsidP="2699204D" w:rsidRDefault="2699204D" w14:paraId="2EB1B3FF" w14:textId="4F3AD622">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9.96686</w:t>
            </w:r>
          </w:p>
        </w:tc>
        <w:tc>
          <w:tcPr>
            <w:tcW w:w="629" w:type="dxa"/>
            <w:tcBorders>
              <w:top w:val="single" w:sz="6"/>
              <w:left w:val="single" w:sz="6"/>
              <w:bottom w:val="single" w:sz="6"/>
              <w:right w:val="single" w:sz="6"/>
            </w:tcBorders>
            <w:shd w:val="clear" w:color="auto" w:fill="FFFFFF" w:themeFill="background1"/>
            <w:tcMar/>
            <w:vAlign w:val="center"/>
          </w:tcPr>
          <w:p w:rsidR="2699204D" w:rsidP="2699204D" w:rsidRDefault="2699204D" w14:paraId="7F6D614E" w14:textId="7CDA27AD">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115.186</w:t>
            </w:r>
          </w:p>
        </w:tc>
        <w:tc>
          <w:tcPr>
            <w:tcW w:w="973" w:type="dxa"/>
            <w:tcBorders>
              <w:top w:val="single" w:sz="6"/>
              <w:left w:val="single" w:sz="6"/>
              <w:bottom w:val="single" w:sz="6"/>
              <w:right w:val="single" w:sz="6"/>
            </w:tcBorders>
            <w:shd w:val="clear" w:color="auto" w:fill="FFFFFF" w:themeFill="background1"/>
            <w:tcMar/>
            <w:vAlign w:val="center"/>
          </w:tcPr>
          <w:p w:rsidR="2699204D" w:rsidP="2699204D" w:rsidRDefault="2699204D" w14:paraId="61F009AC" w14:textId="79F533F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0.0850217</w:t>
            </w:r>
          </w:p>
        </w:tc>
        <w:tc>
          <w:tcPr>
            <w:tcW w:w="1034" w:type="dxa"/>
            <w:tcBorders>
              <w:top w:val="single" w:sz="6"/>
              <w:left w:val="single" w:sz="6"/>
              <w:bottom w:val="single" w:sz="6"/>
              <w:right w:val="single" w:sz="6"/>
            </w:tcBorders>
            <w:shd w:val="clear" w:color="auto" w:fill="FFFFFF" w:themeFill="background1"/>
            <w:tcMar/>
            <w:vAlign w:val="center"/>
          </w:tcPr>
          <w:p w:rsidR="2699204D" w:rsidP="2699204D" w:rsidRDefault="2699204D" w14:paraId="0C5A9DA7" w14:textId="7DB2D67A">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3.8865e+11</w:t>
            </w:r>
          </w:p>
        </w:tc>
        <w:tc>
          <w:tcPr>
            <w:tcW w:w="1010" w:type="dxa"/>
            <w:tcBorders>
              <w:top w:val="single" w:sz="6"/>
              <w:left w:val="single" w:sz="6"/>
              <w:bottom w:val="single" w:sz="6"/>
              <w:right w:val="single" w:sz="6"/>
            </w:tcBorders>
            <w:shd w:val="clear" w:color="auto" w:fill="FFFFFF" w:themeFill="background1"/>
            <w:tcMar/>
            <w:vAlign w:val="center"/>
          </w:tcPr>
          <w:p w:rsidR="2699204D" w:rsidP="2699204D" w:rsidRDefault="2699204D" w14:paraId="42AD6B07" w14:textId="7848055C">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5.17129</w:t>
            </w:r>
          </w:p>
        </w:tc>
      </w:tr>
      <w:tr w:rsidR="2699204D" w:rsidTr="2699204D" w14:paraId="0E7B05F3">
        <w:trPr>
          <w:trHeight w:val="300"/>
        </w:trPr>
        <w:tc>
          <w:tcPr>
            <w:tcW w:w="1184" w:type="dxa"/>
            <w:tcBorders>
              <w:top w:val="single" w:sz="6"/>
              <w:left w:val="single" w:sz="6"/>
              <w:bottom w:val="single" w:sz="6"/>
              <w:right w:val="single" w:sz="6"/>
            </w:tcBorders>
            <w:shd w:val="clear" w:color="auto" w:fill="FFFFFF" w:themeFill="background1"/>
            <w:tcMar/>
            <w:vAlign w:val="center"/>
          </w:tcPr>
          <w:p w:rsidR="2699204D" w:rsidP="2699204D" w:rsidRDefault="2699204D" w14:paraId="29F5EEA6" w14:textId="77A28F63">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2024-03-31 00:00:00</w:t>
            </w:r>
          </w:p>
        </w:tc>
        <w:tc>
          <w:tcPr>
            <w:tcW w:w="1238" w:type="dxa"/>
            <w:tcBorders>
              <w:top w:val="single" w:sz="6"/>
              <w:left w:val="single" w:sz="6"/>
              <w:bottom w:val="single" w:sz="6"/>
              <w:right w:val="single" w:sz="6"/>
            </w:tcBorders>
            <w:shd w:val="clear" w:color="auto" w:fill="FFFFFF" w:themeFill="background1"/>
            <w:tcMar/>
            <w:vAlign w:val="center"/>
          </w:tcPr>
          <w:p w:rsidR="2699204D" w:rsidP="2699204D" w:rsidRDefault="2699204D" w14:paraId="7192D94F" w14:textId="189BBC34">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6.84606</w:t>
            </w:r>
          </w:p>
        </w:tc>
        <w:tc>
          <w:tcPr>
            <w:tcW w:w="1042" w:type="dxa"/>
            <w:tcBorders>
              <w:top w:val="single" w:sz="6"/>
              <w:left w:val="single" w:sz="6"/>
              <w:bottom w:val="single" w:sz="6"/>
              <w:right w:val="single" w:sz="6"/>
            </w:tcBorders>
            <w:shd w:val="clear" w:color="auto" w:fill="FFFFFF" w:themeFill="background1"/>
            <w:tcMar/>
            <w:vAlign w:val="center"/>
          </w:tcPr>
          <w:p w:rsidR="2699204D" w:rsidP="2699204D" w:rsidRDefault="2699204D" w14:paraId="3D214C7F" w14:textId="67FC0F08">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8.8219</w:t>
            </w:r>
          </w:p>
        </w:tc>
        <w:tc>
          <w:tcPr>
            <w:tcW w:w="1235" w:type="dxa"/>
            <w:tcBorders>
              <w:top w:val="single" w:sz="6"/>
              <w:left w:val="single" w:sz="6"/>
              <w:bottom w:val="single" w:sz="6"/>
              <w:right w:val="single" w:sz="6"/>
            </w:tcBorders>
            <w:shd w:val="clear" w:color="auto" w:fill="FFFFFF" w:themeFill="background1"/>
            <w:tcMar/>
            <w:vAlign w:val="center"/>
          </w:tcPr>
          <w:p w:rsidR="2699204D" w:rsidP="2699204D" w:rsidRDefault="2699204D" w14:paraId="188B8475" w14:textId="3ADA67F8">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19.0574</w:t>
            </w:r>
          </w:p>
        </w:tc>
        <w:tc>
          <w:tcPr>
            <w:tcW w:w="1015" w:type="dxa"/>
            <w:tcBorders>
              <w:top w:val="single" w:sz="6"/>
              <w:left w:val="single" w:sz="6"/>
              <w:bottom w:val="single" w:sz="6"/>
              <w:right w:val="single" w:sz="6"/>
            </w:tcBorders>
            <w:shd w:val="clear" w:color="auto" w:fill="FFFFFF" w:themeFill="background1"/>
            <w:tcMar/>
            <w:vAlign w:val="center"/>
          </w:tcPr>
          <w:p w:rsidR="2699204D" w:rsidP="2699204D" w:rsidRDefault="2699204D" w14:paraId="65B5C032" w14:textId="0D8384EB">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10.1568</w:t>
            </w:r>
          </w:p>
        </w:tc>
        <w:tc>
          <w:tcPr>
            <w:tcW w:w="629" w:type="dxa"/>
            <w:tcBorders>
              <w:top w:val="single" w:sz="6"/>
              <w:left w:val="single" w:sz="6"/>
              <w:bottom w:val="single" w:sz="6"/>
              <w:right w:val="single" w:sz="6"/>
            </w:tcBorders>
            <w:shd w:val="clear" w:color="auto" w:fill="FFFFFF" w:themeFill="background1"/>
            <w:tcMar/>
            <w:vAlign w:val="center"/>
          </w:tcPr>
          <w:p w:rsidR="2699204D" w:rsidP="2699204D" w:rsidRDefault="2699204D" w14:paraId="10A5B7BA" w14:textId="640F36DE">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126.885</w:t>
            </w:r>
          </w:p>
        </w:tc>
        <w:tc>
          <w:tcPr>
            <w:tcW w:w="973" w:type="dxa"/>
            <w:tcBorders>
              <w:top w:val="single" w:sz="6"/>
              <w:left w:val="single" w:sz="6"/>
              <w:bottom w:val="single" w:sz="6"/>
              <w:right w:val="single" w:sz="6"/>
            </w:tcBorders>
            <w:shd w:val="clear" w:color="auto" w:fill="FFFFFF" w:themeFill="background1"/>
            <w:tcMar/>
            <w:vAlign w:val="center"/>
          </w:tcPr>
          <w:p w:rsidR="2699204D" w:rsidP="2699204D" w:rsidRDefault="2699204D" w14:paraId="0AC39C09" w14:textId="137543C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0.0886406</w:t>
            </w:r>
          </w:p>
        </w:tc>
        <w:tc>
          <w:tcPr>
            <w:tcW w:w="1034" w:type="dxa"/>
            <w:tcBorders>
              <w:top w:val="single" w:sz="6"/>
              <w:left w:val="single" w:sz="6"/>
              <w:bottom w:val="single" w:sz="6"/>
              <w:right w:val="single" w:sz="6"/>
            </w:tcBorders>
            <w:shd w:val="clear" w:color="auto" w:fill="FFFFFF" w:themeFill="background1"/>
            <w:tcMar/>
            <w:vAlign w:val="center"/>
          </w:tcPr>
          <w:p w:rsidR="2699204D" w:rsidP="2699204D" w:rsidRDefault="2699204D" w14:paraId="7720FA6B" w14:textId="0D8667FC">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4.1664e+11</w:t>
            </w:r>
          </w:p>
        </w:tc>
        <w:tc>
          <w:tcPr>
            <w:tcW w:w="1010" w:type="dxa"/>
            <w:tcBorders>
              <w:top w:val="single" w:sz="6"/>
              <w:left w:val="single" w:sz="6"/>
              <w:bottom w:val="single" w:sz="6"/>
              <w:right w:val="single" w:sz="6"/>
            </w:tcBorders>
            <w:shd w:val="clear" w:color="auto" w:fill="FFFFFF" w:themeFill="background1"/>
            <w:tcMar/>
            <w:vAlign w:val="center"/>
          </w:tcPr>
          <w:p w:rsidR="2699204D" w:rsidP="2699204D" w:rsidRDefault="2699204D" w14:paraId="594CF95A" w14:textId="006F44F0">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7.20185</w:t>
            </w:r>
          </w:p>
        </w:tc>
      </w:tr>
      <w:tr w:rsidR="2699204D" w:rsidTr="2699204D" w14:paraId="40EE3A4B">
        <w:trPr>
          <w:trHeight w:val="300"/>
        </w:trPr>
        <w:tc>
          <w:tcPr>
            <w:tcW w:w="1184" w:type="dxa"/>
            <w:tcBorders>
              <w:top w:val="single" w:sz="6"/>
              <w:left w:val="single" w:sz="6"/>
              <w:bottom w:val="single" w:sz="6"/>
              <w:right w:val="single" w:sz="6"/>
            </w:tcBorders>
            <w:shd w:val="clear" w:color="auto" w:fill="FFFFFF" w:themeFill="background1"/>
            <w:tcMar/>
            <w:vAlign w:val="center"/>
          </w:tcPr>
          <w:p w:rsidR="2699204D" w:rsidP="2699204D" w:rsidRDefault="2699204D" w14:paraId="0A8A9992" w14:textId="47BF974C">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2025-03-31 00:00:00</w:t>
            </w:r>
          </w:p>
        </w:tc>
        <w:tc>
          <w:tcPr>
            <w:tcW w:w="1238" w:type="dxa"/>
            <w:tcBorders>
              <w:top w:val="single" w:sz="6"/>
              <w:left w:val="single" w:sz="6"/>
              <w:bottom w:val="single" w:sz="6"/>
              <w:right w:val="single" w:sz="6"/>
            </w:tcBorders>
            <w:shd w:val="clear" w:color="auto" w:fill="FFFFFF" w:themeFill="background1"/>
            <w:tcMar/>
            <w:vAlign w:val="center"/>
          </w:tcPr>
          <w:p w:rsidR="2699204D" w:rsidP="2699204D" w:rsidRDefault="2699204D" w14:paraId="01399046" w14:textId="06D4DDF8">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5.99063</w:t>
            </w:r>
          </w:p>
        </w:tc>
        <w:tc>
          <w:tcPr>
            <w:tcW w:w="1042" w:type="dxa"/>
            <w:tcBorders>
              <w:top w:val="single" w:sz="6"/>
              <w:left w:val="single" w:sz="6"/>
              <w:bottom w:val="single" w:sz="6"/>
              <w:right w:val="single" w:sz="6"/>
            </w:tcBorders>
            <w:shd w:val="clear" w:color="auto" w:fill="FFFFFF" w:themeFill="background1"/>
            <w:tcMar/>
            <w:vAlign w:val="center"/>
          </w:tcPr>
          <w:p w:rsidR="2699204D" w:rsidP="2699204D" w:rsidRDefault="2699204D" w14:paraId="110314DE" w14:textId="355CD091">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5.33971</w:t>
            </w:r>
          </w:p>
        </w:tc>
        <w:tc>
          <w:tcPr>
            <w:tcW w:w="1235" w:type="dxa"/>
            <w:tcBorders>
              <w:top w:val="single" w:sz="6"/>
              <w:left w:val="single" w:sz="6"/>
              <w:bottom w:val="single" w:sz="6"/>
              <w:right w:val="single" w:sz="6"/>
            </w:tcBorders>
            <w:shd w:val="clear" w:color="auto" w:fill="FFFFFF" w:themeFill="background1"/>
            <w:tcMar/>
            <w:vAlign w:val="center"/>
          </w:tcPr>
          <w:p w:rsidR="2699204D" w:rsidP="2699204D" w:rsidRDefault="2699204D" w14:paraId="4E16CD39" w14:textId="13B7B968">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19.0162</w:t>
            </w:r>
          </w:p>
        </w:tc>
        <w:tc>
          <w:tcPr>
            <w:tcW w:w="1015" w:type="dxa"/>
            <w:tcBorders>
              <w:top w:val="single" w:sz="6"/>
              <w:left w:val="single" w:sz="6"/>
              <w:bottom w:val="single" w:sz="6"/>
              <w:right w:val="single" w:sz="6"/>
            </w:tcBorders>
            <w:shd w:val="clear" w:color="auto" w:fill="FFFFFF" w:themeFill="background1"/>
            <w:tcMar/>
            <w:vAlign w:val="center"/>
          </w:tcPr>
          <w:p w:rsidR="2699204D" w:rsidP="2699204D" w:rsidRDefault="2699204D" w14:paraId="05FE7416" w14:textId="12FEE704">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5.76152</w:t>
            </w:r>
          </w:p>
        </w:tc>
        <w:tc>
          <w:tcPr>
            <w:tcW w:w="629" w:type="dxa"/>
            <w:tcBorders>
              <w:top w:val="single" w:sz="6"/>
              <w:left w:val="single" w:sz="6"/>
              <w:bottom w:val="single" w:sz="6"/>
              <w:right w:val="single" w:sz="6"/>
            </w:tcBorders>
            <w:shd w:val="clear" w:color="auto" w:fill="FFFFFF" w:themeFill="background1"/>
            <w:tcMar/>
            <w:vAlign w:val="center"/>
          </w:tcPr>
          <w:p w:rsidR="2699204D" w:rsidP="2699204D" w:rsidRDefault="2699204D" w14:paraId="1F5C201E" w14:textId="5516DB19">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134.195</w:t>
            </w:r>
          </w:p>
        </w:tc>
        <w:tc>
          <w:tcPr>
            <w:tcW w:w="973" w:type="dxa"/>
            <w:tcBorders>
              <w:top w:val="single" w:sz="6"/>
              <w:left w:val="single" w:sz="6"/>
              <w:bottom w:val="single" w:sz="6"/>
              <w:right w:val="single" w:sz="6"/>
            </w:tcBorders>
            <w:shd w:val="clear" w:color="auto" w:fill="FFFFFF" w:themeFill="background1"/>
            <w:tcMar/>
            <w:vAlign w:val="center"/>
          </w:tcPr>
          <w:p w:rsidR="2699204D" w:rsidP="2699204D" w:rsidRDefault="2699204D" w14:paraId="637B0965" w14:textId="4540A285">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0.0991177</w:t>
            </w:r>
          </w:p>
        </w:tc>
        <w:tc>
          <w:tcPr>
            <w:tcW w:w="1034" w:type="dxa"/>
            <w:tcBorders>
              <w:top w:val="single" w:sz="6"/>
              <w:left w:val="single" w:sz="6"/>
              <w:bottom w:val="single" w:sz="6"/>
              <w:right w:val="single" w:sz="6"/>
            </w:tcBorders>
            <w:shd w:val="clear" w:color="auto" w:fill="FFFFFF" w:themeFill="background1"/>
            <w:tcMar/>
            <w:vAlign w:val="center"/>
          </w:tcPr>
          <w:p w:rsidR="2699204D" w:rsidP="2699204D" w:rsidRDefault="2699204D" w14:paraId="3533A994" w14:textId="606FA6EE">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4.4971e+11</w:t>
            </w:r>
          </w:p>
        </w:tc>
        <w:tc>
          <w:tcPr>
            <w:tcW w:w="1010" w:type="dxa"/>
            <w:tcBorders>
              <w:top w:val="single" w:sz="6"/>
              <w:left w:val="single" w:sz="6"/>
              <w:bottom w:val="single" w:sz="6"/>
              <w:right w:val="single" w:sz="6"/>
            </w:tcBorders>
            <w:shd w:val="clear" w:color="auto" w:fill="FFFFFF" w:themeFill="background1"/>
            <w:tcMar/>
            <w:vAlign w:val="center"/>
          </w:tcPr>
          <w:p w:rsidR="2699204D" w:rsidP="2699204D" w:rsidRDefault="2699204D" w14:paraId="4C2B9211" w14:textId="4DA3EA44">
            <w:pPr>
              <w:rPr>
                <w:rFonts w:ascii="Aptos" w:hAnsi="Aptos"/>
                <w:b w:val="0"/>
                <w:bCs w:val="0"/>
                <w:i w:val="0"/>
                <w:iCs w:val="0"/>
                <w:caps w:val="0"/>
                <w:smallCaps w:val="0"/>
                <w:sz w:val="24"/>
                <w:szCs w:val="24"/>
              </w:rPr>
            </w:pPr>
            <w:r w:rsidRPr="2699204D" w:rsidR="2699204D">
              <w:rPr>
                <w:rFonts w:ascii="Aptos" w:hAnsi="Aptos"/>
                <w:b w:val="0"/>
                <w:bCs w:val="0"/>
                <w:i w:val="0"/>
                <w:iCs w:val="0"/>
                <w:caps w:val="0"/>
                <w:smallCaps w:val="0"/>
                <w:sz w:val="24"/>
                <w:szCs w:val="24"/>
              </w:rPr>
              <w:t>7.93731</w:t>
            </w:r>
          </w:p>
        </w:tc>
      </w:tr>
    </w:tbl>
    <w:p xmlns:wp14="http://schemas.microsoft.com/office/word/2010/wordml" w:rsidP="2699204D" wp14:paraId="2039E734" wp14:textId="2E2DEAA1">
      <w:pPr>
        <w:rPr>
          <w:rFonts w:ascii="Aptos" w:hAnsi="Aptos"/>
          <w:b w:val="0"/>
          <w:bCs w:val="0"/>
          <w:i w:val="0"/>
          <w:iCs w:val="0"/>
          <w:caps w:val="0"/>
          <w:smallCaps w:val="0"/>
          <w:noProof w:val="0"/>
          <w:sz w:val="24"/>
          <w:szCs w:val="24"/>
          <w:lang w:val="en-US"/>
        </w:rPr>
      </w:pPr>
      <w:r w:rsidRPr="2699204D" w:rsidR="0FB79DD2">
        <w:rPr>
          <w:rFonts w:ascii="Aptos" w:hAnsi="Aptos"/>
          <w:b w:val="0"/>
          <w:bCs w:val="0"/>
          <w:i w:val="0"/>
          <w:iCs w:val="0"/>
          <w:caps w:val="0"/>
          <w:smallCaps w:val="0"/>
          <w:noProof w:val="0"/>
          <w:sz w:val="24"/>
          <w:szCs w:val="24"/>
          <w:lang w:val="en-US"/>
        </w:rPr>
        <w:t>TCS.NS shows consistent growth across key performance metrics. Revenue Growth, while showing a slight deceleration from 17.57% to 5.99%, remains positive. EBIT Growth and EPS Growth are consistently positive, indicating increasing operational efficiency and earnings per share. Net Profit Margin remains healthy, consistently around 19%. Free Cash Flow (FCF) is substantial and shows consistent positive growth, indicating strong cash generation. The Debt-to-Equity ratio remains very low, reinforcing financial stability.</w:t>
      </w:r>
    </w:p>
    <w:p xmlns:wp14="http://schemas.microsoft.com/office/word/2010/wordml" w:rsidP="2699204D" wp14:paraId="58E3CC44" wp14:textId="3594C94D">
      <w:pPr>
        <w:pStyle w:val="Normal"/>
        <w:rPr>
          <w:rFonts w:ascii="Aptos" w:hAnsi="Aptos"/>
          <w:b w:val="1"/>
          <w:bCs w:val="1"/>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Analysis of Performance Ratios</w:t>
      </w:r>
    </w:p>
    <w:p xmlns:wp14="http://schemas.microsoft.com/office/word/2010/wordml" w:rsidP="2699204D" wp14:paraId="4F863CDB" wp14:textId="5942764A">
      <w:pPr>
        <w:pStyle w:val="Normal"/>
        <w:numPr>
          <w:ilvl w:val="0"/>
          <w:numId w:val="1"/>
        </w:num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Liquidity Ratios:</w:t>
      </w:r>
      <w:r w:rsidRPr="2699204D" w:rsidR="0FB79DD2">
        <w:rPr>
          <w:rFonts w:ascii="Aptos" w:hAnsi="Aptos"/>
          <w:b w:val="0"/>
          <w:bCs w:val="0"/>
          <w:i w:val="0"/>
          <w:iCs w:val="0"/>
          <w:caps w:val="0"/>
          <w:smallCaps w:val="0"/>
          <w:noProof w:val="0"/>
          <w:sz w:val="24"/>
          <w:szCs w:val="24"/>
          <w:lang w:val="en-US"/>
        </w:rPr>
        <w:t xml:space="preserve"> TCS.NS demonstrates excellent short-term liquidity with Current and Quick Ratios well above industry benchmarks, indicating a strong ability to meet short-term obligations. The Cash Ratio, while fluctuating, shows a healthy cash position.</w:t>
      </w:r>
    </w:p>
    <w:p xmlns:wp14="http://schemas.microsoft.com/office/word/2010/wordml" w:rsidP="2699204D" wp14:paraId="4A7C22DB" wp14:textId="322C373E">
      <w:pPr>
        <w:pStyle w:val="Normal"/>
        <w:numPr>
          <w:ilvl w:val="0"/>
          <w:numId w:val="1"/>
        </w:num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Profitability Ratios:</w:t>
      </w:r>
      <w:r w:rsidRPr="2699204D" w:rsidR="0FB79DD2">
        <w:rPr>
          <w:rFonts w:ascii="Aptos" w:hAnsi="Aptos"/>
          <w:b w:val="0"/>
          <w:bCs w:val="0"/>
          <w:i w:val="0"/>
          <w:iCs w:val="0"/>
          <w:caps w:val="0"/>
          <w:smallCaps w:val="0"/>
          <w:noProof w:val="0"/>
          <w:sz w:val="24"/>
          <w:szCs w:val="24"/>
          <w:lang w:val="en-US"/>
        </w:rPr>
        <w:t xml:space="preserve"> The company exhibits outstanding profitability, with consistently high Return on Equity, Return on Assets, and Return on Capital Employed. Net Profit Margin and Operating Margin are also very strong, highlighting efficient operations and robust earnings.</w:t>
      </w:r>
    </w:p>
    <w:p xmlns:wp14="http://schemas.microsoft.com/office/word/2010/wordml" w:rsidP="2699204D" wp14:paraId="40EBA51E" wp14:textId="759A6A67">
      <w:pPr>
        <w:pStyle w:val="Normal"/>
        <w:numPr>
          <w:ilvl w:val="0"/>
          <w:numId w:val="1"/>
        </w:num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Efficiency Ratios:</w:t>
      </w:r>
      <w:r w:rsidRPr="2699204D" w:rsidR="0FB79DD2">
        <w:rPr>
          <w:rFonts w:ascii="Aptos" w:hAnsi="Aptos"/>
          <w:b w:val="0"/>
          <w:bCs w:val="0"/>
          <w:i w:val="0"/>
          <w:iCs w:val="0"/>
          <w:caps w:val="0"/>
          <w:smallCaps w:val="0"/>
          <w:noProof w:val="0"/>
          <w:sz w:val="24"/>
          <w:szCs w:val="24"/>
          <w:lang w:val="en-US"/>
        </w:rPr>
        <w:t xml:space="preserve"> TCS.NS shows good operational efficiency with an increasing Asset Turnover Ratio. The extremely high Inventory Turnover is typical for a service-oriented IT company and indicates no issues with inventory management.</w:t>
      </w:r>
    </w:p>
    <w:p xmlns:wp14="http://schemas.microsoft.com/office/word/2010/wordml" w:rsidP="2699204D" wp14:paraId="7CA0D716" wp14:textId="6D896763">
      <w:pPr>
        <w:pStyle w:val="Normal"/>
        <w:numPr>
          <w:ilvl w:val="0"/>
          <w:numId w:val="1"/>
        </w:num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Valuation Ratios:</w:t>
      </w:r>
      <w:r w:rsidRPr="2699204D" w:rsidR="0FB79DD2">
        <w:rPr>
          <w:rFonts w:ascii="Aptos" w:hAnsi="Aptos"/>
          <w:b w:val="0"/>
          <w:bCs w:val="0"/>
          <w:i w:val="0"/>
          <w:iCs w:val="0"/>
          <w:caps w:val="0"/>
          <w:smallCaps w:val="0"/>
          <w:noProof w:val="0"/>
          <w:sz w:val="24"/>
          <w:szCs w:val="24"/>
          <w:lang w:val="en-US"/>
        </w:rPr>
        <w:t xml:space="preserve"> While the P/E ratio is slightly above the "reasonable" threshold, the decreasing P/S and EV/EBITDA ratios suggest a move towards a more fair valuation. The P/B ratio remains high, indicating a premium valuation compared to its book value.</w:t>
      </w:r>
    </w:p>
    <w:p xmlns:wp14="http://schemas.microsoft.com/office/word/2010/wordml" w:rsidP="2699204D" wp14:paraId="62E16C12" wp14:textId="467CB090">
      <w:pPr>
        <w:pStyle w:val="Normal"/>
        <w:numPr>
          <w:ilvl w:val="0"/>
          <w:numId w:val="1"/>
        </w:num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Leverage Ratios:</w:t>
      </w:r>
      <w:r w:rsidRPr="2699204D" w:rsidR="0FB79DD2">
        <w:rPr>
          <w:rFonts w:ascii="Aptos" w:hAnsi="Aptos"/>
          <w:b w:val="0"/>
          <w:bCs w:val="0"/>
          <w:i w:val="0"/>
          <w:iCs w:val="0"/>
          <w:caps w:val="0"/>
          <w:smallCaps w:val="0"/>
          <w:noProof w:val="0"/>
          <w:sz w:val="24"/>
          <w:szCs w:val="24"/>
          <w:lang w:val="en-US"/>
        </w:rPr>
        <w:t xml:space="preserve"> The company has very low leverage, with a Debt-to-Equity ratio significantly below 1 and an exceptionally high Interest Coverage ratio, indicating minimal debt risk and strong financial health.</w:t>
      </w:r>
    </w:p>
    <w:p xmlns:wp14="http://schemas.microsoft.com/office/word/2010/wordml" w:rsidP="2699204D" wp14:paraId="2EA93E51" wp14:textId="60020677">
      <w:pPr>
        <w:pStyle w:val="Normal"/>
        <w:numPr>
          <w:ilvl w:val="0"/>
          <w:numId w:val="1"/>
        </w:num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Performance and Growth Metrics:</w:t>
      </w:r>
      <w:r w:rsidRPr="2699204D" w:rsidR="0FB79DD2">
        <w:rPr>
          <w:rFonts w:ascii="Aptos" w:hAnsi="Aptos"/>
          <w:b w:val="0"/>
          <w:bCs w:val="0"/>
          <w:i w:val="0"/>
          <w:iCs w:val="0"/>
          <w:caps w:val="0"/>
          <w:smallCaps w:val="0"/>
          <w:noProof w:val="0"/>
          <w:sz w:val="24"/>
          <w:szCs w:val="24"/>
          <w:lang w:val="en-US"/>
        </w:rPr>
        <w:t xml:space="preserve"> TCS.NS demonstrates consistent positive growth in revenue, EBIT, EPS, and Free Cash Flow. The Net Profit Margin is stable and healthy, and the low Debt-to-Equity ratio further reinforces its financial stability.</w:t>
      </w:r>
    </w:p>
    <w:p xmlns:wp14="http://schemas.microsoft.com/office/word/2010/wordml" w:rsidP="2699204D" wp14:paraId="540E2BC5" wp14:textId="50C3E552">
      <w:pPr>
        <w:rPr>
          <w:rFonts w:ascii="Aptos" w:hAnsi="Aptos"/>
          <w:b w:val="1"/>
          <w:bCs w:val="1"/>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Conclusions:</w:t>
      </w:r>
    </w:p>
    <w:p xmlns:wp14="http://schemas.microsoft.com/office/word/2010/wordml" w:rsidP="2699204D" wp14:paraId="577F2814" wp14:textId="7B2D508D">
      <w:pPr>
        <w:pStyle w:val="Normal"/>
        <w:numPr>
          <w:ilvl w:val="0"/>
          <w:numId w:val="2"/>
        </w:num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Is the company growing revenue and profit sustainably?</w:t>
      </w:r>
      <w:r w:rsidRPr="2699204D" w:rsidR="0FB79DD2">
        <w:rPr>
          <w:rFonts w:ascii="Aptos" w:hAnsi="Aptos"/>
          <w:b w:val="0"/>
          <w:bCs w:val="0"/>
          <w:i w:val="0"/>
          <w:iCs w:val="0"/>
          <w:caps w:val="0"/>
          <w:smallCaps w:val="0"/>
          <w:noProof w:val="0"/>
          <w:sz w:val="24"/>
          <w:szCs w:val="24"/>
          <w:lang w:val="en-US"/>
        </w:rPr>
        <w:t xml:space="preserve"> Yes, the company is growing revenue and profit sustainably. While revenue growth has slightly decelerated, it remains positive, and EBIT and EPS growth are consistently strong.</w:t>
      </w:r>
    </w:p>
    <w:p xmlns:wp14="http://schemas.microsoft.com/office/word/2010/wordml" w:rsidP="2699204D" wp14:paraId="24F45A1E" wp14:textId="08D3524F">
      <w:pPr>
        <w:pStyle w:val="Normal"/>
        <w:numPr>
          <w:ilvl w:val="0"/>
          <w:numId w:val="2"/>
        </w:num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Is it over-leveraged or overvalued?</w:t>
      </w:r>
      <w:r w:rsidRPr="2699204D" w:rsidR="0FB79DD2">
        <w:rPr>
          <w:rFonts w:ascii="Aptos" w:hAnsi="Aptos"/>
          <w:b w:val="0"/>
          <w:bCs w:val="0"/>
          <w:i w:val="0"/>
          <w:iCs w:val="0"/>
          <w:caps w:val="0"/>
          <w:smallCaps w:val="0"/>
          <w:noProof w:val="0"/>
          <w:sz w:val="24"/>
          <w:szCs w:val="24"/>
          <w:lang w:val="en-US"/>
        </w:rPr>
        <w:t xml:space="preserve"> The company is not over-leveraged; in fact, it has very low debt. In terms of valuation, it appears to be fairly valued to slightly overvalued based on P/E, P/S, and EV/EBITDA ratios, but the decreasing trend in P/S and EV/EBITDA is a positive sign. The high P/B ratio suggests a premium valuation.</w:t>
      </w:r>
    </w:p>
    <w:p xmlns:wp14="http://schemas.microsoft.com/office/word/2010/wordml" w:rsidP="2699204D" wp14:paraId="03D6B5CA" wp14:textId="41AC584C">
      <w:pPr>
        <w:pStyle w:val="Normal"/>
        <w:numPr>
          <w:ilvl w:val="0"/>
          <w:numId w:val="2"/>
        </w:num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Are margins stable or volatile?</w:t>
      </w:r>
      <w:r w:rsidRPr="2699204D" w:rsidR="0FB79DD2">
        <w:rPr>
          <w:rFonts w:ascii="Aptos" w:hAnsi="Aptos"/>
          <w:b w:val="0"/>
          <w:bCs w:val="0"/>
          <w:i w:val="0"/>
          <w:iCs w:val="0"/>
          <w:caps w:val="0"/>
          <w:smallCaps w:val="0"/>
          <w:noProof w:val="0"/>
          <w:sz w:val="24"/>
          <w:szCs w:val="24"/>
          <w:lang w:val="en-US"/>
        </w:rPr>
        <w:t xml:space="preserve"> Margins are stable and healthy, with Net Profit Margin consistently around 19% and Operating Margin around 24%.</w:t>
      </w:r>
    </w:p>
    <w:p xmlns:wp14="http://schemas.microsoft.com/office/word/2010/wordml" w:rsidP="2699204D" wp14:paraId="019E7811" wp14:textId="39999F3C">
      <w:pPr>
        <w:pStyle w:val="Normal"/>
        <w:numPr>
          <w:ilvl w:val="0"/>
          <w:numId w:val="2"/>
        </w:num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Is cash generation real or profit is accounting-based?</w:t>
      </w:r>
      <w:r w:rsidRPr="2699204D" w:rsidR="0FB79DD2">
        <w:rPr>
          <w:rFonts w:ascii="Aptos" w:hAnsi="Aptos"/>
          <w:b w:val="0"/>
          <w:bCs w:val="0"/>
          <w:i w:val="0"/>
          <w:iCs w:val="0"/>
          <w:caps w:val="0"/>
          <w:smallCaps w:val="0"/>
          <w:noProof w:val="0"/>
          <w:sz w:val="24"/>
          <w:szCs w:val="24"/>
          <w:lang w:val="en-US"/>
        </w:rPr>
        <w:t xml:space="preserve"> Cash generation is real and strong, as evidenced by consistently positive and growing Free Cash Flow.</w:t>
      </w:r>
    </w:p>
    <w:p xmlns:wp14="http://schemas.microsoft.com/office/word/2010/wordml" w:rsidP="2699204D" wp14:paraId="4197357D" wp14:textId="56548DA1">
      <w:pPr>
        <w:pStyle w:val="Normal"/>
        <w:numPr>
          <w:ilvl w:val="0"/>
          <w:numId w:val="2"/>
        </w:num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Are returns on capital adequate (&gt;12–15%)?</w:t>
      </w:r>
      <w:r w:rsidRPr="2699204D" w:rsidR="0FB79DD2">
        <w:rPr>
          <w:rFonts w:ascii="Aptos" w:hAnsi="Aptos"/>
          <w:b w:val="0"/>
          <w:bCs w:val="0"/>
          <w:i w:val="0"/>
          <w:iCs w:val="0"/>
          <w:caps w:val="0"/>
          <w:smallCaps w:val="0"/>
          <w:noProof w:val="0"/>
          <w:sz w:val="24"/>
          <w:szCs w:val="24"/>
          <w:lang w:val="en-US"/>
        </w:rPr>
        <w:t xml:space="preserve"> Yes, returns on capital are more than adequate, with RoE consistently above 40% and RoCE consistently above 50%.</w:t>
      </w:r>
    </w:p>
    <w:p xmlns:wp14="http://schemas.microsoft.com/office/word/2010/wordml" w:rsidP="2699204D" wp14:paraId="23529D92" wp14:textId="239BDC61">
      <w:pPr>
        <w:rPr>
          <w:rFonts w:ascii="Aptos" w:hAnsi="Aptos"/>
          <w:b w:val="0"/>
          <w:bCs w:val="0"/>
          <w:i w:val="0"/>
          <w:iCs w:val="0"/>
          <w:caps w:val="0"/>
          <w:smallCaps w:val="0"/>
          <w:noProof w:val="0"/>
          <w:sz w:val="24"/>
          <w:szCs w:val="24"/>
          <w:lang w:val="en-US"/>
        </w:rPr>
      </w:pPr>
      <w:r w:rsidRPr="2699204D" w:rsidR="0FB79DD2">
        <w:rPr>
          <w:rFonts w:ascii="Aptos" w:hAnsi="Aptos"/>
          <w:b w:val="1"/>
          <w:bCs w:val="1"/>
          <w:i w:val="0"/>
          <w:iCs w:val="0"/>
          <w:caps w:val="0"/>
          <w:smallCaps w:val="0"/>
          <w:noProof w:val="0"/>
          <w:sz w:val="24"/>
          <w:szCs w:val="24"/>
          <w:lang w:val="en-US"/>
        </w:rPr>
        <w:t>Recommendation:</w:t>
      </w:r>
      <w:r w:rsidRPr="2699204D" w:rsidR="0FB79DD2">
        <w:rPr>
          <w:rFonts w:ascii="Aptos" w:hAnsi="Aptos"/>
          <w:b w:val="0"/>
          <w:bCs w:val="0"/>
          <w:i w:val="0"/>
          <w:iCs w:val="0"/>
          <w:caps w:val="0"/>
          <w:smallCaps w:val="0"/>
          <w:noProof w:val="0"/>
          <w:sz w:val="24"/>
          <w:szCs w:val="24"/>
          <w:lang w:val="en-US"/>
        </w:rPr>
        <w:t xml:space="preserve"> Tata Consultancy Services Limited (TCS.NS) presents a compelling investment opportunity. The company exhibits exceptional financial health, characterized by strong liquidity, outstanding profitability, and efficient operations. Its very low leverage and robust cash flow generation further enhance its financial stability. While valuation ratios suggest the stock might be trading at a slight premium, the consistent and sustainable growth in revenue, earnings, and free cash flow, coupled with excellent returns on capital, justify a positive long-term outlook. Investors seeking a stable and growing company with a strong financial foundation should consider TCS.NS for long-term investment.</w:t>
      </w:r>
    </w:p>
    <w:p xmlns:wp14="http://schemas.microsoft.com/office/word/2010/wordml" wp14:paraId="2C078E63" wp14:textId="5FBB75A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c189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4e02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61F2C7"/>
    <w:rsid w:val="0661F2C7"/>
    <w:rsid w:val="0FB79DD2"/>
    <w:rsid w:val="2699204D"/>
    <w:rsid w:val="4E92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F2C7"/>
  <w15:chartTrackingRefBased/>
  <w15:docId w15:val="{67114BA6-D432-4933-BBCB-7E958152B6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d182834adcf42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2025-09-17T11:35:19.1646757Z</dcterms:created>
  <dcterms:modified xsi:type="dcterms:W3CDTF">2025-09-17T11:38:13.8116092Z</dcterms:modified>
  <dc:creator>Manish Bhobe</dc:creator>
  <lastModifiedBy>Manish Bhobe</lastModifiedBy>
</coreProperties>
</file>