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071B54" wp14:paraId="10189F76" wp14:textId="079BDBBA">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Financial Analysis for Apple Inc.</w:t>
      </w:r>
    </w:p>
    <w:p xmlns:wp14="http://schemas.microsoft.com/office/word/2010/wordml" w:rsidP="37071B54" wp14:paraId="6E62B6E8" wp14:textId="12818DEF">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 xml:space="preserve">Overview </w:t>
      </w:r>
    </w:p>
    <w:p xmlns:wp14="http://schemas.microsoft.com/office/word/2010/wordml" w:rsidP="37071B54" wp14:paraId="55894EAF" wp14:textId="0BC45845">
      <w:pPr>
        <w:pStyle w:val="Normal"/>
        <w:rPr>
          <w:rFonts w:ascii="Aptos" w:hAnsi="Aptos"/>
          <w:b w:val="0"/>
          <w:bCs w:val="0"/>
          <w:i w:val="0"/>
          <w:iCs w:val="0"/>
          <w:caps w:val="0"/>
          <w:smallCaps w:val="0"/>
          <w:noProof w:val="0"/>
          <w:sz w:val="24"/>
          <w:szCs w:val="24"/>
          <w:lang w:val="en-US"/>
        </w:rPr>
      </w:pPr>
      <w:r w:rsidRPr="37071B54" w:rsidR="45AFCFE1">
        <w:rPr>
          <w:rFonts w:ascii="Aptos" w:hAnsi="Aptos"/>
          <w:b w:val="0"/>
          <w:bCs w:val="0"/>
          <w:i w:val="0"/>
          <w:iCs w:val="0"/>
          <w:caps w:val="0"/>
          <w:smallCaps w:val="0"/>
          <w:noProof w:val="0"/>
          <w:sz w:val="24"/>
          <w:szCs w:val="24"/>
          <w:lang w:val="en-US"/>
        </w:rPr>
        <w:t xml:space="preserve">Apple Inc. designs, manufactures, and markets smartphones, personal computers, tablets, wearables, and accessories worldwide. The company offers iPhone, a line of smartphones; Mac, a line of personal computers; iPad, a line of multi-purpose tablets; and wearables, home, and accessories </w:t>
      </w:r>
      <w:r w:rsidRPr="37071B54" w:rsidR="45AFCFE1">
        <w:rPr>
          <w:rFonts w:ascii="Aptos" w:hAnsi="Aptos"/>
          <w:b w:val="0"/>
          <w:bCs w:val="0"/>
          <w:i w:val="0"/>
          <w:iCs w:val="0"/>
          <w:caps w:val="0"/>
          <w:smallCaps w:val="0"/>
          <w:noProof w:val="0"/>
          <w:sz w:val="24"/>
          <w:szCs w:val="24"/>
          <w:lang w:val="en-US"/>
        </w:rPr>
        <w:t>comprising</w:t>
      </w:r>
      <w:r w:rsidRPr="37071B54" w:rsidR="45AFCFE1">
        <w:rPr>
          <w:rFonts w:ascii="Aptos" w:hAnsi="Aptos"/>
          <w:b w:val="0"/>
          <w:bCs w:val="0"/>
          <w:i w:val="0"/>
          <w:iCs w:val="0"/>
          <w:caps w:val="0"/>
          <w:smallCaps w:val="0"/>
          <w:noProof w:val="0"/>
          <w:sz w:val="24"/>
          <w:szCs w:val="24"/>
          <w:lang w:val="en-US"/>
        </w:rPr>
        <w:t xml:space="preserve"> AirPods, Apple TV, Apple Watch, Beats products, and HomePod. It also provides AppleCare support and cloud services; and </w:t>
      </w:r>
      <w:r w:rsidRPr="37071B54" w:rsidR="45AFCFE1">
        <w:rPr>
          <w:rFonts w:ascii="Aptos" w:hAnsi="Aptos"/>
          <w:b w:val="0"/>
          <w:bCs w:val="0"/>
          <w:i w:val="0"/>
          <w:iCs w:val="0"/>
          <w:caps w:val="0"/>
          <w:smallCaps w:val="0"/>
          <w:noProof w:val="0"/>
          <w:sz w:val="24"/>
          <w:szCs w:val="24"/>
          <w:lang w:val="en-US"/>
        </w:rPr>
        <w:t>operates</w:t>
      </w:r>
      <w:r w:rsidRPr="37071B54" w:rsidR="45AFCFE1">
        <w:rPr>
          <w:rFonts w:ascii="Aptos" w:hAnsi="Aptos"/>
          <w:b w:val="0"/>
          <w:bCs w:val="0"/>
          <w:i w:val="0"/>
          <w:iCs w:val="0"/>
          <w:caps w:val="0"/>
          <w:smallCaps w:val="0"/>
          <w:noProof w:val="0"/>
          <w:sz w:val="24"/>
          <w:szCs w:val="24"/>
          <w:lang w:val="en-US"/>
        </w:rPr>
        <w:t xml:space="preserve"> various platforms, including the App Store that allow customers to discover and download applications and digital content, such as books, music, video, games, and podcasts, as well as advertising services include third-party licensing arrangements and its own advertising platforms. In addition, the company offers various subscription-based services, such as Apple Arcade, a game subscription service; Apple Fitness+, a personalized fitness service; Apple Music, which offers users a curated listening experience with on-demand radio stations; Apple News+, a subscription news and magazine service; Apple TV+, which offers exclusive original content; Apple Card, a co-branded credit card; and Apple Pay, a cashless payment service, as well as licenses its intellectual property. The company serves consumers, and small and mid-sized businesses; and the education, enterprise, and government markets. It distributes third-party applications for its products through the App Store. The company also sells its products through its retail and online stores, and direct sales force; and third-party cellular network carriers, wholesalers, retailers, and resellers. Apple Inc. was founded in 1976 and is headquartered in Cupertino, California.</w:t>
      </w:r>
    </w:p>
    <w:p xmlns:wp14="http://schemas.microsoft.com/office/word/2010/wordml" w:rsidP="37071B54" wp14:paraId="29DC06BA" wp14:textId="39D54888">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Financial Ratio Analysis</w:t>
      </w:r>
    </w:p>
    <w:p xmlns:wp14="http://schemas.microsoft.com/office/word/2010/wordml" w:rsidP="37071B54" wp14:paraId="4622A674" wp14:textId="7BD0B125">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Liquidity Ratios</w:t>
      </w:r>
    </w:p>
    <w:tbl>
      <w:tblPr>
        <w:tblStyle w:val="TableNormal"/>
        <w:bidiVisual w:val="0"/>
        <w:tblW w:w="0" w:type="auto"/>
        <w:tblLayout w:type="fixed"/>
        <w:tblLook w:val="06A0" w:firstRow="1" w:lastRow="0" w:firstColumn="1" w:lastColumn="0" w:noHBand="1" w:noVBand="1"/>
      </w:tblPr>
      <w:tblGrid>
        <w:gridCol w:w="2904"/>
        <w:gridCol w:w="2209"/>
        <w:gridCol w:w="2009"/>
        <w:gridCol w:w="1929"/>
      </w:tblGrid>
      <w:tr w:rsidR="37071B54" w:rsidTr="37071B54" w14:paraId="69A4BF2D">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RDefault="37071B54" w14:paraId="1DBB115E" w14:textId="4A1A23AA"/>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26284F40" w14:textId="0FF9AC88">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Current Ratio</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71431B63" w14:textId="015803C9">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Quick Ratio</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5C93029" w14:textId="18C04AF8">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Cash Ratio</w:t>
            </w:r>
          </w:p>
        </w:tc>
      </w:tr>
      <w:tr w:rsidR="37071B54" w:rsidTr="37071B54" w14:paraId="6FA21AFB">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2C574615" w14:textId="6749D67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3A64FB9B" w14:textId="356FBB9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D3A8E1B" w14:textId="5F27E64B">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3CB12249" w14:textId="412665D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0880FC1D">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0311ACCA" w14:textId="378E3D1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7E13F13" w14:textId="547DF46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1.07455</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7F3A1C10" w14:textId="7027520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1.02211</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391127E7" w14:textId="19FDC1D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0.278449</w:t>
            </w:r>
          </w:p>
        </w:tc>
      </w:tr>
      <w:tr w:rsidR="37071B54" w:rsidTr="37071B54" w14:paraId="2170508D">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701044DC" w14:textId="4E92B92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26A48F27" w14:textId="3760AA5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0.879356</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7990529F" w14:textId="75D3816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0.847235</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48847610" w14:textId="4AE20B8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0.153563</w:t>
            </w:r>
          </w:p>
        </w:tc>
      </w:tr>
      <w:tr w:rsidR="37071B54" w:rsidTr="37071B54" w14:paraId="31A71531">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21935012" w14:textId="3E53DA9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12D32F80" w14:textId="3A081AB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0.988012</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2C5D3EE4" w14:textId="0868606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0.944442</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4F592691" w14:textId="7FA7BDE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0.206217</w:t>
            </w:r>
          </w:p>
        </w:tc>
      </w:tr>
      <w:tr w:rsidR="37071B54" w:rsidTr="37071B54" w14:paraId="02B4D125">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5BF38F10" w14:textId="35F2D1C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22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55D70FEB" w14:textId="68C08EB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0.867313</w:t>
            </w:r>
          </w:p>
        </w:tc>
        <w:tc>
          <w:tcPr>
            <w:tcW w:w="2009" w:type="dxa"/>
            <w:tcBorders>
              <w:top w:val="single" w:sz="6"/>
              <w:left w:val="single" w:sz="6"/>
              <w:bottom w:val="single" w:sz="6"/>
              <w:right w:val="single" w:sz="6"/>
            </w:tcBorders>
            <w:shd w:val="clear" w:color="auto" w:fill="FFFFFF" w:themeFill="background1"/>
            <w:tcMar/>
            <w:vAlign w:val="center"/>
          </w:tcPr>
          <w:p w:rsidR="37071B54" w:rsidP="37071B54" w:rsidRDefault="37071B54" w14:paraId="0246D176" w14:textId="21C3FD2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0.826007</w:t>
            </w:r>
          </w:p>
        </w:tc>
        <w:tc>
          <w:tcPr>
            <w:tcW w:w="19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39587AFD" w14:textId="218B0D3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0.169753</w:t>
            </w:r>
          </w:p>
        </w:tc>
      </w:tr>
    </w:tbl>
    <w:p xmlns:wp14="http://schemas.microsoft.com/office/word/2010/wordml" w:rsidP="37071B54" wp14:paraId="44D8B079" wp14:textId="5F16F871">
      <w:pPr>
        <w:pStyle w:val="Normal"/>
        <w:numPr>
          <w:ilvl w:val="0"/>
          <w:numId w:val="1"/>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Current Ratio</w:t>
      </w:r>
      <w:r w:rsidRPr="37071B54" w:rsidR="45AFCFE1">
        <w:rPr>
          <w:rFonts w:ascii="Aptos" w:hAnsi="Aptos"/>
          <w:b w:val="0"/>
          <w:bCs w:val="0"/>
          <w:i w:val="0"/>
          <w:iCs w:val="0"/>
          <w:caps w:val="0"/>
          <w:smallCaps w:val="0"/>
          <w:noProof w:val="0"/>
          <w:sz w:val="24"/>
          <w:szCs w:val="24"/>
          <w:lang w:val="en-US"/>
        </w:rPr>
        <w:t>: The Current Ratio has been consistently below the ideal 1.5, and even below 1 in recent years (2022, 2024), indicating potential challenges in covering short-term liabilities with current assets.</w:t>
      </w:r>
    </w:p>
    <w:p xmlns:wp14="http://schemas.microsoft.com/office/word/2010/wordml" w:rsidP="37071B54" wp14:paraId="541838B7" wp14:textId="3E73D2AA">
      <w:pPr>
        <w:pStyle w:val="Normal"/>
        <w:numPr>
          <w:ilvl w:val="0"/>
          <w:numId w:val="1"/>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Quick Ratio</w:t>
      </w:r>
      <w:r w:rsidRPr="37071B54" w:rsidR="45AFCFE1">
        <w:rPr>
          <w:rFonts w:ascii="Aptos" w:hAnsi="Aptos"/>
          <w:b w:val="0"/>
          <w:bCs w:val="0"/>
          <w:i w:val="0"/>
          <w:iCs w:val="0"/>
          <w:caps w:val="0"/>
          <w:smallCaps w:val="0"/>
          <w:noProof w:val="0"/>
          <w:sz w:val="24"/>
          <w:szCs w:val="24"/>
          <w:lang w:val="en-US"/>
        </w:rPr>
        <w:t>: Similar to the Current Ratio, the Quick Ratio has been mostly below 1, suggesting that without inventory, the company might struggle to meet its immediate obligations.</w:t>
      </w:r>
    </w:p>
    <w:p xmlns:wp14="http://schemas.microsoft.com/office/word/2010/wordml" w:rsidP="37071B54" wp14:paraId="6AC4CCD7" wp14:textId="4625EE1D">
      <w:pPr>
        <w:pStyle w:val="Normal"/>
        <w:numPr>
          <w:ilvl w:val="0"/>
          <w:numId w:val="1"/>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Cash Ratio</w:t>
      </w:r>
      <w:r w:rsidRPr="37071B54" w:rsidR="45AFCFE1">
        <w:rPr>
          <w:rFonts w:ascii="Aptos" w:hAnsi="Aptos"/>
          <w:b w:val="0"/>
          <w:bCs w:val="0"/>
          <w:i w:val="0"/>
          <w:iCs w:val="0"/>
          <w:caps w:val="0"/>
          <w:smallCaps w:val="0"/>
          <w:noProof w:val="0"/>
          <w:sz w:val="24"/>
          <w:szCs w:val="24"/>
          <w:lang w:val="en-US"/>
        </w:rPr>
        <w:t>: The Cash Ratio is relatively low, indicating a limited pure cash position to cover current liabilities. There's a noticeable dip in 2022 and 2024.</w:t>
      </w:r>
    </w:p>
    <w:p xmlns:wp14="http://schemas.microsoft.com/office/word/2010/wordml" w:rsidP="37071B54" wp14:paraId="2D8A0A0A" wp14:textId="5CFF0D25">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Profitability Ratios</w:t>
      </w:r>
    </w:p>
    <w:tbl>
      <w:tblPr>
        <w:tblStyle w:val="TableNormal"/>
        <w:bidiVisual w:val="0"/>
        <w:tblW w:w="0" w:type="auto"/>
        <w:tblLayout w:type="fixed"/>
        <w:tblLook w:val="06A0" w:firstRow="1" w:lastRow="0" w:firstColumn="1" w:lastColumn="0" w:noHBand="1" w:noVBand="1"/>
      </w:tblPr>
      <w:tblGrid>
        <w:gridCol w:w="1367"/>
        <w:gridCol w:w="1583"/>
        <w:gridCol w:w="1613"/>
        <w:gridCol w:w="2346"/>
        <w:gridCol w:w="1212"/>
        <w:gridCol w:w="1240"/>
      </w:tblGrid>
      <w:tr w:rsidR="37071B54" w:rsidTr="37071B54" w14:paraId="0D24786D">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RDefault="37071B54" w14:paraId="157D1FB1" w14:textId="4B040C39"/>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5FBB0E62" w14:textId="71C8C6B1">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Return on Equity (RoE)</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2ABA847A" w14:textId="4AECCB96">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Return on Assets (RoA)</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647B39F9" w14:textId="06DC87D5">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Return on Capital Employed (RoCE)</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24817CDD" w14:textId="08A72087">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Net Profit Margin</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6E04C7A4" w14:textId="45157D5C">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Operating Margin</w:t>
            </w:r>
          </w:p>
        </w:tc>
      </w:tr>
      <w:tr w:rsidR="37071B54" w:rsidTr="37071B54" w14:paraId="5DB94019">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P="37071B54" w:rsidRDefault="37071B54" w14:paraId="50E60671" w14:textId="40FA11E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2BCC6725" w14:textId="47692316">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651319C6" w14:textId="590339A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3FBB1C79" w14:textId="39E02C8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489202E4" w14:textId="6F77BED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252D9A63" w14:textId="3719E03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3958F7D4">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P="37071B54" w:rsidRDefault="37071B54" w14:paraId="4597D67B" w14:textId="6563D56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70836358" w14:textId="7F39451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1.50071</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4D421580" w14:textId="0D70A93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0.269742</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1F759A41" w14:textId="79BB818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0.495972</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273AA1E5" w14:textId="292D3F5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0.258818</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366BDB75" w14:textId="153C28F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0.297824</w:t>
            </w:r>
          </w:p>
        </w:tc>
      </w:tr>
      <w:tr w:rsidR="37071B54" w:rsidTr="37071B54" w14:paraId="587BEC79">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P="37071B54" w:rsidRDefault="37071B54" w14:paraId="6FF63166" w14:textId="04179AD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60CC01F4" w14:textId="005FED7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1.96959</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56000486" w14:textId="5BDA481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0.282924</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07B8094F" w14:textId="70D01AD6">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0.600871</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09024787" w14:textId="13D227B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0.253096</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3AC83C2F" w14:textId="0DA42B4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0.302887</w:t>
            </w:r>
          </w:p>
        </w:tc>
      </w:tr>
      <w:tr w:rsidR="37071B54" w:rsidTr="37071B54" w14:paraId="0F9D53DE">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DC2F392" w14:textId="5A61A6B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35556363" w14:textId="7B9F09D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1.56076</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6954EF5E" w14:textId="4F91272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0.275098</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1736C337" w14:textId="0C75A46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0.551446</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386B7703" w14:textId="3BB76E0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0.253062</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45F6BC9D" w14:textId="0F11F58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0.298214</w:t>
            </w:r>
          </w:p>
        </w:tc>
      </w:tr>
      <w:tr w:rsidR="37071B54" w:rsidTr="37071B54" w14:paraId="42BBDA2B">
        <w:trPr>
          <w:trHeight w:val="300"/>
        </w:trPr>
        <w:tc>
          <w:tcPr>
            <w:tcW w:w="136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B965ED7" w14:textId="42FB4C3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1583" w:type="dxa"/>
            <w:tcBorders>
              <w:top w:val="single" w:sz="6"/>
              <w:left w:val="single" w:sz="6"/>
              <w:bottom w:val="single" w:sz="6"/>
              <w:right w:val="single" w:sz="6"/>
            </w:tcBorders>
            <w:shd w:val="clear" w:color="auto" w:fill="FFFFFF" w:themeFill="background1"/>
            <w:tcMar/>
            <w:vAlign w:val="center"/>
          </w:tcPr>
          <w:p w:rsidR="37071B54" w:rsidP="37071B54" w:rsidRDefault="37071B54" w14:paraId="1CE60DB6" w14:textId="0743982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1.64594</w:t>
            </w:r>
          </w:p>
        </w:tc>
        <w:tc>
          <w:tcPr>
            <w:tcW w:w="1613" w:type="dxa"/>
            <w:tcBorders>
              <w:top w:val="single" w:sz="6"/>
              <w:left w:val="single" w:sz="6"/>
              <w:bottom w:val="single" w:sz="6"/>
              <w:right w:val="single" w:sz="6"/>
            </w:tcBorders>
            <w:shd w:val="clear" w:color="auto" w:fill="FFFFFF" w:themeFill="background1"/>
            <w:tcMar/>
            <w:vAlign w:val="center"/>
          </w:tcPr>
          <w:p w:rsidR="37071B54" w:rsidP="37071B54" w:rsidRDefault="37071B54" w14:paraId="373B4E92" w14:textId="61EF5D8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0.256825</w:t>
            </w:r>
          </w:p>
        </w:tc>
        <w:tc>
          <w:tcPr>
            <w:tcW w:w="2346" w:type="dxa"/>
            <w:tcBorders>
              <w:top w:val="single" w:sz="6"/>
              <w:left w:val="single" w:sz="6"/>
              <w:bottom w:val="single" w:sz="6"/>
              <w:right w:val="single" w:sz="6"/>
            </w:tcBorders>
            <w:shd w:val="clear" w:color="auto" w:fill="FFFFFF" w:themeFill="background1"/>
            <w:tcMar/>
            <w:vAlign w:val="center"/>
          </w:tcPr>
          <w:p w:rsidR="37071B54" w:rsidP="37071B54" w:rsidRDefault="37071B54" w14:paraId="5C207CB3" w14:textId="5E4EB85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0.653361</w:t>
            </w:r>
          </w:p>
        </w:tc>
        <w:tc>
          <w:tcPr>
            <w:tcW w:w="1212" w:type="dxa"/>
            <w:tcBorders>
              <w:top w:val="single" w:sz="6"/>
              <w:left w:val="single" w:sz="6"/>
              <w:bottom w:val="single" w:sz="6"/>
              <w:right w:val="single" w:sz="6"/>
            </w:tcBorders>
            <w:shd w:val="clear" w:color="auto" w:fill="FFFFFF" w:themeFill="background1"/>
            <w:tcMar/>
            <w:vAlign w:val="center"/>
          </w:tcPr>
          <w:p w:rsidR="37071B54" w:rsidP="37071B54" w:rsidRDefault="37071B54" w14:paraId="65DC3B22" w14:textId="3C2DDB4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0.239713</w:t>
            </w:r>
          </w:p>
        </w:tc>
        <w:tc>
          <w:tcPr>
            <w:tcW w:w="1240" w:type="dxa"/>
            <w:tcBorders>
              <w:top w:val="single" w:sz="6"/>
              <w:left w:val="single" w:sz="6"/>
              <w:bottom w:val="single" w:sz="6"/>
              <w:right w:val="single" w:sz="6"/>
            </w:tcBorders>
            <w:shd w:val="clear" w:color="auto" w:fill="FFFFFF" w:themeFill="background1"/>
            <w:tcMar/>
            <w:vAlign w:val="center"/>
          </w:tcPr>
          <w:p w:rsidR="37071B54" w:rsidP="37071B54" w:rsidRDefault="37071B54" w14:paraId="300D09AE" w14:textId="243C4AB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0.315102</w:t>
            </w:r>
          </w:p>
        </w:tc>
      </w:tr>
    </w:tbl>
    <w:p xmlns:wp14="http://schemas.microsoft.com/office/word/2010/wordml" w:rsidP="37071B54" wp14:paraId="7C6AD2CC" wp14:textId="71F66B10">
      <w:pPr>
        <w:pStyle w:val="Normal"/>
        <w:numPr>
          <w:ilvl w:val="0"/>
          <w:numId w:val="2"/>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Return on Equity (RoE)</w:t>
      </w:r>
      <w:r w:rsidRPr="37071B54" w:rsidR="45AFCFE1">
        <w:rPr>
          <w:rFonts w:ascii="Aptos" w:hAnsi="Aptos"/>
          <w:b w:val="0"/>
          <w:bCs w:val="0"/>
          <w:i w:val="0"/>
          <w:iCs w:val="0"/>
          <w:caps w:val="0"/>
          <w:smallCaps w:val="0"/>
          <w:noProof w:val="0"/>
          <w:sz w:val="24"/>
          <w:szCs w:val="24"/>
          <w:lang w:val="en-US"/>
        </w:rPr>
        <w:t>: RoE is exceptionally high and consistently above 15%, indicating excellent returns on shareholder investment.</w:t>
      </w:r>
    </w:p>
    <w:p xmlns:wp14="http://schemas.microsoft.com/office/word/2010/wordml" w:rsidP="37071B54" wp14:paraId="0DA3A8A0" wp14:textId="055509F8">
      <w:pPr>
        <w:pStyle w:val="Normal"/>
        <w:numPr>
          <w:ilvl w:val="0"/>
          <w:numId w:val="2"/>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Return on Assets (RoA)</w:t>
      </w:r>
      <w:r w:rsidRPr="37071B54" w:rsidR="45AFCFE1">
        <w:rPr>
          <w:rFonts w:ascii="Aptos" w:hAnsi="Aptos"/>
          <w:b w:val="0"/>
          <w:bCs w:val="0"/>
          <w:i w:val="0"/>
          <w:iCs w:val="0"/>
          <w:caps w:val="0"/>
          <w:smallCaps w:val="0"/>
          <w:noProof w:val="0"/>
          <w:sz w:val="24"/>
          <w:szCs w:val="24"/>
          <w:lang w:val="en-US"/>
        </w:rPr>
        <w:t>: RoA is consistently high (well above 5%), demonstrating efficient asset utilization to generate earnings.</w:t>
      </w:r>
    </w:p>
    <w:p xmlns:wp14="http://schemas.microsoft.com/office/word/2010/wordml" w:rsidP="37071B54" wp14:paraId="491DC324" wp14:textId="7FE0C7E2">
      <w:pPr>
        <w:pStyle w:val="Normal"/>
        <w:numPr>
          <w:ilvl w:val="0"/>
          <w:numId w:val="2"/>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Return on Capital Employed (RoCE)</w:t>
      </w:r>
      <w:r w:rsidRPr="37071B54" w:rsidR="45AFCFE1">
        <w:rPr>
          <w:rFonts w:ascii="Aptos" w:hAnsi="Aptos"/>
          <w:b w:val="0"/>
          <w:bCs w:val="0"/>
          <w:i w:val="0"/>
          <w:iCs w:val="0"/>
          <w:caps w:val="0"/>
          <w:smallCaps w:val="0"/>
          <w:noProof w:val="0"/>
          <w:sz w:val="24"/>
          <w:szCs w:val="24"/>
          <w:lang w:val="en-US"/>
        </w:rPr>
        <w:t>: RoCE is very strong and consistently above 12%, indicating highly efficient use of capital.</w:t>
      </w:r>
    </w:p>
    <w:p xmlns:wp14="http://schemas.microsoft.com/office/word/2010/wordml" w:rsidP="37071B54" wp14:paraId="024DEF38" wp14:textId="2C6CB768">
      <w:pPr>
        <w:pStyle w:val="Normal"/>
        <w:numPr>
          <w:ilvl w:val="0"/>
          <w:numId w:val="2"/>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Net Profit Margin</w:t>
      </w:r>
      <w:r w:rsidRPr="37071B54" w:rsidR="45AFCFE1">
        <w:rPr>
          <w:rFonts w:ascii="Aptos" w:hAnsi="Aptos"/>
          <w:b w:val="0"/>
          <w:bCs w:val="0"/>
          <w:i w:val="0"/>
          <w:iCs w:val="0"/>
          <w:caps w:val="0"/>
          <w:smallCaps w:val="0"/>
          <w:noProof w:val="0"/>
          <w:sz w:val="24"/>
          <w:szCs w:val="24"/>
          <w:lang w:val="en-US"/>
        </w:rPr>
        <w:t>: Net Profit Margin is consistently strong (above 10%), showing healthy final profitability per dollar of revenue, though there's a slight downward trend in 2024.</w:t>
      </w:r>
    </w:p>
    <w:p xmlns:wp14="http://schemas.microsoft.com/office/word/2010/wordml" w:rsidP="37071B54" wp14:paraId="098A186B" wp14:textId="7D743ED5">
      <w:pPr>
        <w:pStyle w:val="Normal"/>
        <w:numPr>
          <w:ilvl w:val="0"/>
          <w:numId w:val="2"/>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Operating Margin</w:t>
      </w:r>
      <w:r w:rsidRPr="37071B54" w:rsidR="45AFCFE1">
        <w:rPr>
          <w:rFonts w:ascii="Aptos" w:hAnsi="Aptos"/>
          <w:b w:val="0"/>
          <w:bCs w:val="0"/>
          <w:i w:val="0"/>
          <w:iCs w:val="0"/>
          <w:caps w:val="0"/>
          <w:smallCaps w:val="0"/>
          <w:noProof w:val="0"/>
          <w:sz w:val="24"/>
          <w:szCs w:val="24"/>
          <w:lang w:val="en-US"/>
        </w:rPr>
        <w:t>: Operating Margin is consistently excellent (above 20%), indicating strong operational profitability and cost efficiency.</w:t>
      </w:r>
    </w:p>
    <w:p xmlns:wp14="http://schemas.microsoft.com/office/word/2010/wordml" w:rsidP="37071B54" wp14:paraId="7BD28CA1" wp14:textId="3C1BE544">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Efficiency Ratios</w:t>
      </w:r>
    </w:p>
    <w:tbl>
      <w:tblPr>
        <w:tblStyle w:val="TableNormal"/>
        <w:bidiVisual w:val="0"/>
        <w:tblW w:w="0" w:type="auto"/>
        <w:tblLayout w:type="fixed"/>
        <w:tblLook w:val="06A0" w:firstRow="1" w:lastRow="0" w:firstColumn="1" w:lastColumn="0" w:noHBand="1" w:noVBand="1"/>
      </w:tblPr>
      <w:tblGrid>
        <w:gridCol w:w="2904"/>
        <w:gridCol w:w="2418"/>
        <w:gridCol w:w="2844"/>
      </w:tblGrid>
      <w:tr w:rsidR="37071B54" w:rsidTr="37071B54" w14:paraId="702B2D7D">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RDefault="37071B54" w14:paraId="2BEE683C" w14:textId="4A952B82"/>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43F2A055" w14:textId="6652AEA1">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Asset Turnover</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04A49AB0" w14:textId="59EEB0DC">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Inventory Turnover</w:t>
            </w:r>
          </w:p>
        </w:tc>
      </w:tr>
      <w:tr w:rsidR="37071B54" w:rsidTr="37071B54" w14:paraId="02A9989E">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27A6A46" w14:textId="0025361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4E9EC145" w14:textId="2E9778C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2997F88E" w14:textId="74772D9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6679AB2A">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78AC4CA2" w14:textId="569F049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75E1E156" w14:textId="7AF6BBD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1.04221</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09087B2" w14:textId="6604C8C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0BA554DF">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2FB05CBB" w14:textId="01339A1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77F4E0BE" w14:textId="298D324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1.11785</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35EB579D" w14:textId="7696C39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38.7899</w:t>
            </w:r>
          </w:p>
        </w:tc>
      </w:tr>
      <w:tr w:rsidR="37071B54" w:rsidTr="37071B54" w14:paraId="1650B7F7">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5844767D" w14:textId="4626D98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3A35B944" w14:textId="53D2B68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1.08708</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0041B3F7" w14:textId="5EFC3C4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37.9777</w:t>
            </w:r>
          </w:p>
        </w:tc>
      </w:tr>
      <w:tr w:rsidR="37071B54" w:rsidTr="37071B54" w14:paraId="2042A57C">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5A9F5360" w14:textId="2D4DE2E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2418" w:type="dxa"/>
            <w:tcBorders>
              <w:top w:val="single" w:sz="6"/>
              <w:left w:val="single" w:sz="6"/>
              <w:bottom w:val="single" w:sz="6"/>
              <w:right w:val="single" w:sz="6"/>
            </w:tcBorders>
            <w:shd w:val="clear" w:color="auto" w:fill="FFFFFF" w:themeFill="background1"/>
            <w:tcMar/>
            <w:vAlign w:val="center"/>
          </w:tcPr>
          <w:p w:rsidR="37071B54" w:rsidP="37071B54" w:rsidRDefault="37071B54" w14:paraId="45661B82" w14:textId="5658BEE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1.07139</w:t>
            </w:r>
          </w:p>
        </w:tc>
        <w:tc>
          <w:tcPr>
            <w:tcW w:w="2844" w:type="dxa"/>
            <w:tcBorders>
              <w:top w:val="single" w:sz="6"/>
              <w:left w:val="single" w:sz="6"/>
              <w:bottom w:val="single" w:sz="6"/>
              <w:right w:val="single" w:sz="6"/>
            </w:tcBorders>
            <w:shd w:val="clear" w:color="auto" w:fill="FFFFFF" w:themeFill="background1"/>
            <w:tcMar/>
            <w:vAlign w:val="center"/>
          </w:tcPr>
          <w:p w:rsidR="37071B54" w:rsidP="37071B54" w:rsidRDefault="37071B54" w14:paraId="09982A6C" w14:textId="1F473CBB">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30.8955</w:t>
            </w:r>
          </w:p>
        </w:tc>
      </w:tr>
    </w:tbl>
    <w:p xmlns:wp14="http://schemas.microsoft.com/office/word/2010/wordml" w:rsidP="37071B54" wp14:paraId="3EBDF006" wp14:textId="35A0B853">
      <w:pPr>
        <w:pStyle w:val="Normal"/>
        <w:numPr>
          <w:ilvl w:val="0"/>
          <w:numId w:val="3"/>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Asset Turnover Ratio</w:t>
      </w:r>
      <w:r w:rsidRPr="37071B54" w:rsidR="45AFCFE1">
        <w:rPr>
          <w:rFonts w:ascii="Aptos" w:hAnsi="Aptos"/>
          <w:b w:val="0"/>
          <w:bCs w:val="0"/>
          <w:i w:val="0"/>
          <w:iCs w:val="0"/>
          <w:caps w:val="0"/>
          <w:smallCaps w:val="0"/>
          <w:noProof w:val="0"/>
          <w:sz w:val="24"/>
          <w:szCs w:val="24"/>
          <w:lang w:val="en-US"/>
        </w:rPr>
        <w:t>: The Asset Turnover Ratio is consistently above 1, indicating that the company is effectively generating sales from its assets.</w:t>
      </w:r>
    </w:p>
    <w:p xmlns:wp14="http://schemas.microsoft.com/office/word/2010/wordml" w:rsidP="37071B54" wp14:paraId="7E36B27B" wp14:textId="6E60FE28">
      <w:pPr>
        <w:pStyle w:val="Normal"/>
        <w:numPr>
          <w:ilvl w:val="0"/>
          <w:numId w:val="3"/>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Inventory Turnover</w:t>
      </w:r>
      <w:r w:rsidRPr="37071B54" w:rsidR="45AFCFE1">
        <w:rPr>
          <w:rFonts w:ascii="Aptos" w:hAnsi="Aptos"/>
          <w:b w:val="0"/>
          <w:bCs w:val="0"/>
          <w:i w:val="0"/>
          <w:iCs w:val="0"/>
          <w:caps w:val="0"/>
          <w:smallCaps w:val="0"/>
          <w:noProof w:val="0"/>
          <w:sz w:val="24"/>
          <w:szCs w:val="24"/>
          <w:lang w:val="en-US"/>
        </w:rPr>
        <w:t>: Inventory Turnover is very high (well above 5), suggesting fast-moving inventory and efficient inventory management, although there's a slight decrease in 2024.</w:t>
      </w:r>
    </w:p>
    <w:p xmlns:wp14="http://schemas.microsoft.com/office/word/2010/wordml" w:rsidP="37071B54" wp14:paraId="4CC1A033" wp14:textId="2ABD84B7">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Valuation Ratios</w:t>
      </w:r>
    </w:p>
    <w:tbl>
      <w:tblPr>
        <w:tblStyle w:val="TableNormal"/>
        <w:bidiVisual w:val="0"/>
        <w:tblW w:w="0" w:type="auto"/>
        <w:tblLayout w:type="fixed"/>
        <w:tblLook w:val="06A0" w:firstRow="1" w:lastRow="0" w:firstColumn="1" w:lastColumn="0" w:noHBand="1" w:noVBand="1"/>
      </w:tblPr>
      <w:tblGrid>
        <w:gridCol w:w="1966"/>
        <w:gridCol w:w="2257"/>
        <w:gridCol w:w="1955"/>
        <w:gridCol w:w="1945"/>
        <w:gridCol w:w="1237"/>
      </w:tblGrid>
      <w:tr w:rsidR="37071B54" w:rsidTr="37071B54" w14:paraId="0D719A2E">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RDefault="37071B54" w14:paraId="4C993F4F" w14:textId="329FF838"/>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F86A301" w14:textId="47C66912">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Price-to-Earnings (P/E)</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67B8F0B" w14:textId="1BDBB59A">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Price-to-Sales (P/S)</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FF76B1C" w14:textId="2D2C89CB">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Price-to-Book (P/B)</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E806BBD" w14:textId="1700C8C6">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EV/EBIDTA</w:t>
            </w:r>
          </w:p>
        </w:tc>
      </w:tr>
      <w:tr w:rsidR="37071B54" w:rsidTr="37071B54" w14:paraId="1590D065">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P="37071B54" w:rsidRDefault="37071B54" w14:paraId="0761C169" w14:textId="3860202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5727B9AE" w14:textId="4F43BF7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36.0833</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519D0482" w14:textId="2E0F50D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133E5A0" w14:textId="558D1A2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3349A1E" w14:textId="67CCA0B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0BD32127">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P="37071B54" w:rsidRDefault="37071B54" w14:paraId="37FA14BC" w14:textId="28088B7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4A01ABFB" w14:textId="7DCDD5B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36.0833</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2DB5E810" w14:textId="47B20E8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9.66122</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92052BF" w14:textId="675A0A2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56.019</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A46CB36" w14:textId="4B614B1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33.3718</w:t>
            </w:r>
          </w:p>
        </w:tc>
      </w:tr>
      <w:tr w:rsidR="37071B54" w:rsidTr="37071B54" w14:paraId="06183831">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P="37071B54" w:rsidRDefault="37071B54" w14:paraId="118BC9C6" w14:textId="2FC99C96">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7C52F7E" w14:textId="58862FA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36.0833</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22C00977" w14:textId="36D3304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8.96269</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1A2A652E" w14:textId="5203A59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69.7474</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682788D2" w14:textId="395DC18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30.502</w:t>
            </w:r>
          </w:p>
        </w:tc>
      </w:tr>
      <w:tr w:rsidR="37071B54" w:rsidTr="37071B54" w14:paraId="0915C50A">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P="37071B54" w:rsidRDefault="37071B54" w14:paraId="58432318" w14:textId="5E144C5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D1233DE" w14:textId="5FB571CB">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36.0833</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3B3A1153" w14:textId="4B7CDDD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9.22092</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1B8AEAF2" w14:textId="3DB3B3C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56.8699</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EE1F4A6" w14:textId="0C8D3DA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31.6302</w:t>
            </w:r>
          </w:p>
        </w:tc>
      </w:tr>
      <w:tr w:rsidR="37071B54" w:rsidTr="37071B54" w14:paraId="620EF1DA">
        <w:trPr>
          <w:trHeight w:val="300"/>
        </w:trPr>
        <w:tc>
          <w:tcPr>
            <w:tcW w:w="1966" w:type="dxa"/>
            <w:tcBorders>
              <w:top w:val="single" w:sz="6"/>
              <w:left w:val="single" w:sz="6"/>
              <w:bottom w:val="single" w:sz="6"/>
              <w:right w:val="single" w:sz="6"/>
            </w:tcBorders>
            <w:shd w:val="clear" w:color="auto" w:fill="FFFFFF" w:themeFill="background1"/>
            <w:tcMar/>
            <w:vAlign w:val="center"/>
          </w:tcPr>
          <w:p w:rsidR="37071B54" w:rsidP="37071B54" w:rsidRDefault="37071B54" w14:paraId="4DB5D36D" w14:textId="5BC6644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2257" w:type="dxa"/>
            <w:tcBorders>
              <w:top w:val="single" w:sz="6"/>
              <w:left w:val="single" w:sz="6"/>
              <w:bottom w:val="single" w:sz="6"/>
              <w:right w:val="single" w:sz="6"/>
            </w:tcBorders>
            <w:shd w:val="clear" w:color="auto" w:fill="FFFFFF" w:themeFill="background1"/>
            <w:tcMar/>
            <w:vAlign w:val="center"/>
          </w:tcPr>
          <w:p w:rsidR="37071B54" w:rsidP="37071B54" w:rsidRDefault="37071B54" w14:paraId="2373D252" w14:textId="236F2BE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36.0833</w:t>
            </w:r>
          </w:p>
        </w:tc>
        <w:tc>
          <w:tcPr>
            <w:tcW w:w="1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70920CAB" w14:textId="4BA7A60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9.03816</w:t>
            </w:r>
          </w:p>
        </w:tc>
        <w:tc>
          <w:tcPr>
            <w:tcW w:w="1945" w:type="dxa"/>
            <w:tcBorders>
              <w:top w:val="single" w:sz="6"/>
              <w:left w:val="single" w:sz="6"/>
              <w:bottom w:val="single" w:sz="6"/>
              <w:right w:val="single" w:sz="6"/>
            </w:tcBorders>
            <w:shd w:val="clear" w:color="auto" w:fill="FFFFFF" w:themeFill="background1"/>
            <w:tcMar/>
            <w:vAlign w:val="center"/>
          </w:tcPr>
          <w:p w:rsidR="37071B54" w:rsidP="37071B54" w:rsidRDefault="37071B54" w14:paraId="122C8113" w14:textId="4A0DF63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62.0586</w:t>
            </w:r>
          </w:p>
        </w:tc>
        <w:tc>
          <w:tcPr>
            <w:tcW w:w="1237" w:type="dxa"/>
            <w:tcBorders>
              <w:top w:val="single" w:sz="6"/>
              <w:left w:val="single" w:sz="6"/>
              <w:bottom w:val="single" w:sz="6"/>
              <w:right w:val="single" w:sz="6"/>
            </w:tcBorders>
            <w:shd w:val="clear" w:color="auto" w:fill="FFFFFF" w:themeFill="background1"/>
            <w:tcMar/>
            <w:vAlign w:val="center"/>
          </w:tcPr>
          <w:p w:rsidR="37071B54" w:rsidP="37071B54" w:rsidRDefault="37071B54" w14:paraId="5EC4DFC2" w14:textId="4DFBC61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29.3056</w:t>
            </w:r>
          </w:p>
        </w:tc>
      </w:tr>
    </w:tbl>
    <w:p xmlns:wp14="http://schemas.microsoft.com/office/word/2010/wordml" w:rsidP="37071B54" wp14:paraId="185581E9" wp14:textId="1B98EB10">
      <w:pPr>
        <w:pStyle w:val="Normal"/>
        <w:numPr>
          <w:ilvl w:val="0"/>
          <w:numId w:val="4"/>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Price-to-Earnings (P/E) Ratio</w:t>
      </w:r>
      <w:r w:rsidRPr="37071B54" w:rsidR="45AFCFE1">
        <w:rPr>
          <w:rFonts w:ascii="Aptos" w:hAnsi="Aptos"/>
          <w:b w:val="0"/>
          <w:bCs w:val="0"/>
          <w:i w:val="0"/>
          <w:iCs w:val="0"/>
          <w:caps w:val="0"/>
          <w:smallCaps w:val="0"/>
          <w:noProof w:val="0"/>
          <w:sz w:val="24"/>
          <w:szCs w:val="24"/>
          <w:lang w:val="en-US"/>
        </w:rPr>
        <w:t>: The P/E ratio of 36.08 is consistently above the "reasonable" threshold of &lt;20, suggesting the stock might be overvalued.</w:t>
      </w:r>
    </w:p>
    <w:p xmlns:wp14="http://schemas.microsoft.com/office/word/2010/wordml" w:rsidP="37071B54" wp14:paraId="4E6467B4" wp14:textId="28DA36A6">
      <w:pPr>
        <w:pStyle w:val="Normal"/>
        <w:numPr>
          <w:ilvl w:val="0"/>
          <w:numId w:val="4"/>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Price-to-Sales (P/S) Ratio</w:t>
      </w:r>
      <w:r w:rsidRPr="37071B54" w:rsidR="45AFCFE1">
        <w:rPr>
          <w:rFonts w:ascii="Aptos" w:hAnsi="Aptos"/>
          <w:b w:val="0"/>
          <w:bCs w:val="0"/>
          <w:i w:val="0"/>
          <w:iCs w:val="0"/>
          <w:caps w:val="0"/>
          <w:smallCaps w:val="0"/>
          <w:noProof w:val="0"/>
          <w:sz w:val="24"/>
          <w:szCs w:val="24"/>
          <w:lang w:val="en-US"/>
        </w:rPr>
        <w:t>: The P/S ratio is consistently high (well above 4), indicating that the stock is potentially overvalued based on sales.</w:t>
      </w:r>
    </w:p>
    <w:p xmlns:wp14="http://schemas.microsoft.com/office/word/2010/wordml" w:rsidP="37071B54" wp14:paraId="56011798" wp14:textId="37637DA1">
      <w:pPr>
        <w:pStyle w:val="Normal"/>
        <w:numPr>
          <w:ilvl w:val="0"/>
          <w:numId w:val="4"/>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Price-to-Book (P/B) Ratio</w:t>
      </w:r>
      <w:r w:rsidRPr="37071B54" w:rsidR="45AFCFE1">
        <w:rPr>
          <w:rFonts w:ascii="Aptos" w:hAnsi="Aptos"/>
          <w:b w:val="0"/>
          <w:bCs w:val="0"/>
          <w:i w:val="0"/>
          <w:iCs w:val="0"/>
          <w:caps w:val="0"/>
          <w:smallCaps w:val="0"/>
          <w:noProof w:val="0"/>
          <w:sz w:val="24"/>
          <w:szCs w:val="24"/>
          <w:lang w:val="en-US"/>
        </w:rPr>
        <w:t>: The P/B ratio is extremely high (well above 3), suggesting the stock is significantly overvalued compared to its book value.</w:t>
      </w:r>
    </w:p>
    <w:p xmlns:wp14="http://schemas.microsoft.com/office/word/2010/wordml" w:rsidP="37071B54" wp14:paraId="49E68C5D" wp14:textId="59B40060">
      <w:pPr>
        <w:pStyle w:val="Normal"/>
        <w:numPr>
          <w:ilvl w:val="0"/>
          <w:numId w:val="4"/>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EV/EBIDTA ratio</w:t>
      </w:r>
      <w:r w:rsidRPr="37071B54" w:rsidR="45AFCFE1">
        <w:rPr>
          <w:rFonts w:ascii="Aptos" w:hAnsi="Aptos"/>
          <w:b w:val="0"/>
          <w:bCs w:val="0"/>
          <w:i w:val="0"/>
          <w:iCs w:val="0"/>
          <w:caps w:val="0"/>
          <w:smallCaps w:val="0"/>
          <w:noProof w:val="0"/>
          <w:sz w:val="24"/>
          <w:szCs w:val="24"/>
          <w:lang w:val="en-US"/>
        </w:rPr>
        <w:t>: The EV/EBITDA ratio is consistently very high (well above 15), indicating that the company is expensive or overvalued.</w:t>
      </w:r>
    </w:p>
    <w:p xmlns:wp14="http://schemas.microsoft.com/office/word/2010/wordml" w:rsidP="37071B54" wp14:paraId="69DA8168" wp14:textId="29442A2F">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Leverage Ratios</w:t>
      </w:r>
    </w:p>
    <w:tbl>
      <w:tblPr>
        <w:tblStyle w:val="TableNormal"/>
        <w:bidiVisual w:val="0"/>
        <w:tblW w:w="0" w:type="auto"/>
        <w:tblLayout w:type="fixed"/>
        <w:tblLook w:val="06A0" w:firstRow="1" w:lastRow="0" w:firstColumn="1" w:lastColumn="0" w:noHBand="1" w:noVBand="1"/>
      </w:tblPr>
      <w:tblGrid>
        <w:gridCol w:w="2904"/>
        <w:gridCol w:w="2955"/>
        <w:gridCol w:w="2703"/>
      </w:tblGrid>
      <w:tr w:rsidR="37071B54" w:rsidTr="37071B54" w14:paraId="507D17BD">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RDefault="37071B54" w14:paraId="37DBFE3B" w14:textId="479EA1B7"/>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331341A5" w14:textId="3B6FAB7A">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Debt-to-Equity (D/E)</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5F5BFD4B" w14:textId="48CD7AC9">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Interest Coverage</w:t>
            </w:r>
          </w:p>
        </w:tc>
      </w:tr>
      <w:tr w:rsidR="37071B54" w:rsidTr="37071B54" w14:paraId="60DA7E0B">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3658DB81" w14:textId="159D8CD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F46E7BC" w14:textId="74C590E6">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37F8909D" w14:textId="3B3E326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538CAA0E">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5C1D1689" w14:textId="4F71BB5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428CBFC8" w14:textId="72F1CBB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2.16392</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02D4BF41" w14:textId="22EC522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42.2881</w:t>
            </w:r>
          </w:p>
        </w:tc>
      </w:tr>
      <w:tr w:rsidR="37071B54" w:rsidTr="37071B54" w14:paraId="116C3445">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906B1C6" w14:textId="64F6C8E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48BDE6FF" w14:textId="3EDF93A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2.61446</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7EC4743E" w14:textId="64E3F8D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40.7496</w:t>
            </w:r>
          </w:p>
        </w:tc>
      </w:tr>
      <w:tr w:rsidR="37071B54" w:rsidTr="37071B54" w14:paraId="01AC2187">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49CBCF45" w14:textId="4D25049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07F7CCE9" w14:textId="7D954732">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1.78753</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1C871E82" w14:textId="400F7F2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29.062</w:t>
            </w:r>
          </w:p>
        </w:tc>
      </w:tr>
      <w:tr w:rsidR="37071B54" w:rsidTr="37071B54" w14:paraId="2B223678">
        <w:trPr>
          <w:trHeight w:val="300"/>
        </w:trPr>
        <w:tc>
          <w:tcPr>
            <w:tcW w:w="2904" w:type="dxa"/>
            <w:tcBorders>
              <w:top w:val="single" w:sz="6"/>
              <w:left w:val="single" w:sz="6"/>
              <w:bottom w:val="single" w:sz="6"/>
              <w:right w:val="single" w:sz="6"/>
            </w:tcBorders>
            <w:shd w:val="clear" w:color="auto" w:fill="FFFFFF" w:themeFill="background1"/>
            <w:tcMar/>
            <w:vAlign w:val="center"/>
          </w:tcPr>
          <w:p w:rsidR="37071B54" w:rsidP="37071B54" w:rsidRDefault="37071B54" w14:paraId="391DBAF1" w14:textId="4BF3BB0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2955" w:type="dxa"/>
            <w:tcBorders>
              <w:top w:val="single" w:sz="6"/>
              <w:left w:val="single" w:sz="6"/>
              <w:bottom w:val="single" w:sz="6"/>
              <w:right w:val="single" w:sz="6"/>
            </w:tcBorders>
            <w:shd w:val="clear" w:color="auto" w:fill="FFFFFF" w:themeFill="background1"/>
            <w:tcMar/>
            <w:vAlign w:val="center"/>
          </w:tcPr>
          <w:p w:rsidR="37071B54" w:rsidP="37071B54" w:rsidRDefault="37071B54" w14:paraId="4EFAFDAE" w14:textId="422853F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1.87233</w:t>
            </w:r>
          </w:p>
        </w:tc>
        <w:tc>
          <w:tcPr>
            <w:tcW w:w="2703" w:type="dxa"/>
            <w:tcBorders>
              <w:top w:val="single" w:sz="6"/>
              <w:left w:val="single" w:sz="6"/>
              <w:bottom w:val="single" w:sz="6"/>
              <w:right w:val="single" w:sz="6"/>
            </w:tcBorders>
            <w:shd w:val="clear" w:color="auto" w:fill="FFFFFF" w:themeFill="background1"/>
            <w:tcMar/>
            <w:vAlign w:val="center"/>
          </w:tcPr>
          <w:p w:rsidR="37071B54" w:rsidP="37071B54" w:rsidRDefault="37071B54" w14:paraId="6D63818E" w14:textId="51CB10F0">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bl>
    <w:p xmlns:wp14="http://schemas.microsoft.com/office/word/2010/wordml" w:rsidP="37071B54" wp14:paraId="3470B00A" wp14:textId="0C2BFDC7">
      <w:pPr>
        <w:pStyle w:val="Normal"/>
        <w:numPr>
          <w:ilvl w:val="0"/>
          <w:numId w:val="5"/>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Debt-to-Equity (D/E) Ratio</w:t>
      </w:r>
      <w:r w:rsidRPr="37071B54" w:rsidR="45AFCFE1">
        <w:rPr>
          <w:rFonts w:ascii="Aptos" w:hAnsi="Aptos"/>
          <w:b w:val="0"/>
          <w:bCs w:val="0"/>
          <w:i w:val="0"/>
          <w:iCs w:val="0"/>
          <w:caps w:val="0"/>
          <w:smallCaps w:val="0"/>
          <w:noProof w:val="0"/>
          <w:sz w:val="24"/>
          <w:szCs w:val="24"/>
          <w:lang w:val="en-US"/>
        </w:rPr>
        <w:t>: The D/E ratio has been consistently above 1.0, and even above 2.0 in 2021 and 2022, indicating a higher debt risk. While it improved in 2023 and 2024, it still remains in the moderate to high-risk category.</w:t>
      </w:r>
    </w:p>
    <w:p xmlns:wp14="http://schemas.microsoft.com/office/word/2010/wordml" w:rsidP="37071B54" wp14:paraId="6DF08A49" wp14:textId="27A2A653">
      <w:pPr>
        <w:pStyle w:val="Normal"/>
        <w:numPr>
          <w:ilvl w:val="0"/>
          <w:numId w:val="5"/>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Interest Coverage</w:t>
      </w:r>
      <w:r w:rsidRPr="37071B54" w:rsidR="45AFCFE1">
        <w:rPr>
          <w:rFonts w:ascii="Aptos" w:hAnsi="Aptos"/>
          <w:b w:val="0"/>
          <w:bCs w:val="0"/>
          <w:i w:val="0"/>
          <w:iCs w:val="0"/>
          <w:caps w:val="0"/>
          <w:smallCaps w:val="0"/>
          <w:noProof w:val="0"/>
          <w:sz w:val="24"/>
          <w:szCs w:val="24"/>
          <w:lang w:val="en-US"/>
        </w:rPr>
        <w:t>: The Interest Coverage ratio is very strong (well above 3), indicating that the company can comfortably cover its interest expenses, despite the high D/E ratio.</w:t>
      </w:r>
    </w:p>
    <w:p xmlns:wp14="http://schemas.microsoft.com/office/word/2010/wordml" w:rsidP="37071B54" wp14:paraId="06FF0932" wp14:textId="4848AA97">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Performance and Growth Metrics</w:t>
      </w:r>
    </w:p>
    <w:tbl>
      <w:tblPr>
        <w:tblStyle w:val="TableNormal"/>
        <w:bidiVisual w:val="0"/>
        <w:tblW w:w="0" w:type="auto"/>
        <w:tblLayout w:type="fixed"/>
        <w:tblLook w:val="06A0" w:firstRow="1" w:lastRow="0" w:firstColumn="1" w:lastColumn="0" w:noHBand="1" w:noVBand="1"/>
      </w:tblPr>
      <w:tblGrid>
        <w:gridCol w:w="1179"/>
        <w:gridCol w:w="1234"/>
        <w:gridCol w:w="1047"/>
        <w:gridCol w:w="1230"/>
        <w:gridCol w:w="1035"/>
        <w:gridCol w:w="629"/>
        <w:gridCol w:w="943"/>
        <w:gridCol w:w="1047"/>
        <w:gridCol w:w="1016"/>
      </w:tblGrid>
      <w:tr w:rsidR="37071B54" w:rsidTr="37071B54" w14:paraId="6E55DA0D">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RDefault="37071B54" w14:paraId="2AE4F380" w14:textId="6A9A3AE2"/>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ED83E4E" w14:textId="109B872B">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Revenue Growth (%)</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1C3FE2A" w14:textId="3B9E1C5A">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EBIT Growth (%)</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1968587D" w14:textId="5F593E12">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Net Profit Margin (%)</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2F8F0F92" w14:textId="135578E2">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EPS Growth (%)</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333FAB51" w14:textId="60A31358">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EPS</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049710CD" w14:textId="6DBD065D">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Debt-to-Equity</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64C1032" w14:textId="0FC330FB">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Free Cash Flow</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3F3494E4" w14:textId="37C05F2E">
            <w:pPr>
              <w:rPr>
                <w:rFonts w:ascii="Aptos" w:hAnsi="Aptos"/>
                <w:b w:val="1"/>
                <w:bCs w:val="1"/>
                <w:i w:val="0"/>
                <w:iCs w:val="0"/>
                <w:caps w:val="0"/>
                <w:smallCaps w:val="0"/>
                <w:sz w:val="24"/>
                <w:szCs w:val="24"/>
              </w:rPr>
            </w:pPr>
            <w:r w:rsidRPr="37071B54" w:rsidR="37071B54">
              <w:rPr>
                <w:rFonts w:ascii="Aptos" w:hAnsi="Aptos"/>
                <w:b w:val="1"/>
                <w:bCs w:val="1"/>
                <w:i w:val="0"/>
                <w:iCs w:val="0"/>
                <w:caps w:val="0"/>
                <w:smallCaps w:val="0"/>
                <w:sz w:val="24"/>
                <w:szCs w:val="24"/>
              </w:rPr>
              <w:t>FCF Growth (%)</w:t>
            </w:r>
          </w:p>
        </w:tc>
      </w:tr>
      <w:tr w:rsidR="37071B54" w:rsidTr="37071B54" w14:paraId="6BFD859B">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P="37071B54" w:rsidRDefault="37071B54" w14:paraId="4CF34DF9" w14:textId="01AA632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2020-09-30 00:00:00</w:t>
            </w:r>
          </w:p>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B30A4EC" w14:textId="0D94C0B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598EDA76" w14:textId="700E426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63D0556B" w14:textId="2B389D5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69C7C6F9" w14:textId="2C0BA64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4D6FAB4" w14:textId="3375262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01E33FE9" w14:textId="09E66DA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221739C2" w14:textId="11921A3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6045456B" w14:textId="2DB7500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0CED3E13">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P="37071B54" w:rsidRDefault="37071B54" w14:paraId="1E5C3F6A" w14:textId="2DDD33A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2021-09-30 00:00:00</w:t>
            </w:r>
          </w:p>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2C9AA248" w14:textId="26C37CF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5738D88" w14:textId="781877D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519248A0" w14:textId="2E88358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25.8818</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1EEEC823" w14:textId="0FCE94B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72D4504D" w14:textId="69539797">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5.76376</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5E39A46C" w14:textId="7C2F295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2.16392</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4C85035" w14:textId="19D39DA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9.2953e+10</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072C84A1" w14:textId="651A0B9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nan</w:t>
            </w:r>
          </w:p>
        </w:tc>
      </w:tr>
      <w:tr w:rsidR="37071B54" w:rsidTr="37071B54" w14:paraId="6EA4CA13">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EBCF03E" w14:textId="16C8D699">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2022-09-30 00:00:00</w:t>
            </w:r>
          </w:p>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5988FAD6" w14:textId="4E3AD2C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7.79379</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6A228FD" w14:textId="183B1E2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6.78128</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2F4298FD" w14:textId="5A2C94D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25.3096</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7C6E18BA" w14:textId="426F5D3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8.60663</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7395C823" w14:textId="2BEA89E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6.25982</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504B25C1" w14:textId="51DBED0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2.61446</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4CAC92FA" w14:textId="7CE09F4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1.11443e+11</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6CD7A357" w14:textId="221636C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19.8918</w:t>
            </w:r>
          </w:p>
        </w:tc>
      </w:tr>
      <w:tr w:rsidR="37071B54" w:rsidTr="37071B54" w14:paraId="240F128D">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P="37071B54" w:rsidRDefault="37071B54" w14:paraId="2718346B" w14:textId="13A0E64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2023-09-30 00:00:00</w:t>
            </w:r>
          </w:p>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1A65727A" w14:textId="2C6AD50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-2.80046</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0477420D" w14:textId="1E29A1A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-4.30017</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11974280" w14:textId="74DD02BF">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25.3062</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5DA51E92" w14:textId="42D098FB">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-0.355054</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2EBB53D9" w14:textId="4FF4254E">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6.2376</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407F2D37" w14:textId="4C7A5E1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1.78753</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691EC4D" w14:textId="3D61D4FC">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9.9584e+10</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09C0FCBF" w14:textId="12574E7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-10.6413</w:t>
            </w:r>
          </w:p>
        </w:tc>
      </w:tr>
      <w:tr w:rsidR="37071B54" w:rsidTr="37071B54" w14:paraId="3152BAF8">
        <w:trPr>
          <w:trHeight w:val="300"/>
        </w:trPr>
        <w:tc>
          <w:tcPr>
            <w:tcW w:w="1179" w:type="dxa"/>
            <w:tcBorders>
              <w:top w:val="single" w:sz="6"/>
              <w:left w:val="single" w:sz="6"/>
              <w:bottom w:val="single" w:sz="6"/>
              <w:right w:val="single" w:sz="6"/>
            </w:tcBorders>
            <w:shd w:val="clear" w:color="auto" w:fill="FFFFFF" w:themeFill="background1"/>
            <w:tcMar/>
            <w:vAlign w:val="center"/>
          </w:tcPr>
          <w:p w:rsidR="37071B54" w:rsidP="37071B54" w:rsidRDefault="37071B54" w14:paraId="55563D5E" w14:textId="37276CA4">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2024-09-30 00:00:00</w:t>
            </w:r>
          </w:p>
        </w:tc>
        <w:tc>
          <w:tcPr>
            <w:tcW w:w="1234" w:type="dxa"/>
            <w:tcBorders>
              <w:top w:val="single" w:sz="6"/>
              <w:left w:val="single" w:sz="6"/>
              <w:bottom w:val="single" w:sz="6"/>
              <w:right w:val="single" w:sz="6"/>
            </w:tcBorders>
            <w:shd w:val="clear" w:color="auto" w:fill="FFFFFF" w:themeFill="background1"/>
            <w:tcMar/>
            <w:vAlign w:val="center"/>
          </w:tcPr>
          <w:p w:rsidR="37071B54" w:rsidP="37071B54" w:rsidRDefault="37071B54" w14:paraId="3427A905" w14:textId="38A428F1">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2.02199</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1A87755C" w14:textId="625B93E8">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7.79958</w:t>
            </w:r>
          </w:p>
        </w:tc>
        <w:tc>
          <w:tcPr>
            <w:tcW w:w="1230" w:type="dxa"/>
            <w:tcBorders>
              <w:top w:val="single" w:sz="6"/>
              <w:left w:val="single" w:sz="6"/>
              <w:bottom w:val="single" w:sz="6"/>
              <w:right w:val="single" w:sz="6"/>
            </w:tcBorders>
            <w:shd w:val="clear" w:color="auto" w:fill="FFFFFF" w:themeFill="background1"/>
            <w:tcMar/>
            <w:vAlign w:val="center"/>
          </w:tcPr>
          <w:p w:rsidR="37071B54" w:rsidP="37071B54" w:rsidRDefault="37071B54" w14:paraId="32401BC2" w14:textId="74719BEA">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23.9713</w:t>
            </w:r>
          </w:p>
        </w:tc>
        <w:tc>
          <w:tcPr>
            <w:tcW w:w="1035" w:type="dxa"/>
            <w:tcBorders>
              <w:top w:val="single" w:sz="6"/>
              <w:left w:val="single" w:sz="6"/>
              <w:bottom w:val="single" w:sz="6"/>
              <w:right w:val="single" w:sz="6"/>
            </w:tcBorders>
            <w:shd w:val="clear" w:color="auto" w:fill="FFFFFF" w:themeFill="background1"/>
            <w:tcMar/>
            <w:vAlign w:val="center"/>
          </w:tcPr>
          <w:p w:rsidR="37071B54" w:rsidP="37071B54" w:rsidRDefault="37071B54" w14:paraId="79B3EF68" w14:textId="6A0B1FC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-0.590085</w:t>
            </w:r>
          </w:p>
        </w:tc>
        <w:tc>
          <w:tcPr>
            <w:tcW w:w="629" w:type="dxa"/>
            <w:tcBorders>
              <w:top w:val="single" w:sz="6"/>
              <w:left w:val="single" w:sz="6"/>
              <w:bottom w:val="single" w:sz="6"/>
              <w:right w:val="single" w:sz="6"/>
            </w:tcBorders>
            <w:shd w:val="clear" w:color="auto" w:fill="FFFFFF" w:themeFill="background1"/>
            <w:tcMar/>
            <w:vAlign w:val="center"/>
          </w:tcPr>
          <w:p w:rsidR="37071B54" w:rsidP="37071B54" w:rsidRDefault="37071B54" w14:paraId="61AD2B1B" w14:textId="13A2DF5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6.20079</w:t>
            </w:r>
          </w:p>
        </w:tc>
        <w:tc>
          <w:tcPr>
            <w:tcW w:w="943" w:type="dxa"/>
            <w:tcBorders>
              <w:top w:val="single" w:sz="6"/>
              <w:left w:val="single" w:sz="6"/>
              <w:bottom w:val="single" w:sz="6"/>
              <w:right w:val="single" w:sz="6"/>
            </w:tcBorders>
            <w:shd w:val="clear" w:color="auto" w:fill="FFFFFF" w:themeFill="background1"/>
            <w:tcMar/>
            <w:vAlign w:val="center"/>
          </w:tcPr>
          <w:p w:rsidR="37071B54" w:rsidP="37071B54" w:rsidRDefault="37071B54" w14:paraId="76F66CD9" w14:textId="3F77B673">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1.87233</w:t>
            </w:r>
          </w:p>
        </w:tc>
        <w:tc>
          <w:tcPr>
            <w:tcW w:w="1047" w:type="dxa"/>
            <w:tcBorders>
              <w:top w:val="single" w:sz="6"/>
              <w:left w:val="single" w:sz="6"/>
              <w:bottom w:val="single" w:sz="6"/>
              <w:right w:val="single" w:sz="6"/>
            </w:tcBorders>
            <w:shd w:val="clear" w:color="auto" w:fill="FFFFFF" w:themeFill="background1"/>
            <w:tcMar/>
            <w:vAlign w:val="center"/>
          </w:tcPr>
          <w:p w:rsidR="37071B54" w:rsidP="37071B54" w:rsidRDefault="37071B54" w14:paraId="7F25AF25" w14:textId="33E2974D">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1.08807e+11</w:t>
            </w:r>
          </w:p>
        </w:tc>
        <w:tc>
          <w:tcPr>
            <w:tcW w:w="1016" w:type="dxa"/>
            <w:tcBorders>
              <w:top w:val="single" w:sz="6"/>
              <w:left w:val="single" w:sz="6"/>
              <w:bottom w:val="single" w:sz="6"/>
              <w:right w:val="single" w:sz="6"/>
            </w:tcBorders>
            <w:shd w:val="clear" w:color="auto" w:fill="FFFFFF" w:themeFill="background1"/>
            <w:tcMar/>
            <w:vAlign w:val="center"/>
          </w:tcPr>
          <w:p w:rsidR="37071B54" w:rsidP="37071B54" w:rsidRDefault="37071B54" w14:paraId="5BB00B7B" w14:textId="378DBD15">
            <w:pPr>
              <w:rPr>
                <w:rFonts w:ascii="Aptos" w:hAnsi="Aptos"/>
                <w:b w:val="0"/>
                <w:bCs w:val="0"/>
                <w:i w:val="0"/>
                <w:iCs w:val="0"/>
                <w:caps w:val="0"/>
                <w:smallCaps w:val="0"/>
                <w:sz w:val="24"/>
                <w:szCs w:val="24"/>
              </w:rPr>
            </w:pPr>
            <w:r w:rsidRPr="37071B54" w:rsidR="37071B54">
              <w:rPr>
                <w:rFonts w:ascii="Aptos" w:hAnsi="Aptos"/>
                <w:b w:val="0"/>
                <w:bCs w:val="0"/>
                <w:i w:val="0"/>
                <w:iCs w:val="0"/>
                <w:caps w:val="0"/>
                <w:smallCaps w:val="0"/>
                <w:sz w:val="24"/>
                <w:szCs w:val="24"/>
              </w:rPr>
              <w:t>9.26153</w:t>
            </w:r>
          </w:p>
        </w:tc>
      </w:tr>
    </w:tbl>
    <w:p xmlns:wp14="http://schemas.microsoft.com/office/word/2010/wordml" w:rsidP="37071B54" wp14:paraId="4E1CDF9B" wp14:textId="08C4F556">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Revenue Growth (%)</w:t>
      </w:r>
      <w:r w:rsidRPr="37071B54" w:rsidR="45AFCFE1">
        <w:rPr>
          <w:rFonts w:ascii="Aptos" w:hAnsi="Aptos"/>
          <w:b w:val="0"/>
          <w:bCs w:val="0"/>
          <w:i w:val="0"/>
          <w:iCs w:val="0"/>
          <w:caps w:val="0"/>
          <w:smallCaps w:val="0"/>
          <w:noProof w:val="0"/>
          <w:sz w:val="24"/>
          <w:szCs w:val="24"/>
          <w:lang w:val="en-US"/>
        </w:rPr>
        <w:t>: Revenue growth has been inconsistent, with a decline in 2023 and slow growth in 2024, suggesting challenges in maintaining strong top-line expansion.</w:t>
      </w:r>
    </w:p>
    <w:p xmlns:wp14="http://schemas.microsoft.com/office/word/2010/wordml" w:rsidP="37071B54" wp14:paraId="4D01802D" wp14:textId="1CB3620B">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EBIT Growth (%)</w:t>
      </w:r>
      <w:r w:rsidRPr="37071B54" w:rsidR="45AFCFE1">
        <w:rPr>
          <w:rFonts w:ascii="Aptos" w:hAnsi="Aptos"/>
          <w:b w:val="0"/>
          <w:bCs w:val="0"/>
          <w:i w:val="0"/>
          <w:iCs w:val="0"/>
          <w:caps w:val="0"/>
          <w:smallCaps w:val="0"/>
          <w:noProof w:val="0"/>
          <w:sz w:val="24"/>
          <w:szCs w:val="24"/>
          <w:lang w:val="en-US"/>
        </w:rPr>
        <w:t>: EBIT growth shows volatility, with a decline in 2023, but a recovery to moderate growth in 2024.</w:t>
      </w:r>
    </w:p>
    <w:p xmlns:wp14="http://schemas.microsoft.com/office/word/2010/wordml" w:rsidP="37071B54" wp14:paraId="3AB8EA17" wp14:textId="5271A9DA">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Net Profit Margin (%)</w:t>
      </w:r>
      <w:r w:rsidRPr="37071B54" w:rsidR="45AFCFE1">
        <w:rPr>
          <w:rFonts w:ascii="Aptos" w:hAnsi="Aptos"/>
          <w:b w:val="0"/>
          <w:bCs w:val="0"/>
          <w:i w:val="0"/>
          <w:iCs w:val="0"/>
          <w:caps w:val="0"/>
          <w:smallCaps w:val="0"/>
          <w:noProof w:val="0"/>
          <w:sz w:val="24"/>
          <w:szCs w:val="24"/>
          <w:lang w:val="en-US"/>
        </w:rPr>
        <w:t>: Net Profit Margin is consistently healthy (above 10%), though there's a slight downward trend in 2024.</w:t>
      </w:r>
    </w:p>
    <w:p xmlns:wp14="http://schemas.microsoft.com/office/word/2010/wordml" w:rsidP="37071B54" wp14:paraId="27FF3B64" wp14:textId="4C0AB7C4">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EPS Growth (%)</w:t>
      </w:r>
      <w:r w:rsidRPr="37071B54" w:rsidR="45AFCFE1">
        <w:rPr>
          <w:rFonts w:ascii="Aptos" w:hAnsi="Aptos"/>
          <w:b w:val="0"/>
          <w:bCs w:val="0"/>
          <w:i w:val="0"/>
          <w:iCs w:val="0"/>
          <w:caps w:val="0"/>
          <w:smallCaps w:val="0"/>
          <w:noProof w:val="0"/>
          <w:sz w:val="24"/>
          <w:szCs w:val="24"/>
          <w:lang w:val="en-US"/>
        </w:rPr>
        <w:t>: EPS growth has been concerning, with a decline in both 2023 and 2024, indicating shrinking earnings per share.</w:t>
      </w:r>
    </w:p>
    <w:p xmlns:wp14="http://schemas.microsoft.com/office/word/2010/wordml" w:rsidP="37071B54" wp14:paraId="0575719E" wp14:textId="43D4F223">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EPS</w:t>
      </w:r>
      <w:r w:rsidRPr="37071B54" w:rsidR="45AFCFE1">
        <w:rPr>
          <w:rFonts w:ascii="Aptos" w:hAnsi="Aptos"/>
          <w:b w:val="0"/>
          <w:bCs w:val="0"/>
          <w:i w:val="0"/>
          <w:iCs w:val="0"/>
          <w:caps w:val="0"/>
          <w:smallCaps w:val="0"/>
          <w:noProof w:val="0"/>
          <w:sz w:val="24"/>
          <w:szCs w:val="24"/>
          <w:lang w:val="en-US"/>
        </w:rPr>
        <w:t>: EPS has shown a slight decline in the last two years, which aligns with the negative EPS growth.</w:t>
      </w:r>
    </w:p>
    <w:p xmlns:wp14="http://schemas.microsoft.com/office/word/2010/wordml" w:rsidP="37071B54" wp14:paraId="417E9A93" wp14:textId="1AD917E1">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Debt-to-Equity</w:t>
      </w:r>
      <w:r w:rsidRPr="37071B54" w:rsidR="45AFCFE1">
        <w:rPr>
          <w:rFonts w:ascii="Aptos" w:hAnsi="Aptos"/>
          <w:b w:val="0"/>
          <w:bCs w:val="0"/>
          <w:i w:val="0"/>
          <w:iCs w:val="0"/>
          <w:caps w:val="0"/>
          <w:smallCaps w:val="0"/>
          <w:noProof w:val="0"/>
          <w:sz w:val="24"/>
          <w:szCs w:val="24"/>
          <w:lang w:val="en-US"/>
        </w:rPr>
        <w:t>: The D/E ratio is consistently above 1.0, indicating a moderate to high debt burden.</w:t>
      </w:r>
    </w:p>
    <w:p xmlns:wp14="http://schemas.microsoft.com/office/word/2010/wordml" w:rsidP="37071B54" wp14:paraId="21737140" wp14:textId="01BDD22E">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Free Cash Flow</w:t>
      </w:r>
      <w:r w:rsidRPr="37071B54" w:rsidR="45AFCFE1">
        <w:rPr>
          <w:rFonts w:ascii="Aptos" w:hAnsi="Aptos"/>
          <w:b w:val="0"/>
          <w:bCs w:val="0"/>
          <w:i w:val="0"/>
          <w:iCs w:val="0"/>
          <w:caps w:val="0"/>
          <w:smallCaps w:val="0"/>
          <w:noProof w:val="0"/>
          <w:sz w:val="24"/>
          <w:szCs w:val="24"/>
          <w:lang w:val="en-US"/>
        </w:rPr>
        <w:t>: Free Cash Flow is consistently positive and substantial, indicating strong cash generation, although there was a dip in 2023.</w:t>
      </w:r>
    </w:p>
    <w:p xmlns:wp14="http://schemas.microsoft.com/office/word/2010/wordml" w:rsidP="37071B54" wp14:paraId="151E566C" wp14:textId="3E5817D4">
      <w:pPr>
        <w:pStyle w:val="Normal"/>
        <w:numPr>
          <w:ilvl w:val="0"/>
          <w:numId w:val="6"/>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FCF Growth (%)</w:t>
      </w:r>
      <w:r w:rsidRPr="37071B54" w:rsidR="45AFCFE1">
        <w:rPr>
          <w:rFonts w:ascii="Aptos" w:hAnsi="Aptos"/>
          <w:b w:val="0"/>
          <w:bCs w:val="0"/>
          <w:i w:val="0"/>
          <w:iCs w:val="0"/>
          <w:caps w:val="0"/>
          <w:smallCaps w:val="0"/>
          <w:noProof w:val="0"/>
          <w:sz w:val="24"/>
          <w:szCs w:val="24"/>
          <w:lang w:val="en-US"/>
        </w:rPr>
        <w:t>: FCF growth has been volatile, with a strong increase in 2022, a decline in 2023, and moderate growth in 2024.</w:t>
      </w:r>
    </w:p>
    <w:p xmlns:wp14="http://schemas.microsoft.com/office/word/2010/wordml" w:rsidP="37071B54" wp14:paraId="1646EFAB" wp14:textId="2BB956F5">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Analysis of Performance Ratios</w:t>
      </w:r>
    </w:p>
    <w:p xmlns:wp14="http://schemas.microsoft.com/office/word/2010/wordml" w:rsidP="37071B54" wp14:paraId="105017A3" wp14:textId="7D73E0D7">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Liquidity Ratios</w:t>
      </w:r>
      <w:r w:rsidRPr="37071B54" w:rsidR="45AFCFE1">
        <w:rPr>
          <w:rFonts w:ascii="Aptos" w:hAnsi="Aptos"/>
          <w:b w:val="0"/>
          <w:bCs w:val="0"/>
          <w:i w:val="0"/>
          <w:iCs w:val="0"/>
          <w:caps w:val="0"/>
          <w:smallCaps w:val="0"/>
          <w:noProof w:val="0"/>
          <w:sz w:val="24"/>
          <w:szCs w:val="24"/>
          <w:lang w:val="en-US"/>
        </w:rPr>
        <w:t>: Apple's liquidity ratios (Current, Quick, and Cash Ratios) are generally below ideal benchmarks, suggesting potential short-term liquidity challenges, particularly in covering immediate liabilities without relying on inventory.</w:t>
      </w:r>
    </w:p>
    <w:p xmlns:wp14="http://schemas.microsoft.com/office/word/2010/wordml" w:rsidP="37071B54" wp14:paraId="057E8378" wp14:textId="7EDA878F">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Profitability Ratios</w:t>
      </w:r>
      <w:r w:rsidRPr="37071B54" w:rsidR="45AFCFE1">
        <w:rPr>
          <w:rFonts w:ascii="Aptos" w:hAnsi="Aptos"/>
          <w:b w:val="0"/>
          <w:bCs w:val="0"/>
          <w:i w:val="0"/>
          <w:iCs w:val="0"/>
          <w:caps w:val="0"/>
          <w:smallCaps w:val="0"/>
          <w:noProof w:val="0"/>
          <w:sz w:val="24"/>
          <w:szCs w:val="24"/>
          <w:lang w:val="en-US"/>
        </w:rPr>
        <w:t>: The company demonstrates exceptional profitability, with consistently high Return on Equity, Return on Assets, Return on Capital Employed, Net Profit Margin, and Operating Margin, indicating highly efficient operations and strong returns for shareholders.</w:t>
      </w:r>
    </w:p>
    <w:p xmlns:wp14="http://schemas.microsoft.com/office/word/2010/wordml" w:rsidP="37071B54" wp14:paraId="04427112" wp14:textId="797311DA">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Efficiency Ratios</w:t>
      </w:r>
      <w:r w:rsidRPr="37071B54" w:rsidR="45AFCFE1">
        <w:rPr>
          <w:rFonts w:ascii="Aptos" w:hAnsi="Aptos"/>
          <w:b w:val="0"/>
          <w:bCs w:val="0"/>
          <w:i w:val="0"/>
          <w:iCs w:val="0"/>
          <w:caps w:val="0"/>
          <w:smallCaps w:val="0"/>
          <w:noProof w:val="0"/>
          <w:sz w:val="24"/>
          <w:szCs w:val="24"/>
          <w:lang w:val="en-US"/>
        </w:rPr>
        <w:t>: Apple exhibits strong operational efficiency, with an Asset Turnover Ratio consistently above 1 and a very high Inventory Turnover, signifying effective asset utilization and rapid inventory movement.</w:t>
      </w:r>
    </w:p>
    <w:p xmlns:wp14="http://schemas.microsoft.com/office/word/2010/wordml" w:rsidP="37071B54" wp14:paraId="6D9DCEB3" wp14:textId="3DF0B50D">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Valuation Ratios</w:t>
      </w:r>
      <w:r w:rsidRPr="37071B54" w:rsidR="45AFCFE1">
        <w:rPr>
          <w:rFonts w:ascii="Aptos" w:hAnsi="Aptos"/>
          <w:b w:val="0"/>
          <w:bCs w:val="0"/>
          <w:i w:val="0"/>
          <w:iCs w:val="0"/>
          <w:caps w:val="0"/>
          <w:smallCaps w:val="0"/>
          <w:noProof w:val="0"/>
          <w:sz w:val="24"/>
          <w:szCs w:val="24"/>
          <w:lang w:val="en-US"/>
        </w:rPr>
        <w:t>: All valuation ratios (P/E, P/S, P/B, and EV/EBITDA) are significantly high, suggesting that Apple's stock is currently overvalued compared to industry benchmarks and its intrinsic value.</w:t>
      </w:r>
    </w:p>
    <w:p xmlns:wp14="http://schemas.microsoft.com/office/word/2010/wordml" w:rsidP="37071B54" wp14:paraId="770A31B7" wp14:textId="5ACF0721">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Leverage Ratios</w:t>
      </w:r>
      <w:r w:rsidRPr="37071B54" w:rsidR="45AFCFE1">
        <w:rPr>
          <w:rFonts w:ascii="Aptos" w:hAnsi="Aptos"/>
          <w:b w:val="0"/>
          <w:bCs w:val="0"/>
          <w:i w:val="0"/>
          <w:iCs w:val="0"/>
          <w:caps w:val="0"/>
          <w:smallCaps w:val="0"/>
          <w:noProof w:val="0"/>
          <w:sz w:val="24"/>
          <w:szCs w:val="24"/>
          <w:lang w:val="en-US"/>
        </w:rPr>
        <w:t>: The Debt-to-Equity ratio indicates a moderate to high debt burden, which is a point of concern. However, the very strong Interest Coverage ratio suggests that the company can comfortably service its debt obligations.</w:t>
      </w:r>
    </w:p>
    <w:p xmlns:wp14="http://schemas.microsoft.com/office/word/2010/wordml" w:rsidP="37071B54" wp14:paraId="088B0A23" wp14:textId="784E068C">
      <w:pPr>
        <w:pStyle w:val="Normal"/>
        <w:numPr>
          <w:ilvl w:val="0"/>
          <w:numId w:val="7"/>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Performance and Growth Metrics</w:t>
      </w:r>
      <w:r w:rsidRPr="37071B54" w:rsidR="45AFCFE1">
        <w:rPr>
          <w:rFonts w:ascii="Aptos" w:hAnsi="Aptos"/>
          <w:b w:val="0"/>
          <w:bCs w:val="0"/>
          <w:i w:val="0"/>
          <w:iCs w:val="0"/>
          <w:caps w:val="0"/>
          <w:smallCaps w:val="0"/>
          <w:noProof w:val="0"/>
          <w:sz w:val="24"/>
          <w:szCs w:val="24"/>
          <w:lang w:val="en-US"/>
        </w:rPr>
        <w:t>: While Apple shows strong free cash flow generation and healthy net profit margins, its revenue growth and EPS growth have been inconsistent and even negative in recent years, raising questions about sustainable top-line and per-share earnings expansion.</w:t>
      </w:r>
    </w:p>
    <w:p xmlns:wp14="http://schemas.microsoft.com/office/word/2010/wordml" w:rsidP="37071B54" wp14:paraId="11E47136" wp14:textId="745D9591">
      <w:pPr>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Conclusions:</w:t>
      </w:r>
    </w:p>
    <w:p xmlns:wp14="http://schemas.microsoft.com/office/word/2010/wordml" w:rsidP="37071B54" wp14:paraId="67AB0F67" wp14:textId="368A18C2">
      <w:pPr>
        <w:pStyle w:val="Normal"/>
        <w:numPr>
          <w:ilvl w:val="0"/>
          <w:numId w:val="8"/>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Is the company growing revenue and profit sustainably?</w:t>
      </w:r>
      <w:r w:rsidRPr="37071B54" w:rsidR="45AFCFE1">
        <w:rPr>
          <w:rFonts w:ascii="Aptos" w:hAnsi="Aptos"/>
          <w:b w:val="0"/>
          <w:bCs w:val="0"/>
          <w:i w:val="0"/>
          <w:iCs w:val="0"/>
          <w:caps w:val="0"/>
          <w:smallCaps w:val="0"/>
          <w:noProof w:val="0"/>
          <w:sz w:val="24"/>
          <w:szCs w:val="24"/>
          <w:lang w:val="en-US"/>
        </w:rPr>
        <w:t xml:space="preserve"> Apple's revenue growth has been inconsistent, with a decline in 2023 and slow growth in 2024. Similarly, EPS growth has been negative in the last two years. While profitability margins remain strong, the lack of consistent top-line and per-share earnings growth suggests that sustainable growth is currently challenged.</w:t>
      </w:r>
    </w:p>
    <w:p xmlns:wp14="http://schemas.microsoft.com/office/word/2010/wordml" w:rsidP="37071B54" wp14:paraId="5D1CFD18" wp14:textId="75763EB3">
      <w:pPr>
        <w:pStyle w:val="Normal"/>
        <w:numPr>
          <w:ilvl w:val="0"/>
          <w:numId w:val="8"/>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Is it over-leveraged or overvalued?</w:t>
      </w:r>
      <w:r w:rsidRPr="37071B54" w:rsidR="45AFCFE1">
        <w:rPr>
          <w:rFonts w:ascii="Aptos" w:hAnsi="Aptos"/>
          <w:b w:val="0"/>
          <w:bCs w:val="0"/>
          <w:i w:val="0"/>
          <w:iCs w:val="0"/>
          <w:caps w:val="0"/>
          <w:smallCaps w:val="0"/>
          <w:noProof w:val="0"/>
          <w:sz w:val="24"/>
          <w:szCs w:val="24"/>
          <w:lang w:val="en-US"/>
        </w:rPr>
        <w:t xml:space="preserve"> Based on the valuation ratios (P/E, P/S, P/B, EV/EBITDA), Apple appears to be significantly overvalued. The Debt-to-Equity ratio indicates a moderate to high level of leverage, suggesting some debt risk, although the strong interest coverage mitigates immediate concerns about debt servicing.</w:t>
      </w:r>
    </w:p>
    <w:p xmlns:wp14="http://schemas.microsoft.com/office/word/2010/wordml" w:rsidP="37071B54" wp14:paraId="04A78590" wp14:textId="66DEB53A">
      <w:pPr>
        <w:pStyle w:val="Normal"/>
        <w:numPr>
          <w:ilvl w:val="0"/>
          <w:numId w:val="8"/>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Are margins stable or volatile?</w:t>
      </w:r>
      <w:r w:rsidRPr="37071B54" w:rsidR="45AFCFE1">
        <w:rPr>
          <w:rFonts w:ascii="Aptos" w:hAnsi="Aptos"/>
          <w:b w:val="0"/>
          <w:bCs w:val="0"/>
          <w:i w:val="0"/>
          <w:iCs w:val="0"/>
          <w:caps w:val="0"/>
          <w:smallCaps w:val="0"/>
          <w:noProof w:val="0"/>
          <w:sz w:val="24"/>
          <w:szCs w:val="24"/>
          <w:lang w:val="en-US"/>
        </w:rPr>
        <w:t xml:space="preserve"> Apple's Net Profit Margin and Operating Margin have been remarkably stable and consistently high, indicating strong and consistent profitability and cost efficiency. There's a slight downward trend in Net Profit Margin in 2024, but overall, margins are stable.</w:t>
      </w:r>
    </w:p>
    <w:p xmlns:wp14="http://schemas.microsoft.com/office/word/2010/wordml" w:rsidP="37071B54" wp14:paraId="3347C825" wp14:textId="2EA2472C">
      <w:pPr>
        <w:pStyle w:val="Normal"/>
        <w:numPr>
          <w:ilvl w:val="0"/>
          <w:numId w:val="8"/>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Is cash generation real or profit is accounting-based?</w:t>
      </w:r>
      <w:r w:rsidRPr="37071B54" w:rsidR="45AFCFE1">
        <w:rPr>
          <w:rFonts w:ascii="Aptos" w:hAnsi="Aptos"/>
          <w:b w:val="0"/>
          <w:bCs w:val="0"/>
          <w:i w:val="0"/>
          <w:iCs w:val="0"/>
          <w:caps w:val="0"/>
          <w:smallCaps w:val="0"/>
          <w:noProof w:val="0"/>
          <w:sz w:val="24"/>
          <w:szCs w:val="24"/>
          <w:lang w:val="en-US"/>
        </w:rPr>
        <w:t xml:space="preserve"> Apple demonstrates substantial and consistently positive Free Cash Flow, indicating strong real cash generation from its operations. This suggests that the company's profits are backed by actual cash flow, rather than being solely accounting-based.</w:t>
      </w:r>
    </w:p>
    <w:p xmlns:wp14="http://schemas.microsoft.com/office/word/2010/wordml" w:rsidP="37071B54" wp14:paraId="31434E71" wp14:textId="242934F8">
      <w:pPr>
        <w:pStyle w:val="Normal"/>
        <w:numPr>
          <w:ilvl w:val="0"/>
          <w:numId w:val="8"/>
        </w:numPr>
        <w:rPr>
          <w:rFonts w:ascii="Aptos" w:hAnsi="Aptos"/>
          <w:b w:val="0"/>
          <w:bCs w:val="0"/>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Are returns on capital adequate (&gt;12–15%)?</w:t>
      </w:r>
      <w:r w:rsidRPr="37071B54" w:rsidR="45AFCFE1">
        <w:rPr>
          <w:rFonts w:ascii="Aptos" w:hAnsi="Aptos"/>
          <w:b w:val="0"/>
          <w:bCs w:val="0"/>
          <w:i w:val="0"/>
          <w:iCs w:val="0"/>
          <w:caps w:val="0"/>
          <w:smallCaps w:val="0"/>
          <w:noProof w:val="0"/>
          <w:sz w:val="24"/>
          <w:szCs w:val="24"/>
          <w:lang w:val="en-US"/>
        </w:rPr>
        <w:t xml:space="preserve"> Apple's Return on Equity (RoE), Return on Assets (RoA), and Return on Capital Employed (RoCE) are exceptionally high and consistently well above the 12-15% benchmark, indicating excellent returns on capital and highly efficient use of assets and shareholder investments.</w:t>
      </w:r>
    </w:p>
    <w:p xmlns:wp14="http://schemas.microsoft.com/office/word/2010/wordml" w:rsidP="37071B54" wp14:paraId="52088436" wp14:textId="271A4A62">
      <w:pPr>
        <w:pStyle w:val="Normal"/>
        <w:rPr>
          <w:rFonts w:ascii="Aptos" w:hAnsi="Aptos"/>
          <w:b w:val="1"/>
          <w:bCs w:val="1"/>
          <w:i w:val="0"/>
          <w:iCs w:val="0"/>
          <w:caps w:val="0"/>
          <w:smallCaps w:val="0"/>
          <w:noProof w:val="0"/>
          <w:sz w:val="24"/>
          <w:szCs w:val="24"/>
          <w:lang w:val="en-US"/>
        </w:rPr>
      </w:pPr>
      <w:r w:rsidRPr="37071B54" w:rsidR="45AFCFE1">
        <w:rPr>
          <w:rFonts w:ascii="Aptos" w:hAnsi="Aptos"/>
          <w:b w:val="1"/>
          <w:bCs w:val="1"/>
          <w:i w:val="0"/>
          <w:iCs w:val="0"/>
          <w:caps w:val="0"/>
          <w:smallCaps w:val="0"/>
          <w:noProof w:val="0"/>
          <w:sz w:val="24"/>
          <w:szCs w:val="24"/>
          <w:lang w:val="en-US"/>
        </w:rPr>
        <w:t>Recommendation</w:t>
      </w:r>
    </w:p>
    <w:p xmlns:wp14="http://schemas.microsoft.com/office/word/2010/wordml" w:rsidP="37071B54" wp14:paraId="166F58C8" wp14:textId="28FD18C9">
      <w:pPr>
        <w:rPr>
          <w:rFonts w:ascii="Aptos" w:hAnsi="Aptos"/>
          <w:b w:val="0"/>
          <w:bCs w:val="0"/>
          <w:i w:val="0"/>
          <w:iCs w:val="0"/>
          <w:caps w:val="0"/>
          <w:smallCaps w:val="0"/>
          <w:noProof w:val="0"/>
          <w:sz w:val="24"/>
          <w:szCs w:val="24"/>
          <w:lang w:val="en-US"/>
        </w:rPr>
      </w:pPr>
      <w:r w:rsidRPr="37071B54" w:rsidR="45AFCFE1">
        <w:rPr>
          <w:rFonts w:ascii="Aptos" w:hAnsi="Aptos"/>
          <w:b w:val="0"/>
          <w:bCs w:val="0"/>
          <w:i w:val="0"/>
          <w:iCs w:val="0"/>
          <w:caps w:val="0"/>
          <w:smallCaps w:val="0"/>
          <w:noProof w:val="0"/>
          <w:sz w:val="24"/>
          <w:szCs w:val="24"/>
          <w:lang w:val="en-US"/>
        </w:rPr>
        <w:t>Apple Inc. presents a mixed financial picture. The company exhibits outstanding profitability and efficiency, with very strong returns on capital and robust cash generation. Its operating and net profit margins are consistently healthy, demonstrating effective cost management and a strong business model. However, there are notable concerns regarding its liquidity, which appears to be tight, and its leverage, which is in the moderate to high-risk category. More significantly, the company's valuation ratios suggest that the stock is currently significantly overvalued, and recent trends in revenue and EPS growth indicate a slowdown in sustainable expansion. While Apple's brand strength, ecosystem, and ability to generate substantial free cash flow are undeniable strengths, the current high valuation and inconsistent growth metrics warrant caution.</w:t>
      </w:r>
    </w:p>
    <w:p xmlns:wp14="http://schemas.microsoft.com/office/word/2010/wordml" w:rsidP="37071B54" wp14:paraId="35A45812" wp14:textId="1AF4E412">
      <w:pPr>
        <w:rPr>
          <w:rFonts w:ascii="Aptos" w:hAnsi="Aptos"/>
          <w:b w:val="0"/>
          <w:bCs w:val="0"/>
          <w:i w:val="0"/>
          <w:iCs w:val="0"/>
          <w:caps w:val="0"/>
          <w:smallCaps w:val="0"/>
          <w:noProof w:val="0"/>
          <w:sz w:val="24"/>
          <w:szCs w:val="24"/>
          <w:lang w:val="en-US"/>
        </w:rPr>
      </w:pPr>
      <w:r w:rsidRPr="37071B54" w:rsidR="45AFCFE1">
        <w:rPr>
          <w:rFonts w:ascii="Aptos" w:hAnsi="Aptos"/>
          <w:b w:val="0"/>
          <w:bCs w:val="0"/>
          <w:i w:val="0"/>
          <w:iCs w:val="0"/>
          <w:caps w:val="0"/>
          <w:smallCaps w:val="0"/>
          <w:noProof w:val="0"/>
          <w:sz w:val="24"/>
          <w:szCs w:val="24"/>
          <w:lang w:val="en-US"/>
        </w:rPr>
        <w:t>Given the current financial analysis, a long-term investment in Apple Inc. at its current valuation carries a significant risk of overpaying for future growth that may not materialize at the same pace as in the past. While the company's fundamental profitability and efficiency are excellent, the high valuation and recent deceleration in growth suggest that potential investors should exercise prudence. It would be advisable to wait for a more attractive entry point, potentially after a market correction or if the company demonstrates a renewed acceleration in its revenue and EPS growth.</w:t>
      </w:r>
    </w:p>
    <w:p xmlns:wp14="http://schemas.microsoft.com/office/word/2010/wordml" wp14:paraId="2C078E63" wp14:textId="162B489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4113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4cf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ebc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3a7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f55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6a5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194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19a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EE5B3"/>
    <w:rsid w:val="37071B54"/>
    <w:rsid w:val="45AFCFE1"/>
    <w:rsid w:val="47EEE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E5B3"/>
  <w15:chartTrackingRefBased/>
  <w15:docId w15:val="{4D8AC7EA-62C0-40AE-8819-B157531F2B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7a1480a68b743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2025-09-17T11:43:36.8598337Z</dcterms:created>
  <dcterms:modified xsi:type="dcterms:W3CDTF">2025-09-17T11:44:17.3806774Z</dcterms:modified>
  <dc:creator>Manish Bhobe</dc:creator>
  <lastModifiedBy>Manish Bhobe</lastModifiedBy>
</coreProperties>
</file>