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0030BA" w14:textId="77777777" w:rsidR="00FF34D4" w:rsidRDefault="00000000">
      <w:pPr>
        <w:pStyle w:val="Heading1"/>
      </w:pPr>
      <w:bookmarkStart w:id="0" w:name="_Hlk177484987"/>
      <w:r>
        <w:t>Analysis of a Company</w:t>
      </w:r>
    </w:p>
    <w:p w14:paraId="2159FA35" w14:textId="77777777" w:rsidR="00FF34D4" w:rsidRDefault="00000000">
      <w:pPr>
        <w:pStyle w:val="Heading2"/>
      </w:pPr>
      <w:r>
        <w:t>Financial Parameter Analysis</w:t>
      </w:r>
    </w:p>
    <w:p w14:paraId="13E0844B" w14:textId="7FB53586" w:rsidR="00FF34D4" w:rsidRDefault="00000000">
      <w:r>
        <w:t xml:space="preserve">When a pension house evaluates a prospective </w:t>
      </w:r>
      <w:r w:rsidR="00745055">
        <w:t>company, it typically conducts an in-depth analysis of various financial parameters to assess the company’s financial health, stability, and growth potential. These parameters often include:</w:t>
      </w:r>
    </w:p>
    <w:p w14:paraId="1341793C" w14:textId="7B079B45" w:rsidR="00745055" w:rsidRDefault="002430D1" w:rsidP="002430D1">
      <w:pPr>
        <w:pStyle w:val="Heading3"/>
      </w:pPr>
      <w:r>
        <w:t>Profitability Ratios</w:t>
      </w:r>
    </w:p>
    <w:p w14:paraId="45E62B2C" w14:textId="7B20E680" w:rsidR="002430D1" w:rsidRDefault="002430D1" w:rsidP="002430D1">
      <w:pPr>
        <w:pStyle w:val="Heading4"/>
      </w:pPr>
      <w:r>
        <w:t>Net Profit Margin</w:t>
      </w:r>
      <w:r w:rsidR="005F7A62">
        <w:t>, Return on Equity (ROE) and Return on Assets (ROA)</w:t>
      </w:r>
    </w:p>
    <w:p w14:paraId="0D3FD734" w14:textId="24582CD2" w:rsidR="005F7A62" w:rsidRPr="005F7A62" w:rsidRDefault="005F7A62" w:rsidP="005F7A62">
      <w:pPr>
        <w:pStyle w:val="ListParagraph"/>
        <w:numPr>
          <w:ilvl w:val="0"/>
          <w:numId w:val="12"/>
        </w:numPr>
        <w:rPr>
          <w:lang w:val="en-IN"/>
        </w:rPr>
      </w:pPr>
      <w:r w:rsidRPr="005F7A62">
        <w:rPr>
          <w:lang w:val="en-IN"/>
        </w:rPr>
        <w:t xml:space="preserve">The </w:t>
      </w:r>
      <w:r w:rsidRPr="005F7A62">
        <w:rPr>
          <w:b/>
          <w:bCs/>
          <w:lang w:val="en-IN"/>
        </w:rPr>
        <w:t>Net Profit Margin</w:t>
      </w:r>
      <w:r w:rsidRPr="005F7A62">
        <w:rPr>
          <w:lang w:val="en-IN"/>
        </w:rPr>
        <w:t xml:space="preserve"> measures how much of each dollar in revenue the company retains as profit after all expenses. It is calculated using the following formula:</w:t>
      </w:r>
    </w:p>
    <w:p w14:paraId="2D740FEA" w14:textId="436589F3" w:rsidR="005F7A62" w:rsidRDefault="005F7A62" w:rsidP="005F7A62">
      <w:pPr>
        <w:rPr>
          <w:lang w:val="en-IN"/>
        </w:rPr>
      </w:pPr>
      <m:oMathPara>
        <m:oMath>
          <m:r>
            <w:rPr>
              <w:rFonts w:ascii="Cambria Math" w:hAnsi="Cambria Math"/>
              <w:lang w:val="en-IN"/>
            </w:rPr>
            <m:t xml:space="preserve">Net Profit Margin= </m:t>
          </m:r>
          <m:f>
            <m:fPr>
              <m:ctrlPr>
                <w:rPr>
                  <w:rFonts w:ascii="Cambria Math" w:hAnsi="Cambria Math"/>
                  <w:i/>
                  <w:lang w:val="en-IN"/>
                </w:rPr>
              </m:ctrlPr>
            </m:fPr>
            <m:num>
              <m:r>
                <w:rPr>
                  <w:rFonts w:ascii="Cambria Math" w:hAnsi="Cambria Math"/>
                  <w:lang w:val="en-IN"/>
                </w:rPr>
                <m:t>Net Income</m:t>
              </m:r>
            </m:num>
            <m:den>
              <m:r>
                <w:rPr>
                  <w:rFonts w:ascii="Cambria Math" w:hAnsi="Cambria Math"/>
                  <w:lang w:val="en-IN"/>
                </w:rPr>
                <m:t>Revenue</m:t>
              </m:r>
            </m:den>
          </m:f>
          <m:r>
            <w:rPr>
              <w:rFonts w:ascii="Cambria Math" w:hAnsi="Cambria Math"/>
              <w:lang w:val="en-IN"/>
            </w:rPr>
            <m:t>*100</m:t>
          </m:r>
        </m:oMath>
      </m:oMathPara>
    </w:p>
    <w:p w14:paraId="7C785B1B" w14:textId="73C4C533" w:rsidR="005F7A62" w:rsidRPr="005F7A62" w:rsidRDefault="005F7A62" w:rsidP="005F7A62">
      <w:pPr>
        <w:ind w:left="709"/>
        <w:rPr>
          <w:lang w:val="en-IN"/>
        </w:rPr>
      </w:pPr>
      <w:r>
        <w:rPr>
          <w:lang w:val="en-IN"/>
        </w:rPr>
        <w:t>where,</w:t>
      </w:r>
    </w:p>
    <w:p w14:paraId="6F604E34" w14:textId="77777777" w:rsidR="005F7A62" w:rsidRPr="005F7A62" w:rsidRDefault="005F7A62" w:rsidP="005F7A62">
      <w:pPr>
        <w:numPr>
          <w:ilvl w:val="0"/>
          <w:numId w:val="11"/>
        </w:numPr>
        <w:tabs>
          <w:tab w:val="clear" w:pos="720"/>
          <w:tab w:val="num" w:pos="1080"/>
        </w:tabs>
        <w:ind w:left="1080"/>
        <w:rPr>
          <w:lang w:val="en-IN"/>
        </w:rPr>
      </w:pPr>
      <w:r w:rsidRPr="005F7A62">
        <w:rPr>
          <w:b/>
          <w:bCs/>
          <w:lang w:val="en-IN"/>
        </w:rPr>
        <w:t>Net Income</w:t>
      </w:r>
      <w:r w:rsidRPr="005F7A62">
        <w:rPr>
          <w:lang w:val="en-IN"/>
        </w:rPr>
        <w:t>: The company's total earnings (profit) after taxes and all expenses.</w:t>
      </w:r>
    </w:p>
    <w:p w14:paraId="5CA51B52" w14:textId="77777777" w:rsidR="005F7A62" w:rsidRDefault="005F7A62" w:rsidP="005F7A62">
      <w:pPr>
        <w:numPr>
          <w:ilvl w:val="0"/>
          <w:numId w:val="11"/>
        </w:numPr>
        <w:tabs>
          <w:tab w:val="clear" w:pos="720"/>
          <w:tab w:val="num" w:pos="1080"/>
        </w:tabs>
        <w:ind w:left="1080"/>
        <w:rPr>
          <w:lang w:val="en-IN"/>
        </w:rPr>
      </w:pPr>
      <w:r w:rsidRPr="005F7A62">
        <w:rPr>
          <w:b/>
          <w:bCs/>
          <w:lang w:val="en-IN"/>
        </w:rPr>
        <w:t>Revenue</w:t>
      </w:r>
      <w:r w:rsidRPr="005F7A62">
        <w:rPr>
          <w:lang w:val="en-IN"/>
        </w:rPr>
        <w:t>: The total income generated from sales of goods or services before any expenses are subtracted.</w:t>
      </w:r>
    </w:p>
    <w:p w14:paraId="1FD9D0B4" w14:textId="77777777" w:rsidR="005F7A62" w:rsidRDefault="005F7A62" w:rsidP="005F7A62">
      <w:pPr>
        <w:pStyle w:val="ListParagraph"/>
        <w:numPr>
          <w:ilvl w:val="0"/>
          <w:numId w:val="12"/>
        </w:numPr>
        <w:rPr>
          <w:lang w:val="en-IN"/>
        </w:rPr>
      </w:pPr>
      <w:r w:rsidRPr="005F7A62">
        <w:rPr>
          <w:b/>
          <w:bCs/>
          <w:lang w:val="en-IN"/>
        </w:rPr>
        <w:t>Return on Equity (ROE)</w:t>
      </w:r>
      <w:r w:rsidRPr="005F7A62">
        <w:rPr>
          <w:lang w:val="en-IN"/>
        </w:rPr>
        <w:t>: ROE measures a company’s profitability in relation to shareholders' equity, indicating how effectively the company uses equity to generate profit. It is calculated as:</w:t>
      </w:r>
    </w:p>
    <w:p w14:paraId="499FB90C" w14:textId="3B66574F" w:rsidR="005F7A62" w:rsidRPr="005F7A62" w:rsidRDefault="005F7A62" w:rsidP="005F7A62">
      <w:pPr>
        <w:rPr>
          <w:lang w:val="en-IN"/>
        </w:rPr>
      </w:pPr>
      <m:oMathPara>
        <m:oMath>
          <m:r>
            <w:rPr>
              <w:rFonts w:ascii="Cambria Math" w:hAnsi="Cambria Math"/>
              <w:lang w:val="en-IN"/>
            </w:rPr>
            <m:t xml:space="preserve">Return On Equity= </m:t>
          </m:r>
          <m:f>
            <m:fPr>
              <m:ctrlPr>
                <w:rPr>
                  <w:rFonts w:ascii="Cambria Math" w:hAnsi="Cambria Math"/>
                  <w:i/>
                  <w:lang w:val="en-IN"/>
                </w:rPr>
              </m:ctrlPr>
            </m:fPr>
            <m:num>
              <m:r>
                <w:rPr>
                  <w:rFonts w:ascii="Cambria Math" w:hAnsi="Cambria Math"/>
                  <w:lang w:val="en-IN"/>
                </w:rPr>
                <m:t>Net Income</m:t>
              </m:r>
            </m:num>
            <m:den>
              <m:r>
                <w:rPr>
                  <w:rFonts w:ascii="Cambria Math" w:hAnsi="Cambria Math"/>
                  <w:lang w:val="en-IN"/>
                </w:rPr>
                <m:t>Shareholders Equity</m:t>
              </m:r>
            </m:den>
          </m:f>
          <m:r>
            <w:rPr>
              <w:rFonts w:ascii="Cambria Math" w:hAnsi="Cambria Math"/>
              <w:lang w:val="en-IN"/>
            </w:rPr>
            <m:t>*100</m:t>
          </m:r>
        </m:oMath>
      </m:oMathPara>
    </w:p>
    <w:p w14:paraId="637D1949" w14:textId="509A3F37" w:rsidR="005F7A62" w:rsidRPr="005F7A62" w:rsidRDefault="005F7A62" w:rsidP="005F7A62">
      <w:pPr>
        <w:ind w:left="720"/>
        <w:rPr>
          <w:lang w:val="en-IN"/>
        </w:rPr>
      </w:pPr>
      <w:r>
        <w:rPr>
          <w:lang w:val="en-IN"/>
        </w:rPr>
        <w:t>where,</w:t>
      </w:r>
    </w:p>
    <w:p w14:paraId="5DF2F3F7" w14:textId="77777777" w:rsidR="005F7A62" w:rsidRPr="005F7A62" w:rsidRDefault="005F7A62" w:rsidP="005F7A62">
      <w:pPr>
        <w:numPr>
          <w:ilvl w:val="0"/>
          <w:numId w:val="11"/>
        </w:numPr>
        <w:tabs>
          <w:tab w:val="clear" w:pos="720"/>
          <w:tab w:val="num" w:pos="1440"/>
        </w:tabs>
        <w:ind w:left="1134"/>
        <w:rPr>
          <w:b/>
          <w:bCs/>
          <w:lang w:val="en-IN"/>
        </w:rPr>
      </w:pPr>
      <w:r w:rsidRPr="005F7A62">
        <w:rPr>
          <w:b/>
          <w:bCs/>
          <w:lang w:val="en-IN"/>
        </w:rPr>
        <w:t xml:space="preserve">Net Income: </w:t>
      </w:r>
      <w:r w:rsidRPr="005F7A62">
        <w:rPr>
          <w:lang w:val="en-IN"/>
        </w:rPr>
        <w:t>The company's total earnings after taxes and expenses.</w:t>
      </w:r>
    </w:p>
    <w:p w14:paraId="4C86270B" w14:textId="77777777" w:rsidR="005F7A62" w:rsidRDefault="005F7A62" w:rsidP="005F7A62">
      <w:pPr>
        <w:numPr>
          <w:ilvl w:val="0"/>
          <w:numId w:val="11"/>
        </w:numPr>
        <w:tabs>
          <w:tab w:val="clear" w:pos="720"/>
          <w:tab w:val="num" w:pos="1440"/>
        </w:tabs>
        <w:ind w:left="1134"/>
        <w:rPr>
          <w:lang w:val="en-IN"/>
        </w:rPr>
      </w:pPr>
      <w:r w:rsidRPr="005F7A62">
        <w:rPr>
          <w:b/>
          <w:bCs/>
          <w:lang w:val="en-IN"/>
        </w:rPr>
        <w:t xml:space="preserve">Shareholders' Equity: </w:t>
      </w:r>
      <w:r w:rsidRPr="005F7A62">
        <w:rPr>
          <w:lang w:val="en-IN"/>
        </w:rPr>
        <w:t>The residual interest in the assets of the company after deducting liabilities (essentially, the company's net worth).</w:t>
      </w:r>
    </w:p>
    <w:p w14:paraId="68FFB3BF" w14:textId="77777777" w:rsidR="00A05565" w:rsidRDefault="00A05565" w:rsidP="00A05565">
      <w:pPr>
        <w:pStyle w:val="ListParagraph"/>
        <w:numPr>
          <w:ilvl w:val="0"/>
          <w:numId w:val="12"/>
        </w:numPr>
        <w:rPr>
          <w:lang w:val="en-IN"/>
        </w:rPr>
      </w:pPr>
      <w:r w:rsidRPr="005F7A62">
        <w:rPr>
          <w:b/>
          <w:bCs/>
          <w:lang w:val="en-IN"/>
        </w:rPr>
        <w:t xml:space="preserve">Return on </w:t>
      </w:r>
      <w:r>
        <w:rPr>
          <w:b/>
          <w:bCs/>
          <w:lang w:val="en-IN"/>
        </w:rPr>
        <w:t>Assets</w:t>
      </w:r>
      <w:r w:rsidRPr="005F7A62">
        <w:rPr>
          <w:b/>
          <w:bCs/>
          <w:lang w:val="en-IN"/>
        </w:rPr>
        <w:t xml:space="preserve"> (RO</w:t>
      </w:r>
      <w:r>
        <w:rPr>
          <w:b/>
          <w:bCs/>
          <w:lang w:val="en-IN"/>
        </w:rPr>
        <w:t>A</w:t>
      </w:r>
      <w:r w:rsidRPr="005F7A62">
        <w:rPr>
          <w:b/>
          <w:bCs/>
          <w:lang w:val="en-IN"/>
        </w:rPr>
        <w:t>)</w:t>
      </w:r>
      <w:r w:rsidRPr="005F7A62">
        <w:rPr>
          <w:lang w:val="en-IN"/>
        </w:rPr>
        <w:t>: RO</w:t>
      </w:r>
      <w:r>
        <w:rPr>
          <w:lang w:val="en-IN"/>
        </w:rPr>
        <w:t>A</w:t>
      </w:r>
      <w:r w:rsidRPr="005F7A62">
        <w:rPr>
          <w:lang w:val="en-IN"/>
        </w:rPr>
        <w:t xml:space="preserve"> </w:t>
      </w:r>
      <w:r w:rsidRPr="00A05565">
        <w:rPr>
          <w:lang w:val="en-IN"/>
        </w:rPr>
        <w:t>indicates how efficiently a company is using its assets to generate profit. It measures the profitability relative to the company's total assets. The formula for calculating ROA is:</w:t>
      </w:r>
    </w:p>
    <w:p w14:paraId="52B002A2" w14:textId="1A116F68" w:rsidR="00A05565" w:rsidRPr="00A05565" w:rsidRDefault="00A05565" w:rsidP="00A05565">
      <w:pPr>
        <w:pStyle w:val="ListParagraph"/>
        <w:rPr>
          <w:lang w:val="en-IN"/>
        </w:rPr>
      </w:pPr>
      <m:oMathPara>
        <m:oMath>
          <m:r>
            <w:rPr>
              <w:rFonts w:ascii="Cambria Math" w:hAnsi="Cambria Math"/>
              <w:lang w:val="en-IN"/>
            </w:rPr>
            <m:t xml:space="preserve">Return on Assets </m:t>
          </m:r>
          <m:d>
            <m:dPr>
              <m:ctrlPr>
                <w:rPr>
                  <w:rFonts w:ascii="Cambria Math" w:hAnsi="Cambria Math"/>
                  <w:i/>
                  <w:lang w:val="en-IN"/>
                </w:rPr>
              </m:ctrlPr>
            </m:dPr>
            <m:e>
              <m:r>
                <w:rPr>
                  <w:rFonts w:ascii="Cambria Math" w:hAnsi="Cambria Math"/>
                  <w:lang w:val="en-IN"/>
                </w:rPr>
                <m:t>ROA</m:t>
              </m:r>
            </m:e>
          </m:d>
          <m:r>
            <w:rPr>
              <w:rFonts w:ascii="Cambria Math" w:hAnsi="Cambria Math"/>
              <w:lang w:val="en-IN"/>
            </w:rPr>
            <m:t xml:space="preserve">= </m:t>
          </m:r>
          <m:f>
            <m:fPr>
              <m:ctrlPr>
                <w:rPr>
                  <w:rFonts w:ascii="Cambria Math" w:hAnsi="Cambria Math"/>
                  <w:i/>
                  <w:lang w:val="en-IN"/>
                </w:rPr>
              </m:ctrlPr>
            </m:fPr>
            <m:num>
              <m:r>
                <w:rPr>
                  <w:rFonts w:ascii="Cambria Math" w:hAnsi="Cambria Math"/>
                  <w:lang w:val="en-IN"/>
                </w:rPr>
                <m:t>Net Income</m:t>
              </m:r>
            </m:num>
            <m:den>
              <m:r>
                <w:rPr>
                  <w:rFonts w:ascii="Cambria Math" w:hAnsi="Cambria Math"/>
                  <w:lang w:val="en-IN"/>
                </w:rPr>
                <m:t>Total Assets</m:t>
              </m:r>
            </m:den>
          </m:f>
        </m:oMath>
      </m:oMathPara>
    </w:p>
    <w:p w14:paraId="349FA744" w14:textId="4BC77FE5" w:rsidR="00A05565" w:rsidRPr="00A05565" w:rsidRDefault="00A05565" w:rsidP="00A05565">
      <w:pPr>
        <w:ind w:left="720"/>
        <w:rPr>
          <w:lang w:val="en-IN"/>
        </w:rPr>
      </w:pPr>
      <w:r>
        <w:rPr>
          <w:lang w:val="en-IN"/>
        </w:rPr>
        <w:t>Where,</w:t>
      </w:r>
      <w:r w:rsidRPr="00A05565">
        <w:rPr>
          <w:rFonts w:ascii="Times New Roman" w:hAnsi="Times New Roman" w:cs="Times New Roman"/>
          <w:lang w:val="en-IN"/>
        </w:rPr>
        <w:t>​</w:t>
      </w:r>
    </w:p>
    <w:p w14:paraId="6BE09F5C" w14:textId="77777777" w:rsidR="00A05565" w:rsidRPr="00A05565" w:rsidRDefault="00A05565" w:rsidP="00A05565">
      <w:pPr>
        <w:numPr>
          <w:ilvl w:val="0"/>
          <w:numId w:val="11"/>
        </w:numPr>
        <w:tabs>
          <w:tab w:val="clear" w:pos="720"/>
          <w:tab w:val="num" w:pos="1440"/>
        </w:tabs>
        <w:ind w:left="1134"/>
        <w:rPr>
          <w:b/>
          <w:bCs/>
          <w:lang w:val="en-IN"/>
        </w:rPr>
      </w:pPr>
      <w:r w:rsidRPr="00A05565">
        <w:rPr>
          <w:b/>
          <w:bCs/>
          <w:lang w:val="en-IN"/>
        </w:rPr>
        <w:t xml:space="preserve">Net Income: </w:t>
      </w:r>
      <w:r w:rsidRPr="00A05565">
        <w:rPr>
          <w:lang w:val="en-IN"/>
        </w:rPr>
        <w:t>The company's total earnings after all expenses, taxes, and costs.</w:t>
      </w:r>
    </w:p>
    <w:p w14:paraId="1EFDD4DA" w14:textId="3E216E5A" w:rsidR="00A05565" w:rsidRPr="00CB4C3C" w:rsidRDefault="00A05565" w:rsidP="00CB4C3C">
      <w:pPr>
        <w:numPr>
          <w:ilvl w:val="0"/>
          <w:numId w:val="11"/>
        </w:numPr>
        <w:tabs>
          <w:tab w:val="clear" w:pos="720"/>
          <w:tab w:val="num" w:pos="1440"/>
        </w:tabs>
        <w:ind w:left="1134"/>
        <w:rPr>
          <w:lang w:val="en-IN"/>
        </w:rPr>
      </w:pPr>
      <w:r w:rsidRPr="00A05565">
        <w:rPr>
          <w:b/>
          <w:bCs/>
          <w:lang w:val="en-IN"/>
        </w:rPr>
        <w:t xml:space="preserve">Total Assets: </w:t>
      </w:r>
      <w:r w:rsidRPr="00A05565">
        <w:rPr>
          <w:lang w:val="en-IN"/>
        </w:rPr>
        <w:t>The total value of everything the company owns (current assets, fixed assets, etc.).</w:t>
      </w:r>
    </w:p>
    <w:p w14:paraId="5194B972" w14:textId="77777777" w:rsidR="005F7A62" w:rsidRPr="005F7A62" w:rsidRDefault="005F7A62" w:rsidP="005F7A62">
      <w:pPr>
        <w:ind w:left="360"/>
        <w:rPr>
          <w:b/>
          <w:bCs/>
          <w:lang w:val="en-IN"/>
        </w:rPr>
      </w:pPr>
      <w:r w:rsidRPr="005F7A62">
        <w:rPr>
          <w:b/>
          <w:bCs/>
          <w:lang w:val="en-IN"/>
        </w:rPr>
        <w:t>Interpretation</w:t>
      </w:r>
    </w:p>
    <w:p w14:paraId="519B2C32" w14:textId="77777777" w:rsidR="005F7A62" w:rsidRPr="005F7A62" w:rsidRDefault="005F7A62" w:rsidP="005F7A62">
      <w:pPr>
        <w:numPr>
          <w:ilvl w:val="0"/>
          <w:numId w:val="14"/>
        </w:numPr>
        <w:rPr>
          <w:lang w:val="en-IN"/>
        </w:rPr>
      </w:pPr>
      <w:r w:rsidRPr="005F7A62">
        <w:rPr>
          <w:b/>
          <w:bCs/>
          <w:lang w:val="en-IN"/>
        </w:rPr>
        <w:t>Net Profit Margin</w:t>
      </w:r>
      <w:r w:rsidRPr="005F7A62">
        <w:rPr>
          <w:lang w:val="en-IN"/>
        </w:rPr>
        <w:t>:</w:t>
      </w:r>
    </w:p>
    <w:p w14:paraId="48FB5594" w14:textId="77777777" w:rsidR="005F7A62" w:rsidRPr="005F7A62" w:rsidRDefault="005F7A62" w:rsidP="005F7A62">
      <w:pPr>
        <w:numPr>
          <w:ilvl w:val="1"/>
          <w:numId w:val="14"/>
        </w:numPr>
        <w:rPr>
          <w:lang w:val="en-IN"/>
        </w:rPr>
      </w:pPr>
      <w:r w:rsidRPr="005F7A62">
        <w:rPr>
          <w:lang w:val="en-IN"/>
        </w:rPr>
        <w:lastRenderedPageBreak/>
        <w:t xml:space="preserve">A </w:t>
      </w:r>
      <w:r w:rsidRPr="005F7A62">
        <w:rPr>
          <w:b/>
          <w:bCs/>
          <w:lang w:val="en-IN"/>
        </w:rPr>
        <w:t>high net profit margin</w:t>
      </w:r>
      <w:r w:rsidRPr="005F7A62">
        <w:rPr>
          <w:lang w:val="en-IN"/>
        </w:rPr>
        <w:t xml:space="preserve"> indicates efficient management and good cost control, allowing a company to retain a significant portion of its revenue as profit.</w:t>
      </w:r>
    </w:p>
    <w:p w14:paraId="6D0ED951" w14:textId="77777777" w:rsidR="005F7A62" w:rsidRPr="005F7A62" w:rsidRDefault="005F7A62" w:rsidP="005F7A62">
      <w:pPr>
        <w:numPr>
          <w:ilvl w:val="1"/>
          <w:numId w:val="14"/>
        </w:numPr>
        <w:rPr>
          <w:lang w:val="en-IN"/>
        </w:rPr>
      </w:pPr>
      <w:r w:rsidRPr="005F7A62">
        <w:rPr>
          <w:lang w:val="en-IN"/>
        </w:rPr>
        <w:t xml:space="preserve">A </w:t>
      </w:r>
      <w:r w:rsidRPr="005F7A62">
        <w:rPr>
          <w:b/>
          <w:bCs/>
          <w:lang w:val="en-IN"/>
        </w:rPr>
        <w:t>low net profit margin</w:t>
      </w:r>
      <w:r w:rsidRPr="005F7A62">
        <w:rPr>
          <w:lang w:val="en-IN"/>
        </w:rPr>
        <w:t xml:space="preserve"> suggests that the company may be struggling with high costs or inefficient operations.</w:t>
      </w:r>
    </w:p>
    <w:p w14:paraId="6DB3EE5C" w14:textId="77777777" w:rsidR="005F7A62" w:rsidRPr="005F7A62" w:rsidRDefault="005F7A62" w:rsidP="005F7A62">
      <w:pPr>
        <w:numPr>
          <w:ilvl w:val="0"/>
          <w:numId w:val="14"/>
        </w:numPr>
        <w:rPr>
          <w:lang w:val="en-IN"/>
        </w:rPr>
      </w:pPr>
      <w:r w:rsidRPr="005F7A62">
        <w:rPr>
          <w:b/>
          <w:bCs/>
          <w:lang w:val="en-IN"/>
        </w:rPr>
        <w:t>Return on Equity (ROE)</w:t>
      </w:r>
      <w:r w:rsidRPr="005F7A62">
        <w:rPr>
          <w:lang w:val="en-IN"/>
        </w:rPr>
        <w:t>:</w:t>
      </w:r>
    </w:p>
    <w:p w14:paraId="2ACC3C07" w14:textId="77777777" w:rsidR="005F7A62" w:rsidRPr="005F7A62" w:rsidRDefault="005F7A62" w:rsidP="005F7A62">
      <w:pPr>
        <w:numPr>
          <w:ilvl w:val="1"/>
          <w:numId w:val="14"/>
        </w:numPr>
        <w:rPr>
          <w:lang w:val="en-IN"/>
        </w:rPr>
      </w:pPr>
      <w:r w:rsidRPr="005F7A62">
        <w:rPr>
          <w:lang w:val="en-IN"/>
        </w:rPr>
        <w:t xml:space="preserve">A </w:t>
      </w:r>
      <w:r w:rsidRPr="005F7A62">
        <w:rPr>
          <w:b/>
          <w:bCs/>
          <w:lang w:val="en-IN"/>
        </w:rPr>
        <w:t>high ROE</w:t>
      </w:r>
      <w:r w:rsidRPr="005F7A62">
        <w:rPr>
          <w:lang w:val="en-IN"/>
        </w:rPr>
        <w:t xml:space="preserve"> indicates that the company is effectively using shareholders' equity to generate profit.</w:t>
      </w:r>
    </w:p>
    <w:p w14:paraId="7827B514" w14:textId="77777777" w:rsidR="005F7A62" w:rsidRDefault="005F7A62" w:rsidP="005F7A62">
      <w:pPr>
        <w:numPr>
          <w:ilvl w:val="1"/>
          <w:numId w:val="14"/>
        </w:numPr>
        <w:rPr>
          <w:lang w:val="en-IN"/>
        </w:rPr>
      </w:pPr>
      <w:r w:rsidRPr="005F7A62">
        <w:rPr>
          <w:lang w:val="en-IN"/>
        </w:rPr>
        <w:t xml:space="preserve">A </w:t>
      </w:r>
      <w:r w:rsidRPr="005F7A62">
        <w:rPr>
          <w:b/>
          <w:bCs/>
          <w:lang w:val="en-IN"/>
        </w:rPr>
        <w:t>low ROE</w:t>
      </w:r>
      <w:r w:rsidRPr="005F7A62">
        <w:rPr>
          <w:lang w:val="en-IN"/>
        </w:rPr>
        <w:t xml:space="preserve"> might suggest poor management performance or inefficient use of equity.</w:t>
      </w:r>
    </w:p>
    <w:p w14:paraId="6E6C26C5" w14:textId="122DE6C2" w:rsidR="00CB4C3C" w:rsidRPr="005F7A62" w:rsidRDefault="00CB4C3C" w:rsidP="00CB4C3C">
      <w:pPr>
        <w:numPr>
          <w:ilvl w:val="0"/>
          <w:numId w:val="14"/>
        </w:numPr>
        <w:rPr>
          <w:b/>
          <w:bCs/>
          <w:lang w:val="en-IN"/>
        </w:rPr>
      </w:pPr>
      <w:r w:rsidRPr="005F7A62">
        <w:rPr>
          <w:b/>
          <w:bCs/>
          <w:lang w:val="en-IN"/>
        </w:rPr>
        <w:t xml:space="preserve">Return on </w:t>
      </w:r>
      <w:r>
        <w:rPr>
          <w:b/>
          <w:bCs/>
          <w:lang w:val="en-IN"/>
        </w:rPr>
        <w:t>Assets</w:t>
      </w:r>
      <w:r w:rsidRPr="005F7A62">
        <w:rPr>
          <w:b/>
          <w:bCs/>
          <w:lang w:val="en-IN"/>
        </w:rPr>
        <w:t xml:space="preserve"> (RO</w:t>
      </w:r>
      <w:r>
        <w:rPr>
          <w:b/>
          <w:bCs/>
          <w:lang w:val="en-IN"/>
        </w:rPr>
        <w:t>A</w:t>
      </w:r>
      <w:r w:rsidRPr="005F7A62">
        <w:rPr>
          <w:b/>
          <w:bCs/>
          <w:lang w:val="en-IN"/>
        </w:rPr>
        <w:t>):</w:t>
      </w:r>
    </w:p>
    <w:p w14:paraId="6C9A97E9" w14:textId="158A7E8D" w:rsidR="00CB4C3C" w:rsidRPr="00CB4C3C" w:rsidRDefault="00CB4C3C" w:rsidP="00CB4C3C">
      <w:pPr>
        <w:numPr>
          <w:ilvl w:val="1"/>
          <w:numId w:val="14"/>
        </w:numPr>
        <w:rPr>
          <w:lang w:val="en-IN"/>
        </w:rPr>
      </w:pPr>
      <w:r w:rsidRPr="00CB4C3C">
        <w:rPr>
          <w:b/>
          <w:bCs/>
          <w:lang w:val="en-IN"/>
        </w:rPr>
        <w:t>High ROA:</w:t>
      </w:r>
      <w:r w:rsidRPr="00CB4C3C">
        <w:rPr>
          <w:lang w:val="en-IN"/>
        </w:rPr>
        <w:t xml:space="preserve"> indicates that the company is efficiently utilizing its assets to generate earnings. It is generally considered a positive sign of management effectiveness.</w:t>
      </w:r>
    </w:p>
    <w:p w14:paraId="01C2C686" w14:textId="2F4E2556" w:rsidR="00CB4C3C" w:rsidRPr="00CB4C3C" w:rsidRDefault="00CB4C3C" w:rsidP="00CB4C3C">
      <w:pPr>
        <w:numPr>
          <w:ilvl w:val="1"/>
          <w:numId w:val="14"/>
        </w:numPr>
        <w:rPr>
          <w:lang w:val="en-IN"/>
        </w:rPr>
      </w:pPr>
      <w:r w:rsidRPr="00CB4C3C">
        <w:rPr>
          <w:b/>
          <w:bCs/>
          <w:lang w:val="en-IN"/>
        </w:rPr>
        <w:t>Low ROA:</w:t>
      </w:r>
      <w:r w:rsidRPr="00CB4C3C">
        <w:rPr>
          <w:lang w:val="en-IN"/>
        </w:rPr>
        <w:t xml:space="preserve"> suggests that the company is not effectively using its assets to generate profit. This might indicate inefficiencies or a need for asset optimization.</w:t>
      </w:r>
    </w:p>
    <w:p w14:paraId="2846C657" w14:textId="77777777" w:rsidR="00CB4C3C" w:rsidRPr="00CB4C3C" w:rsidRDefault="00CB4C3C" w:rsidP="00CB4C3C">
      <w:pPr>
        <w:tabs>
          <w:tab w:val="clear" w:pos="0"/>
          <w:tab w:val="left" w:pos="709"/>
        </w:tabs>
        <w:ind w:left="643"/>
        <w:rPr>
          <w:lang w:val="en-IN" w:eastAsia="en-IN"/>
        </w:rPr>
      </w:pPr>
      <w:r w:rsidRPr="00CB4C3C">
        <w:rPr>
          <w:lang w:val="en-IN" w:eastAsia="en-IN"/>
        </w:rPr>
        <w:t>ROA is particularly useful for comparing the performance of companies within the same industry, as asset structures can vary significantly between different industries.</w:t>
      </w:r>
    </w:p>
    <w:p w14:paraId="66F15E29" w14:textId="1D2BC9C9" w:rsidR="00CB4C3C" w:rsidRPr="00CB4C3C" w:rsidRDefault="00CB4C3C" w:rsidP="00CB4C3C">
      <w:pPr>
        <w:rPr>
          <w:b/>
          <w:bCs/>
          <w:color w:val="EB5000" w:themeColor="accent5"/>
          <w:lang w:val="en-IN"/>
        </w:rPr>
      </w:pPr>
      <w:r w:rsidRPr="00CB4C3C">
        <w:rPr>
          <w:b/>
          <w:bCs/>
          <w:color w:val="EB5000" w:themeColor="accent5"/>
          <w:lang w:val="en-IN"/>
        </w:rPr>
        <w:t>Python Code</w:t>
      </w:r>
    </w:p>
    <w:p w14:paraId="17C4D785" w14:textId="5B3F9F9C" w:rsidR="00171676" w:rsidRPr="00171676" w:rsidRDefault="00171676" w:rsidP="00171676">
      <w:pPr>
        <w:ind w:left="643"/>
        <w:rPr>
          <w:rFonts w:ascii="Consolas" w:hAnsi="Consolas"/>
          <w:sz w:val="20"/>
          <w:szCs w:val="18"/>
        </w:rPr>
      </w:pPr>
      <w:r w:rsidRPr="00171676">
        <w:rPr>
          <w:rFonts w:ascii="Consolas" w:hAnsi="Consolas" w:cs="Courier New"/>
          <w:color w:val="000088"/>
          <w:sz w:val="20"/>
          <w:szCs w:val="18"/>
        </w:rPr>
        <w:t>import</w:t>
      </w:r>
      <w:r w:rsidRPr="00171676">
        <w:rPr>
          <w:rFonts w:ascii="Consolas" w:hAnsi="Consolas" w:cs="Courier New"/>
          <w:color w:val="000000"/>
          <w:sz w:val="20"/>
          <w:szCs w:val="18"/>
        </w:rPr>
        <w:t xml:space="preserve"> yfinance </w:t>
      </w:r>
      <w:r w:rsidRPr="00171676">
        <w:rPr>
          <w:rFonts w:ascii="Consolas" w:hAnsi="Consolas" w:cs="Courier New"/>
          <w:color w:val="000088"/>
          <w:sz w:val="20"/>
          <w:szCs w:val="18"/>
        </w:rPr>
        <w:t>as</w:t>
      </w:r>
      <w:r w:rsidRPr="00171676">
        <w:rPr>
          <w:rFonts w:ascii="Consolas" w:hAnsi="Consolas" w:cs="Courier New"/>
          <w:color w:val="000000"/>
          <w:sz w:val="20"/>
          <w:szCs w:val="18"/>
        </w:rPr>
        <w:t xml:space="preserve"> yf</w:t>
      </w:r>
      <w:r w:rsidRPr="00171676">
        <w:rPr>
          <w:rFonts w:ascii="Consolas" w:hAnsi="Consolas" w:cs="Courier New"/>
          <w:color w:val="000000"/>
          <w:sz w:val="20"/>
          <w:szCs w:val="18"/>
        </w:rPr>
        <w:br/>
      </w:r>
      <w:r w:rsidRPr="00171676">
        <w:rPr>
          <w:rFonts w:ascii="Consolas" w:hAnsi="Consolas" w:cs="Courier New"/>
          <w:color w:val="000088"/>
          <w:sz w:val="20"/>
          <w:szCs w:val="18"/>
        </w:rPr>
        <w:t>import</w:t>
      </w:r>
      <w:r w:rsidRPr="00171676">
        <w:rPr>
          <w:rFonts w:ascii="Consolas" w:hAnsi="Consolas" w:cs="Courier New"/>
          <w:color w:val="000000"/>
          <w:sz w:val="20"/>
          <w:szCs w:val="18"/>
        </w:rPr>
        <w:t xml:space="preserve"> pandas </w:t>
      </w:r>
      <w:r w:rsidRPr="00171676">
        <w:rPr>
          <w:rFonts w:ascii="Consolas" w:hAnsi="Consolas" w:cs="Courier New"/>
          <w:color w:val="000088"/>
          <w:sz w:val="20"/>
          <w:szCs w:val="18"/>
        </w:rPr>
        <w:t>as</w:t>
      </w:r>
      <w:r w:rsidRPr="00171676">
        <w:rPr>
          <w:rFonts w:ascii="Consolas" w:hAnsi="Consolas" w:cs="Courier New"/>
          <w:color w:val="000000"/>
          <w:sz w:val="20"/>
          <w:szCs w:val="18"/>
        </w:rPr>
        <w:t xml:space="preserve"> pd</w:t>
      </w:r>
      <w:r w:rsidRPr="00171676">
        <w:rPr>
          <w:rFonts w:ascii="Consolas" w:hAnsi="Consolas" w:cs="Courier New"/>
          <w:color w:val="000000"/>
          <w:sz w:val="20"/>
          <w:szCs w:val="18"/>
        </w:rPr>
        <w:br/>
      </w:r>
      <w:r w:rsidRPr="00171676">
        <w:rPr>
          <w:rFonts w:ascii="Consolas" w:hAnsi="Consolas" w:cs="Courier New"/>
          <w:color w:val="000000"/>
          <w:sz w:val="20"/>
          <w:szCs w:val="18"/>
        </w:rPr>
        <w:br/>
      </w:r>
      <w:r w:rsidRPr="00171676">
        <w:rPr>
          <w:rFonts w:ascii="Consolas" w:hAnsi="Consolas" w:cs="Courier New"/>
          <w:color w:val="880000"/>
          <w:sz w:val="20"/>
          <w:szCs w:val="18"/>
        </w:rPr>
        <w:t># Fetch Microsoft stock data</w:t>
      </w:r>
      <w:r w:rsidRPr="00171676">
        <w:rPr>
          <w:rFonts w:ascii="Consolas" w:hAnsi="Consolas" w:cs="Courier New"/>
          <w:color w:val="000000"/>
          <w:sz w:val="20"/>
          <w:szCs w:val="18"/>
        </w:rPr>
        <w:br/>
        <w:t>msft = yf.Ticker(</w:t>
      </w:r>
      <w:r w:rsidRPr="00171676">
        <w:rPr>
          <w:rFonts w:ascii="Consolas" w:hAnsi="Consolas" w:cs="Courier New"/>
          <w:color w:val="008800"/>
          <w:sz w:val="20"/>
          <w:szCs w:val="18"/>
        </w:rPr>
        <w:t>"MSFT"</w:t>
      </w:r>
      <w:r w:rsidRPr="00171676">
        <w:rPr>
          <w:rFonts w:ascii="Consolas" w:hAnsi="Consolas" w:cs="Courier New"/>
          <w:color w:val="000000"/>
          <w:sz w:val="20"/>
          <w:szCs w:val="18"/>
        </w:rPr>
        <w:t>)</w:t>
      </w:r>
      <w:r w:rsidRPr="00171676">
        <w:rPr>
          <w:rFonts w:ascii="Consolas" w:hAnsi="Consolas" w:cs="Courier New"/>
          <w:color w:val="000000"/>
          <w:sz w:val="20"/>
          <w:szCs w:val="18"/>
        </w:rPr>
        <w:br/>
      </w:r>
      <w:r w:rsidRPr="00171676">
        <w:rPr>
          <w:rFonts w:ascii="Consolas" w:hAnsi="Consolas" w:cs="Courier New"/>
          <w:color w:val="000000"/>
          <w:sz w:val="20"/>
          <w:szCs w:val="18"/>
        </w:rPr>
        <w:br/>
      </w:r>
      <w:r w:rsidRPr="00171676">
        <w:rPr>
          <w:rFonts w:ascii="Consolas" w:hAnsi="Consolas" w:cs="Courier New"/>
          <w:color w:val="880000"/>
          <w:sz w:val="20"/>
          <w:szCs w:val="18"/>
        </w:rPr>
        <w:t># Fetch annual financials (income statement and balance sheet)</w:t>
      </w:r>
      <w:r w:rsidRPr="00171676">
        <w:rPr>
          <w:rFonts w:ascii="Consolas" w:hAnsi="Consolas" w:cs="Courier New"/>
          <w:color w:val="000000"/>
          <w:sz w:val="20"/>
          <w:szCs w:val="18"/>
        </w:rPr>
        <w:br/>
        <w:t>financials = msft.financials</w:t>
      </w:r>
      <w:r w:rsidRPr="00171676">
        <w:rPr>
          <w:rFonts w:ascii="Consolas" w:hAnsi="Consolas" w:cs="Courier New"/>
          <w:color w:val="000000"/>
          <w:sz w:val="20"/>
          <w:szCs w:val="18"/>
        </w:rPr>
        <w:br/>
        <w:t>income_statement = msft.financials</w:t>
      </w:r>
      <w:r w:rsidRPr="00171676">
        <w:rPr>
          <w:rFonts w:ascii="Consolas" w:hAnsi="Consolas" w:cs="Courier New"/>
          <w:color w:val="000000"/>
          <w:sz w:val="20"/>
          <w:szCs w:val="18"/>
        </w:rPr>
        <w:br/>
        <w:t>balance_sheet = msft.balance_sheet</w:t>
      </w:r>
      <w:r w:rsidRPr="00171676">
        <w:rPr>
          <w:rFonts w:ascii="Consolas" w:hAnsi="Consolas" w:cs="Courier New"/>
          <w:color w:val="000000"/>
          <w:sz w:val="20"/>
          <w:szCs w:val="18"/>
        </w:rPr>
        <w:br/>
      </w:r>
      <w:r w:rsidRPr="00171676">
        <w:rPr>
          <w:rFonts w:ascii="Consolas" w:hAnsi="Consolas" w:cs="Courier New"/>
          <w:color w:val="000000"/>
          <w:sz w:val="20"/>
          <w:szCs w:val="18"/>
        </w:rPr>
        <w:br/>
      </w:r>
      <w:r w:rsidRPr="00171676">
        <w:rPr>
          <w:rFonts w:ascii="Consolas" w:hAnsi="Consolas" w:cs="Courier New"/>
          <w:color w:val="880000"/>
          <w:sz w:val="20"/>
          <w:szCs w:val="18"/>
        </w:rPr>
        <w:t># Extract net income, total revenue and total assets for past 5 years</w:t>
      </w:r>
      <w:r w:rsidRPr="00171676">
        <w:rPr>
          <w:rFonts w:ascii="Consolas" w:hAnsi="Consolas" w:cs="Courier New"/>
          <w:color w:val="000000"/>
          <w:sz w:val="20"/>
          <w:szCs w:val="18"/>
        </w:rPr>
        <w:br/>
        <w:t>net_income = income_statement.loc[</w:t>
      </w:r>
      <w:r w:rsidRPr="00171676">
        <w:rPr>
          <w:rFonts w:ascii="Consolas" w:hAnsi="Consolas" w:cs="Courier New"/>
          <w:color w:val="008800"/>
          <w:sz w:val="20"/>
          <w:szCs w:val="18"/>
        </w:rPr>
        <w:t>"Net Income"</w:t>
      </w:r>
      <w:r w:rsidRPr="00171676">
        <w:rPr>
          <w:rFonts w:ascii="Consolas" w:hAnsi="Consolas" w:cs="Courier New"/>
          <w:color w:val="000000"/>
          <w:sz w:val="20"/>
          <w:szCs w:val="18"/>
        </w:rPr>
        <w:t>]</w:t>
      </w:r>
      <w:r w:rsidRPr="00171676">
        <w:rPr>
          <w:rFonts w:ascii="Consolas" w:hAnsi="Consolas" w:cs="Courier New"/>
          <w:color w:val="000000"/>
          <w:sz w:val="20"/>
          <w:szCs w:val="18"/>
        </w:rPr>
        <w:br/>
        <w:t>revenue = financials.loc[</w:t>
      </w:r>
      <w:r w:rsidRPr="00171676">
        <w:rPr>
          <w:rFonts w:ascii="Consolas" w:hAnsi="Consolas" w:cs="Courier New"/>
          <w:color w:val="008800"/>
          <w:sz w:val="20"/>
          <w:szCs w:val="18"/>
        </w:rPr>
        <w:t>"Total Revenue"</w:t>
      </w:r>
      <w:r w:rsidRPr="00171676">
        <w:rPr>
          <w:rFonts w:ascii="Consolas" w:hAnsi="Consolas" w:cs="Courier New"/>
          <w:color w:val="000000"/>
          <w:sz w:val="20"/>
          <w:szCs w:val="18"/>
        </w:rPr>
        <w:t>]</w:t>
      </w:r>
      <w:r w:rsidRPr="00171676">
        <w:rPr>
          <w:rFonts w:ascii="Consolas" w:hAnsi="Consolas" w:cs="Courier New"/>
          <w:color w:val="000000"/>
          <w:sz w:val="20"/>
          <w:szCs w:val="18"/>
        </w:rPr>
        <w:br/>
        <w:t>total_assets = balance_sheet.loc[</w:t>
      </w:r>
      <w:r w:rsidRPr="00171676">
        <w:rPr>
          <w:rFonts w:ascii="Consolas" w:hAnsi="Consolas" w:cs="Courier New"/>
          <w:color w:val="008800"/>
          <w:sz w:val="20"/>
          <w:szCs w:val="18"/>
        </w:rPr>
        <w:t>"Total Assets"</w:t>
      </w:r>
      <w:r w:rsidRPr="00171676">
        <w:rPr>
          <w:rFonts w:ascii="Consolas" w:hAnsi="Consolas" w:cs="Courier New"/>
          <w:color w:val="000000"/>
          <w:sz w:val="20"/>
          <w:szCs w:val="18"/>
        </w:rPr>
        <w:t>]</w:t>
      </w:r>
      <w:r w:rsidRPr="00171676">
        <w:rPr>
          <w:rFonts w:ascii="Consolas" w:hAnsi="Consolas" w:cs="Courier New"/>
          <w:color w:val="000000"/>
          <w:sz w:val="20"/>
          <w:szCs w:val="18"/>
        </w:rPr>
        <w:br/>
        <w:t>shareholders_equity = balance_sheet.loc[</w:t>
      </w:r>
      <w:r w:rsidRPr="00171676">
        <w:rPr>
          <w:rFonts w:ascii="Consolas" w:hAnsi="Consolas" w:cs="Courier New"/>
          <w:color w:val="008800"/>
          <w:sz w:val="20"/>
          <w:szCs w:val="18"/>
        </w:rPr>
        <w:t>"Stockholders Equity"</w:t>
      </w:r>
      <w:r w:rsidRPr="00171676">
        <w:rPr>
          <w:rFonts w:ascii="Consolas" w:hAnsi="Consolas" w:cs="Courier New"/>
          <w:color w:val="000000"/>
          <w:sz w:val="20"/>
          <w:szCs w:val="18"/>
        </w:rPr>
        <w:t>]</w:t>
      </w:r>
      <w:r w:rsidRPr="00171676">
        <w:rPr>
          <w:rFonts w:ascii="Consolas" w:hAnsi="Consolas" w:cs="Courier New"/>
          <w:color w:val="000000"/>
          <w:sz w:val="20"/>
          <w:szCs w:val="18"/>
        </w:rPr>
        <w:br/>
      </w:r>
      <w:r w:rsidRPr="00171676">
        <w:rPr>
          <w:rFonts w:ascii="Consolas" w:hAnsi="Consolas" w:cs="Courier New"/>
          <w:color w:val="000000"/>
          <w:sz w:val="20"/>
          <w:szCs w:val="18"/>
        </w:rPr>
        <w:br/>
      </w:r>
      <w:r w:rsidRPr="00171676">
        <w:rPr>
          <w:rFonts w:ascii="Consolas" w:hAnsi="Consolas" w:cs="Courier New"/>
          <w:color w:val="880000"/>
          <w:sz w:val="20"/>
          <w:szCs w:val="18"/>
        </w:rPr>
        <w:t># Calculate Net Profit Margin</w:t>
      </w:r>
      <w:r w:rsidRPr="00171676">
        <w:rPr>
          <w:rFonts w:ascii="Consolas" w:hAnsi="Consolas" w:cs="Courier New"/>
          <w:color w:val="000000"/>
          <w:sz w:val="20"/>
          <w:szCs w:val="18"/>
        </w:rPr>
        <w:br/>
        <w:t xml:space="preserve">net_profit_margin = (net_income / revenue) * </w:t>
      </w:r>
      <w:r w:rsidRPr="00171676">
        <w:rPr>
          <w:rFonts w:ascii="Consolas" w:hAnsi="Consolas" w:cs="Courier New"/>
          <w:color w:val="006666"/>
          <w:sz w:val="20"/>
          <w:szCs w:val="18"/>
        </w:rPr>
        <w:t>100</w:t>
      </w:r>
      <w:r w:rsidRPr="00171676">
        <w:rPr>
          <w:rFonts w:ascii="Consolas" w:hAnsi="Consolas" w:cs="Courier New"/>
          <w:color w:val="000000"/>
          <w:sz w:val="20"/>
          <w:szCs w:val="18"/>
        </w:rPr>
        <w:br/>
      </w:r>
      <w:r w:rsidRPr="00171676">
        <w:rPr>
          <w:rFonts w:ascii="Consolas" w:hAnsi="Consolas" w:cs="Courier New"/>
          <w:color w:val="000000"/>
          <w:sz w:val="20"/>
          <w:szCs w:val="18"/>
        </w:rPr>
        <w:br/>
      </w:r>
      <w:r w:rsidRPr="00171676">
        <w:rPr>
          <w:rFonts w:ascii="Consolas" w:hAnsi="Consolas" w:cs="Courier New"/>
          <w:color w:val="880000"/>
          <w:sz w:val="20"/>
          <w:szCs w:val="18"/>
        </w:rPr>
        <w:t># Calculate ROE (Return on Equity)</w:t>
      </w:r>
      <w:r w:rsidRPr="00171676">
        <w:rPr>
          <w:rFonts w:ascii="Consolas" w:hAnsi="Consolas" w:cs="Courier New"/>
          <w:color w:val="000000"/>
          <w:sz w:val="20"/>
          <w:szCs w:val="18"/>
        </w:rPr>
        <w:br/>
        <w:t xml:space="preserve">roe = (net_income / shareholders_equity) * </w:t>
      </w:r>
      <w:r w:rsidRPr="00171676">
        <w:rPr>
          <w:rFonts w:ascii="Consolas" w:hAnsi="Consolas" w:cs="Courier New"/>
          <w:color w:val="006666"/>
          <w:sz w:val="20"/>
          <w:szCs w:val="18"/>
        </w:rPr>
        <w:t>100</w:t>
      </w:r>
      <w:r w:rsidRPr="00171676">
        <w:rPr>
          <w:rFonts w:ascii="Consolas" w:hAnsi="Consolas" w:cs="Courier New"/>
          <w:color w:val="000000"/>
          <w:sz w:val="20"/>
          <w:szCs w:val="18"/>
        </w:rPr>
        <w:br/>
      </w:r>
      <w:r w:rsidRPr="00171676">
        <w:rPr>
          <w:rFonts w:ascii="Consolas" w:hAnsi="Consolas" w:cs="Courier New"/>
          <w:color w:val="000000"/>
          <w:sz w:val="20"/>
          <w:szCs w:val="18"/>
        </w:rPr>
        <w:br/>
      </w:r>
      <w:r w:rsidRPr="00171676">
        <w:rPr>
          <w:rFonts w:ascii="Consolas" w:hAnsi="Consolas" w:cs="Courier New"/>
          <w:color w:val="880000"/>
          <w:sz w:val="20"/>
          <w:szCs w:val="18"/>
        </w:rPr>
        <w:t># Calculate ROA for each year</w:t>
      </w:r>
      <w:r w:rsidRPr="00171676">
        <w:rPr>
          <w:rFonts w:ascii="Consolas" w:hAnsi="Consolas" w:cs="Courier New"/>
          <w:color w:val="000000"/>
          <w:sz w:val="20"/>
          <w:szCs w:val="18"/>
        </w:rPr>
        <w:br/>
        <w:t>roa = net_income / total_assets</w:t>
      </w:r>
      <w:r w:rsidRPr="00171676">
        <w:rPr>
          <w:rFonts w:ascii="Consolas" w:hAnsi="Consolas" w:cs="Courier New"/>
          <w:color w:val="000000"/>
          <w:sz w:val="20"/>
          <w:szCs w:val="18"/>
        </w:rPr>
        <w:br/>
      </w:r>
      <w:r w:rsidRPr="00171676">
        <w:rPr>
          <w:rFonts w:ascii="Consolas" w:hAnsi="Consolas" w:cs="Courier New"/>
          <w:color w:val="000000"/>
          <w:sz w:val="20"/>
          <w:szCs w:val="18"/>
        </w:rPr>
        <w:br/>
      </w:r>
      <w:r w:rsidRPr="00171676">
        <w:rPr>
          <w:rFonts w:ascii="Consolas" w:hAnsi="Consolas" w:cs="Courier New"/>
          <w:color w:val="880000"/>
          <w:sz w:val="20"/>
          <w:szCs w:val="18"/>
        </w:rPr>
        <w:t># Prepare a DataFrame with the relevant data</w:t>
      </w:r>
      <w:r w:rsidRPr="00171676">
        <w:rPr>
          <w:rFonts w:ascii="Consolas" w:hAnsi="Consolas" w:cs="Courier New"/>
          <w:color w:val="000000"/>
          <w:sz w:val="20"/>
          <w:szCs w:val="18"/>
        </w:rPr>
        <w:br/>
        <w:t>profitability_ratios = pd.DataFrame(</w:t>
      </w:r>
      <w:r w:rsidRPr="00171676">
        <w:rPr>
          <w:rFonts w:ascii="Consolas" w:hAnsi="Consolas" w:cs="Courier New"/>
          <w:color w:val="000000"/>
          <w:sz w:val="20"/>
          <w:szCs w:val="18"/>
        </w:rPr>
        <w:br/>
        <w:t xml:space="preserve">    {</w:t>
      </w:r>
      <w:r w:rsidRPr="00171676">
        <w:rPr>
          <w:rFonts w:ascii="Consolas" w:hAnsi="Consolas" w:cs="Courier New"/>
          <w:color w:val="000000"/>
          <w:sz w:val="20"/>
          <w:szCs w:val="18"/>
        </w:rPr>
        <w:br/>
      </w:r>
      <w:r w:rsidRPr="00171676">
        <w:rPr>
          <w:rFonts w:ascii="Consolas" w:hAnsi="Consolas" w:cs="Courier New"/>
          <w:color w:val="000000"/>
          <w:sz w:val="20"/>
          <w:szCs w:val="18"/>
        </w:rPr>
        <w:lastRenderedPageBreak/>
        <w:t xml:space="preserve">        </w:t>
      </w:r>
      <w:r w:rsidRPr="00171676">
        <w:rPr>
          <w:rFonts w:ascii="Consolas" w:hAnsi="Consolas" w:cs="Courier New"/>
          <w:color w:val="008800"/>
          <w:sz w:val="20"/>
          <w:szCs w:val="18"/>
        </w:rPr>
        <w:t>"Year"</w:t>
      </w:r>
      <w:r w:rsidRPr="00171676">
        <w:rPr>
          <w:rFonts w:ascii="Consolas" w:hAnsi="Consolas" w:cs="Courier New"/>
          <w:color w:val="000000"/>
          <w:sz w:val="20"/>
          <w:szCs w:val="18"/>
        </w:rPr>
        <w:t>: net_income.index.year,</w:t>
      </w:r>
      <w:r w:rsidRPr="00171676">
        <w:rPr>
          <w:rFonts w:ascii="Consolas" w:hAnsi="Consolas" w:cs="Courier New"/>
          <w:color w:val="000000"/>
          <w:sz w:val="20"/>
          <w:szCs w:val="18"/>
        </w:rPr>
        <w:br/>
        <w:t xml:space="preserve">        </w:t>
      </w:r>
      <w:r w:rsidRPr="00171676">
        <w:rPr>
          <w:rFonts w:ascii="Consolas" w:hAnsi="Consolas" w:cs="Courier New"/>
          <w:color w:val="008800"/>
          <w:sz w:val="20"/>
          <w:szCs w:val="18"/>
        </w:rPr>
        <w:t>"Net Income"</w:t>
      </w:r>
      <w:r w:rsidRPr="00171676">
        <w:rPr>
          <w:rFonts w:ascii="Consolas" w:hAnsi="Consolas" w:cs="Courier New"/>
          <w:color w:val="000000"/>
          <w:sz w:val="20"/>
          <w:szCs w:val="18"/>
        </w:rPr>
        <w:t>: net_income.values,</w:t>
      </w:r>
      <w:r w:rsidRPr="00171676">
        <w:rPr>
          <w:rFonts w:ascii="Consolas" w:hAnsi="Consolas" w:cs="Courier New"/>
          <w:color w:val="000000"/>
          <w:sz w:val="20"/>
          <w:szCs w:val="18"/>
        </w:rPr>
        <w:br/>
        <w:t xml:space="preserve">        </w:t>
      </w:r>
      <w:r w:rsidRPr="00171676">
        <w:rPr>
          <w:rFonts w:ascii="Consolas" w:hAnsi="Consolas" w:cs="Courier New"/>
          <w:color w:val="008800"/>
          <w:sz w:val="20"/>
          <w:szCs w:val="18"/>
        </w:rPr>
        <w:t>"Revenue"</w:t>
      </w:r>
      <w:r w:rsidRPr="00171676">
        <w:rPr>
          <w:rFonts w:ascii="Consolas" w:hAnsi="Consolas" w:cs="Courier New"/>
          <w:color w:val="000000"/>
          <w:sz w:val="20"/>
          <w:szCs w:val="18"/>
        </w:rPr>
        <w:t>: revenue.values,</w:t>
      </w:r>
      <w:r w:rsidRPr="00171676">
        <w:rPr>
          <w:rFonts w:ascii="Consolas" w:hAnsi="Consolas" w:cs="Courier New"/>
          <w:color w:val="000000"/>
          <w:sz w:val="20"/>
          <w:szCs w:val="18"/>
        </w:rPr>
        <w:br/>
        <w:t xml:space="preserve">        </w:t>
      </w:r>
      <w:r w:rsidRPr="00171676">
        <w:rPr>
          <w:rFonts w:ascii="Consolas" w:hAnsi="Consolas" w:cs="Courier New"/>
          <w:color w:val="008800"/>
          <w:sz w:val="20"/>
          <w:szCs w:val="18"/>
        </w:rPr>
        <w:t>"Shareholders Equity"</w:t>
      </w:r>
      <w:r w:rsidRPr="00171676">
        <w:rPr>
          <w:rFonts w:ascii="Consolas" w:hAnsi="Consolas" w:cs="Courier New"/>
          <w:color w:val="000000"/>
          <w:sz w:val="20"/>
          <w:szCs w:val="18"/>
        </w:rPr>
        <w:t>: shareholders_equity.values,</w:t>
      </w:r>
      <w:r w:rsidRPr="00171676">
        <w:rPr>
          <w:rFonts w:ascii="Consolas" w:hAnsi="Consolas" w:cs="Courier New"/>
          <w:color w:val="000000"/>
          <w:sz w:val="20"/>
          <w:szCs w:val="18"/>
        </w:rPr>
        <w:br/>
        <w:t xml:space="preserve">        </w:t>
      </w:r>
      <w:r w:rsidRPr="00171676">
        <w:rPr>
          <w:rFonts w:ascii="Consolas" w:hAnsi="Consolas" w:cs="Courier New"/>
          <w:color w:val="008800"/>
          <w:sz w:val="20"/>
          <w:szCs w:val="18"/>
        </w:rPr>
        <w:t>"Net Profit Margin (%)"</w:t>
      </w:r>
      <w:r w:rsidRPr="00171676">
        <w:rPr>
          <w:rFonts w:ascii="Consolas" w:hAnsi="Consolas" w:cs="Courier New"/>
          <w:color w:val="000000"/>
          <w:sz w:val="20"/>
          <w:szCs w:val="18"/>
        </w:rPr>
        <w:t>: net_profit_margin.values,</w:t>
      </w:r>
      <w:r w:rsidRPr="00171676">
        <w:rPr>
          <w:rFonts w:ascii="Consolas" w:hAnsi="Consolas" w:cs="Courier New"/>
          <w:color w:val="000000"/>
          <w:sz w:val="20"/>
          <w:szCs w:val="18"/>
        </w:rPr>
        <w:br/>
        <w:t xml:space="preserve">        </w:t>
      </w:r>
      <w:r w:rsidRPr="00171676">
        <w:rPr>
          <w:rFonts w:ascii="Consolas" w:hAnsi="Consolas" w:cs="Courier New"/>
          <w:color w:val="008800"/>
          <w:sz w:val="20"/>
          <w:szCs w:val="18"/>
        </w:rPr>
        <w:t>"ROE (%)"</w:t>
      </w:r>
      <w:r w:rsidRPr="00171676">
        <w:rPr>
          <w:rFonts w:ascii="Consolas" w:hAnsi="Consolas" w:cs="Courier New"/>
          <w:color w:val="000000"/>
          <w:sz w:val="20"/>
          <w:szCs w:val="18"/>
        </w:rPr>
        <w:t>: roe.values,</w:t>
      </w:r>
      <w:r w:rsidRPr="00171676">
        <w:rPr>
          <w:rFonts w:ascii="Consolas" w:hAnsi="Consolas" w:cs="Courier New"/>
          <w:color w:val="000000"/>
          <w:sz w:val="20"/>
          <w:szCs w:val="18"/>
        </w:rPr>
        <w:br/>
        <w:t xml:space="preserve">        </w:t>
      </w:r>
      <w:r w:rsidRPr="00171676">
        <w:rPr>
          <w:rFonts w:ascii="Consolas" w:hAnsi="Consolas" w:cs="Courier New"/>
          <w:color w:val="008800"/>
          <w:sz w:val="20"/>
          <w:szCs w:val="18"/>
        </w:rPr>
        <w:t>"Total Assets"</w:t>
      </w:r>
      <w:r w:rsidRPr="00171676">
        <w:rPr>
          <w:rFonts w:ascii="Consolas" w:hAnsi="Consolas" w:cs="Courier New"/>
          <w:color w:val="000000"/>
          <w:sz w:val="20"/>
          <w:szCs w:val="18"/>
        </w:rPr>
        <w:t>: total_assets.values,</w:t>
      </w:r>
      <w:r w:rsidRPr="00171676">
        <w:rPr>
          <w:rFonts w:ascii="Consolas" w:hAnsi="Consolas" w:cs="Courier New"/>
          <w:color w:val="000000"/>
          <w:sz w:val="20"/>
          <w:szCs w:val="18"/>
        </w:rPr>
        <w:br/>
        <w:t xml:space="preserve">        </w:t>
      </w:r>
      <w:r w:rsidRPr="00171676">
        <w:rPr>
          <w:rFonts w:ascii="Consolas" w:hAnsi="Consolas" w:cs="Courier New"/>
          <w:color w:val="008800"/>
          <w:sz w:val="20"/>
          <w:szCs w:val="18"/>
        </w:rPr>
        <w:t>"ROA"</w:t>
      </w:r>
      <w:r w:rsidRPr="00171676">
        <w:rPr>
          <w:rFonts w:ascii="Consolas" w:hAnsi="Consolas" w:cs="Courier New"/>
          <w:color w:val="000000"/>
          <w:sz w:val="20"/>
          <w:szCs w:val="18"/>
        </w:rPr>
        <w:t>: roa.values,</w:t>
      </w:r>
      <w:r w:rsidRPr="00171676">
        <w:rPr>
          <w:rFonts w:ascii="Consolas" w:hAnsi="Consolas" w:cs="Courier New"/>
          <w:color w:val="000000"/>
          <w:sz w:val="20"/>
          <w:szCs w:val="18"/>
        </w:rPr>
        <w:br/>
        <w:t xml:space="preserve">    }</w:t>
      </w:r>
      <w:r w:rsidRPr="00171676">
        <w:rPr>
          <w:rFonts w:ascii="Consolas" w:hAnsi="Consolas" w:cs="Courier New"/>
          <w:color w:val="000000"/>
          <w:sz w:val="20"/>
          <w:szCs w:val="18"/>
        </w:rPr>
        <w:br/>
        <w:t>)</w:t>
      </w:r>
      <w:r w:rsidRPr="00171676">
        <w:rPr>
          <w:rFonts w:ascii="Consolas" w:hAnsi="Consolas" w:cs="Courier New"/>
          <w:color w:val="000000"/>
          <w:sz w:val="20"/>
          <w:szCs w:val="18"/>
        </w:rPr>
        <w:br/>
        <w:t>profitability_ratios</w:t>
      </w:r>
    </w:p>
    <w:p w14:paraId="312CFB1D" w14:textId="21BE2CAE" w:rsidR="00CB4C3C" w:rsidRPr="00CB4C3C" w:rsidRDefault="00CB4C3C" w:rsidP="00171676"/>
    <w:p w14:paraId="1023F19D" w14:textId="167D7657" w:rsidR="00CB4C3C" w:rsidRDefault="00CB4C3C">
      <w:pPr>
        <w:pStyle w:val="Heading3"/>
      </w:pPr>
      <w:r>
        <w:t>Liquidity Ratios</w:t>
      </w:r>
    </w:p>
    <w:p w14:paraId="192B39E3" w14:textId="268E5202" w:rsidR="00CB4C3C" w:rsidRDefault="00CB4C3C" w:rsidP="00DB4CD0">
      <w:pPr>
        <w:pStyle w:val="Heading4"/>
      </w:pPr>
      <w:r>
        <w:t>Current Ratio and Quick Ratio</w:t>
      </w:r>
    </w:p>
    <w:p w14:paraId="0431C029" w14:textId="77777777" w:rsidR="00171676" w:rsidRPr="00171676" w:rsidRDefault="00171676" w:rsidP="00171676">
      <w:pPr>
        <w:numPr>
          <w:ilvl w:val="0"/>
          <w:numId w:val="17"/>
        </w:numPr>
        <w:rPr>
          <w:lang w:val="en-IN"/>
        </w:rPr>
      </w:pPr>
      <w:r w:rsidRPr="00171676">
        <w:rPr>
          <w:b/>
          <w:bCs/>
          <w:lang w:val="en-IN"/>
        </w:rPr>
        <w:t>Current Ratio</w:t>
      </w:r>
      <w:r w:rsidRPr="00171676">
        <w:rPr>
          <w:lang w:val="en-IN"/>
        </w:rPr>
        <w:t>: This ratio measures a company’s ability to pay its short-term obligations with its short-term assets. It is calculated using the following formula:</w:t>
      </w:r>
    </w:p>
    <w:p w14:paraId="36435E41" w14:textId="1783B653" w:rsidR="00171676" w:rsidRPr="00171676" w:rsidRDefault="00171676" w:rsidP="00171676">
      <w:pPr>
        <w:rPr>
          <w:rFonts w:ascii="Times New Roman" w:hAnsi="Times New Roman" w:cs="Times New Roman"/>
          <w:lang w:val="en-IN"/>
        </w:rPr>
      </w:pPr>
      <m:oMathPara>
        <m:oMath>
          <m:r>
            <w:rPr>
              <w:rFonts w:ascii="Cambria Math" w:hAnsi="Cambria Math" w:cs="Times New Roman"/>
              <w:lang w:val="en-IN"/>
            </w:rPr>
            <m:t xml:space="preserve">Current Ratio= </m:t>
          </m:r>
          <m:f>
            <m:fPr>
              <m:ctrlPr>
                <w:rPr>
                  <w:rFonts w:ascii="Cambria Math" w:hAnsi="Cambria Math" w:cs="Times New Roman"/>
                  <w:i/>
                  <w:lang w:val="en-IN"/>
                </w:rPr>
              </m:ctrlPr>
            </m:fPr>
            <m:num>
              <m:r>
                <w:rPr>
                  <w:rFonts w:ascii="Cambria Math" w:hAnsi="Cambria Math" w:cs="Times New Roman"/>
                  <w:lang w:val="en-IN"/>
                </w:rPr>
                <m:t>Current Assets</m:t>
              </m:r>
            </m:num>
            <m:den>
              <m:r>
                <w:rPr>
                  <w:rFonts w:ascii="Cambria Math" w:hAnsi="Cambria Math" w:cs="Times New Roman"/>
                  <w:lang w:val="en-IN"/>
                </w:rPr>
                <m:t>Current Liabilities</m:t>
              </m:r>
            </m:den>
          </m:f>
        </m:oMath>
      </m:oMathPara>
    </w:p>
    <w:p w14:paraId="02C7C6B4" w14:textId="77777777" w:rsidR="00171676" w:rsidRPr="00171676" w:rsidRDefault="00171676" w:rsidP="00171676">
      <w:pPr>
        <w:numPr>
          <w:ilvl w:val="1"/>
          <w:numId w:val="17"/>
        </w:numPr>
        <w:rPr>
          <w:lang w:val="en-IN"/>
        </w:rPr>
      </w:pPr>
      <w:r w:rsidRPr="00171676">
        <w:rPr>
          <w:b/>
          <w:bCs/>
          <w:lang w:val="en-IN"/>
        </w:rPr>
        <w:t>Current Assets</w:t>
      </w:r>
      <w:r w:rsidRPr="00171676">
        <w:rPr>
          <w:lang w:val="en-IN"/>
        </w:rPr>
        <w:t>: Assets that are expected to be converted into cash or used up within one year (e.g., cash, inventory, accounts receivable).</w:t>
      </w:r>
    </w:p>
    <w:p w14:paraId="451EAAE7" w14:textId="77777777" w:rsidR="00171676" w:rsidRPr="00171676" w:rsidRDefault="00171676" w:rsidP="00171676">
      <w:pPr>
        <w:numPr>
          <w:ilvl w:val="1"/>
          <w:numId w:val="17"/>
        </w:numPr>
        <w:rPr>
          <w:lang w:val="en-IN"/>
        </w:rPr>
      </w:pPr>
      <w:r w:rsidRPr="00171676">
        <w:rPr>
          <w:b/>
          <w:bCs/>
          <w:lang w:val="en-IN"/>
        </w:rPr>
        <w:t>Current Liabilities</w:t>
      </w:r>
      <w:r w:rsidRPr="00171676">
        <w:rPr>
          <w:lang w:val="en-IN"/>
        </w:rPr>
        <w:t>: Obligations that are due within one year (e.g., accounts payable, short-term debt).</w:t>
      </w:r>
    </w:p>
    <w:p w14:paraId="448F2CA6" w14:textId="77777777" w:rsidR="00171676" w:rsidRPr="00171676" w:rsidRDefault="00171676" w:rsidP="00171676">
      <w:pPr>
        <w:numPr>
          <w:ilvl w:val="0"/>
          <w:numId w:val="17"/>
        </w:numPr>
        <w:rPr>
          <w:lang w:val="en-IN"/>
        </w:rPr>
      </w:pPr>
      <w:r w:rsidRPr="00171676">
        <w:rPr>
          <w:b/>
          <w:bCs/>
          <w:lang w:val="en-IN"/>
        </w:rPr>
        <w:t>Quick Ratio</w:t>
      </w:r>
      <w:r w:rsidRPr="00171676">
        <w:rPr>
          <w:lang w:val="en-IN"/>
        </w:rPr>
        <w:t>: Also known as the Acid-Test Ratio, it measures a company’s ability to meet its short-term obligations using its most liquid assets (excluding inventory). It is calculated as:</w:t>
      </w:r>
    </w:p>
    <w:p w14:paraId="43B0A6C9" w14:textId="0DD18514" w:rsidR="00171676" w:rsidRPr="00171676" w:rsidRDefault="00171676" w:rsidP="00171676">
      <w:pPr>
        <w:jc w:val="center"/>
        <w:rPr>
          <w:rFonts w:ascii="Cambria Math" w:hAnsi="Cambria Math" w:cs="Times New Roman"/>
          <w:i/>
          <w:lang w:val="en-IN"/>
        </w:rPr>
      </w:pPr>
      <m:oMath>
        <m:r>
          <w:rPr>
            <w:rFonts w:ascii="Cambria Math" w:hAnsi="Cambria Math" w:cs="Times New Roman"/>
            <w:lang w:val="en-IN"/>
          </w:rPr>
          <m:t xml:space="preserve">Quick Ratio= </m:t>
        </m:r>
        <m:f>
          <m:fPr>
            <m:ctrlPr>
              <w:rPr>
                <w:rFonts w:ascii="Cambria Math" w:hAnsi="Cambria Math" w:cs="Times New Roman"/>
                <w:i/>
                <w:lang w:val="en-IN"/>
              </w:rPr>
            </m:ctrlPr>
          </m:fPr>
          <m:num>
            <m:r>
              <w:rPr>
                <w:rFonts w:ascii="Cambria Math" w:hAnsi="Cambria Math" w:cs="Times New Roman"/>
                <w:lang w:val="en-IN"/>
              </w:rPr>
              <m:t>Current Assets-Inventory</m:t>
            </m:r>
          </m:num>
          <m:den>
            <m:r>
              <w:rPr>
                <w:rFonts w:ascii="Cambria Math" w:hAnsi="Cambria Math" w:cs="Times New Roman"/>
                <w:lang w:val="en-IN"/>
              </w:rPr>
              <m:t>Current Liabilities</m:t>
            </m:r>
          </m:den>
        </m:f>
      </m:oMath>
      <w:r w:rsidRPr="00171676">
        <w:rPr>
          <w:rFonts w:ascii="Cambria Math" w:hAnsi="Cambria Math" w:cs="Times New Roman"/>
          <w:i/>
          <w:lang w:val="en-IN"/>
        </w:rPr>
        <w:t>​</w:t>
      </w:r>
    </w:p>
    <w:p w14:paraId="6AFB359F" w14:textId="77777777" w:rsidR="00171676" w:rsidRPr="00171676" w:rsidRDefault="00171676" w:rsidP="00171676">
      <w:pPr>
        <w:numPr>
          <w:ilvl w:val="1"/>
          <w:numId w:val="17"/>
        </w:numPr>
        <w:rPr>
          <w:lang w:val="en-IN"/>
        </w:rPr>
      </w:pPr>
      <w:r w:rsidRPr="00171676">
        <w:rPr>
          <w:lang w:val="en-IN"/>
        </w:rPr>
        <w:t>This ratio excludes inventory from current assets because inventory is not as readily convertible to cash as other current assets.</w:t>
      </w:r>
    </w:p>
    <w:p w14:paraId="42451557" w14:textId="77777777" w:rsidR="00171676" w:rsidRPr="00171676" w:rsidRDefault="00171676" w:rsidP="00171676">
      <w:pPr>
        <w:rPr>
          <w:b/>
          <w:bCs/>
          <w:lang w:val="en-IN"/>
        </w:rPr>
      </w:pPr>
      <w:r w:rsidRPr="00171676">
        <w:rPr>
          <w:b/>
          <w:bCs/>
          <w:lang w:val="en-IN"/>
        </w:rPr>
        <w:t>Interpretation</w:t>
      </w:r>
    </w:p>
    <w:p w14:paraId="6F5078C1" w14:textId="77777777" w:rsidR="00171676" w:rsidRPr="00171676" w:rsidRDefault="00171676" w:rsidP="00171676">
      <w:pPr>
        <w:numPr>
          <w:ilvl w:val="0"/>
          <w:numId w:val="18"/>
        </w:numPr>
        <w:rPr>
          <w:lang w:val="en-IN"/>
        </w:rPr>
      </w:pPr>
      <w:r w:rsidRPr="00171676">
        <w:rPr>
          <w:b/>
          <w:bCs/>
          <w:lang w:val="en-IN"/>
        </w:rPr>
        <w:t>Current Ratio</w:t>
      </w:r>
      <w:r w:rsidRPr="00171676">
        <w:rPr>
          <w:lang w:val="en-IN"/>
        </w:rPr>
        <w:t>:</w:t>
      </w:r>
    </w:p>
    <w:p w14:paraId="7D356F42" w14:textId="77777777" w:rsidR="00171676" w:rsidRPr="00171676" w:rsidRDefault="00171676" w:rsidP="00171676">
      <w:pPr>
        <w:numPr>
          <w:ilvl w:val="1"/>
          <w:numId w:val="18"/>
        </w:numPr>
        <w:rPr>
          <w:lang w:val="en-IN"/>
        </w:rPr>
      </w:pPr>
      <w:r w:rsidRPr="00171676">
        <w:rPr>
          <w:lang w:val="en-IN"/>
        </w:rPr>
        <w:t xml:space="preserve">A </w:t>
      </w:r>
      <w:r w:rsidRPr="00171676">
        <w:rPr>
          <w:b/>
          <w:bCs/>
          <w:lang w:val="en-IN"/>
        </w:rPr>
        <w:t>current ratio above 1</w:t>
      </w:r>
      <w:r w:rsidRPr="00171676">
        <w:rPr>
          <w:lang w:val="en-IN"/>
        </w:rPr>
        <w:t xml:space="preserve"> indicates that the company has more current assets than current liabilities, suggesting good short-term financial health.</w:t>
      </w:r>
    </w:p>
    <w:p w14:paraId="05FA2D98" w14:textId="77777777" w:rsidR="00171676" w:rsidRPr="00171676" w:rsidRDefault="00171676" w:rsidP="00171676">
      <w:pPr>
        <w:numPr>
          <w:ilvl w:val="1"/>
          <w:numId w:val="18"/>
        </w:numPr>
        <w:rPr>
          <w:lang w:val="en-IN"/>
        </w:rPr>
      </w:pPr>
      <w:r w:rsidRPr="00171676">
        <w:rPr>
          <w:lang w:val="en-IN"/>
        </w:rPr>
        <w:t xml:space="preserve">A </w:t>
      </w:r>
      <w:r w:rsidRPr="00171676">
        <w:rPr>
          <w:b/>
          <w:bCs/>
          <w:lang w:val="en-IN"/>
        </w:rPr>
        <w:t>current ratio below 1</w:t>
      </w:r>
      <w:r w:rsidRPr="00171676">
        <w:rPr>
          <w:lang w:val="en-IN"/>
        </w:rPr>
        <w:t xml:space="preserve"> could suggest potential liquidity issues, indicating that the company might struggle to meet its short-term obligations.</w:t>
      </w:r>
    </w:p>
    <w:p w14:paraId="69B3C202" w14:textId="77777777" w:rsidR="00171676" w:rsidRPr="00171676" w:rsidRDefault="00171676" w:rsidP="00171676">
      <w:pPr>
        <w:numPr>
          <w:ilvl w:val="0"/>
          <w:numId w:val="18"/>
        </w:numPr>
        <w:rPr>
          <w:lang w:val="en-IN"/>
        </w:rPr>
      </w:pPr>
      <w:r w:rsidRPr="00171676">
        <w:rPr>
          <w:b/>
          <w:bCs/>
          <w:lang w:val="en-IN"/>
        </w:rPr>
        <w:t>Quick Ratio</w:t>
      </w:r>
      <w:r w:rsidRPr="00171676">
        <w:rPr>
          <w:lang w:val="en-IN"/>
        </w:rPr>
        <w:t>:</w:t>
      </w:r>
    </w:p>
    <w:p w14:paraId="3026C3DC" w14:textId="77777777" w:rsidR="00171676" w:rsidRPr="00171676" w:rsidRDefault="00171676" w:rsidP="00171676">
      <w:pPr>
        <w:numPr>
          <w:ilvl w:val="1"/>
          <w:numId w:val="18"/>
        </w:numPr>
        <w:rPr>
          <w:lang w:val="en-IN"/>
        </w:rPr>
      </w:pPr>
      <w:r w:rsidRPr="00171676">
        <w:rPr>
          <w:lang w:val="en-IN"/>
        </w:rPr>
        <w:t xml:space="preserve">A </w:t>
      </w:r>
      <w:r w:rsidRPr="00171676">
        <w:rPr>
          <w:b/>
          <w:bCs/>
          <w:lang w:val="en-IN"/>
        </w:rPr>
        <w:t>quick ratio above 1</w:t>
      </w:r>
      <w:r w:rsidRPr="00171676">
        <w:rPr>
          <w:lang w:val="en-IN"/>
        </w:rPr>
        <w:t xml:space="preserve"> suggests that the company can meet its short-term liabilities with its most liquid assets, even without relying on the sale of inventory.</w:t>
      </w:r>
    </w:p>
    <w:p w14:paraId="5A348F6F" w14:textId="77777777" w:rsidR="00171676" w:rsidRPr="00171676" w:rsidRDefault="00171676" w:rsidP="00171676">
      <w:pPr>
        <w:numPr>
          <w:ilvl w:val="1"/>
          <w:numId w:val="18"/>
        </w:numPr>
        <w:rPr>
          <w:lang w:val="en-IN"/>
        </w:rPr>
      </w:pPr>
      <w:r w:rsidRPr="00171676">
        <w:rPr>
          <w:lang w:val="en-IN"/>
        </w:rPr>
        <w:t xml:space="preserve">A </w:t>
      </w:r>
      <w:r w:rsidRPr="00171676">
        <w:rPr>
          <w:b/>
          <w:bCs/>
          <w:lang w:val="en-IN"/>
        </w:rPr>
        <w:t>quick ratio below 1</w:t>
      </w:r>
      <w:r w:rsidRPr="00171676">
        <w:rPr>
          <w:lang w:val="en-IN"/>
        </w:rPr>
        <w:t xml:space="preserve"> could indicate potential liquidity issues, implying that the company may struggle to cover its short-term liabilities with its most liquid assets.</w:t>
      </w:r>
    </w:p>
    <w:p w14:paraId="637D79E8" w14:textId="2A3576A9" w:rsidR="00CB4C3C" w:rsidRPr="000B5086" w:rsidRDefault="00171676" w:rsidP="00CB4C3C">
      <w:pPr>
        <w:rPr>
          <w:b/>
          <w:bCs/>
          <w:color w:val="EB5000" w:themeColor="accent5"/>
        </w:rPr>
      </w:pPr>
      <w:r w:rsidRPr="000B5086">
        <w:rPr>
          <w:b/>
          <w:bCs/>
          <w:color w:val="EB5000" w:themeColor="accent5"/>
        </w:rPr>
        <w:lastRenderedPageBreak/>
        <w:t>Python Code</w:t>
      </w:r>
    </w:p>
    <w:p w14:paraId="44C03C40" w14:textId="5D34D236" w:rsidR="00171676" w:rsidRPr="00171676" w:rsidRDefault="00171676" w:rsidP="000B5086">
      <w:pPr>
        <w:ind w:left="643"/>
        <w:rPr>
          <w:rFonts w:ascii="Consolas" w:hAnsi="Consolas"/>
          <w:sz w:val="20"/>
          <w:szCs w:val="18"/>
        </w:rPr>
      </w:pPr>
      <w:r w:rsidRPr="00171676">
        <w:rPr>
          <w:rFonts w:ascii="Consolas" w:hAnsi="Consolas" w:cs="Courier New"/>
          <w:color w:val="000088"/>
          <w:sz w:val="20"/>
          <w:szCs w:val="18"/>
        </w:rPr>
        <w:t>import</w:t>
      </w:r>
      <w:r w:rsidRPr="00171676">
        <w:rPr>
          <w:rFonts w:ascii="Consolas" w:hAnsi="Consolas" w:cs="Courier New"/>
          <w:color w:val="000000"/>
          <w:sz w:val="20"/>
          <w:szCs w:val="18"/>
        </w:rPr>
        <w:t xml:space="preserve"> yfinance </w:t>
      </w:r>
      <w:r w:rsidRPr="00171676">
        <w:rPr>
          <w:rFonts w:ascii="Consolas" w:hAnsi="Consolas" w:cs="Courier New"/>
          <w:color w:val="000088"/>
          <w:sz w:val="20"/>
          <w:szCs w:val="18"/>
        </w:rPr>
        <w:t>as</w:t>
      </w:r>
      <w:r w:rsidRPr="00171676">
        <w:rPr>
          <w:rFonts w:ascii="Consolas" w:hAnsi="Consolas" w:cs="Courier New"/>
          <w:color w:val="000000"/>
          <w:sz w:val="20"/>
          <w:szCs w:val="18"/>
        </w:rPr>
        <w:t xml:space="preserve"> yf</w:t>
      </w:r>
      <w:r w:rsidRPr="00171676">
        <w:rPr>
          <w:rFonts w:ascii="Consolas" w:hAnsi="Consolas" w:cs="Courier New"/>
          <w:color w:val="000000"/>
          <w:sz w:val="20"/>
          <w:szCs w:val="18"/>
        </w:rPr>
        <w:br/>
      </w:r>
      <w:r w:rsidRPr="00171676">
        <w:rPr>
          <w:rFonts w:ascii="Consolas" w:hAnsi="Consolas" w:cs="Courier New"/>
          <w:color w:val="000088"/>
          <w:sz w:val="20"/>
          <w:szCs w:val="18"/>
        </w:rPr>
        <w:t>import</w:t>
      </w:r>
      <w:r w:rsidRPr="00171676">
        <w:rPr>
          <w:rFonts w:ascii="Consolas" w:hAnsi="Consolas" w:cs="Courier New"/>
          <w:color w:val="000000"/>
          <w:sz w:val="20"/>
          <w:szCs w:val="18"/>
        </w:rPr>
        <w:t xml:space="preserve"> pandas </w:t>
      </w:r>
      <w:r w:rsidRPr="00171676">
        <w:rPr>
          <w:rFonts w:ascii="Consolas" w:hAnsi="Consolas" w:cs="Courier New"/>
          <w:color w:val="000088"/>
          <w:sz w:val="20"/>
          <w:szCs w:val="18"/>
        </w:rPr>
        <w:t>as</w:t>
      </w:r>
      <w:r w:rsidRPr="00171676">
        <w:rPr>
          <w:rFonts w:ascii="Consolas" w:hAnsi="Consolas" w:cs="Courier New"/>
          <w:color w:val="000000"/>
          <w:sz w:val="20"/>
          <w:szCs w:val="18"/>
        </w:rPr>
        <w:t xml:space="preserve"> pd</w:t>
      </w:r>
      <w:r w:rsidRPr="00171676">
        <w:rPr>
          <w:rFonts w:ascii="Consolas" w:hAnsi="Consolas" w:cs="Courier New"/>
          <w:color w:val="000000"/>
          <w:sz w:val="20"/>
          <w:szCs w:val="18"/>
        </w:rPr>
        <w:br/>
      </w:r>
      <w:r w:rsidRPr="00171676">
        <w:rPr>
          <w:rFonts w:ascii="Consolas" w:hAnsi="Consolas" w:cs="Courier New"/>
          <w:color w:val="000000"/>
          <w:sz w:val="20"/>
          <w:szCs w:val="18"/>
        </w:rPr>
        <w:br/>
      </w:r>
      <w:r w:rsidRPr="00171676">
        <w:rPr>
          <w:rFonts w:ascii="Consolas" w:hAnsi="Consolas" w:cs="Courier New"/>
          <w:color w:val="880000"/>
          <w:sz w:val="20"/>
          <w:szCs w:val="18"/>
        </w:rPr>
        <w:t># Fetch Microsoft stock data and balance sheet data for the past 5 years</w:t>
      </w:r>
      <w:r w:rsidRPr="00171676">
        <w:rPr>
          <w:rFonts w:ascii="Consolas" w:hAnsi="Consolas" w:cs="Courier New"/>
          <w:color w:val="000000"/>
          <w:sz w:val="20"/>
          <w:szCs w:val="18"/>
        </w:rPr>
        <w:br/>
        <w:t>msft = yf.Ticker(</w:t>
      </w:r>
      <w:r w:rsidRPr="00171676">
        <w:rPr>
          <w:rFonts w:ascii="Consolas" w:hAnsi="Consolas" w:cs="Courier New"/>
          <w:color w:val="008800"/>
          <w:sz w:val="20"/>
          <w:szCs w:val="18"/>
        </w:rPr>
        <w:t>"MSFT"</w:t>
      </w:r>
      <w:r w:rsidRPr="00171676">
        <w:rPr>
          <w:rFonts w:ascii="Consolas" w:hAnsi="Consolas" w:cs="Courier New"/>
          <w:color w:val="000000"/>
          <w:sz w:val="20"/>
          <w:szCs w:val="18"/>
        </w:rPr>
        <w:t>)</w:t>
      </w:r>
      <w:r w:rsidRPr="00171676">
        <w:rPr>
          <w:rFonts w:ascii="Consolas" w:hAnsi="Consolas" w:cs="Courier New"/>
          <w:color w:val="000000"/>
          <w:sz w:val="20"/>
          <w:szCs w:val="18"/>
        </w:rPr>
        <w:br/>
        <w:t>balance_sheet = msft.balance_sheet</w:t>
      </w:r>
      <w:r w:rsidRPr="00171676">
        <w:rPr>
          <w:rFonts w:ascii="Consolas" w:hAnsi="Consolas" w:cs="Courier New"/>
          <w:color w:val="000000"/>
          <w:sz w:val="20"/>
          <w:szCs w:val="18"/>
        </w:rPr>
        <w:br/>
      </w:r>
      <w:r w:rsidRPr="00171676">
        <w:rPr>
          <w:rFonts w:ascii="Consolas" w:hAnsi="Consolas" w:cs="Courier New"/>
          <w:color w:val="000000"/>
          <w:sz w:val="20"/>
          <w:szCs w:val="18"/>
        </w:rPr>
        <w:br/>
      </w:r>
      <w:r w:rsidRPr="00171676">
        <w:rPr>
          <w:rFonts w:ascii="Consolas" w:hAnsi="Consolas" w:cs="Courier New"/>
          <w:color w:val="880000"/>
          <w:sz w:val="20"/>
          <w:szCs w:val="18"/>
        </w:rPr>
        <w:t># Extract relevant data from the balance sheet</w:t>
      </w:r>
      <w:r w:rsidRPr="00171676">
        <w:rPr>
          <w:rFonts w:ascii="Consolas" w:hAnsi="Consolas" w:cs="Courier New"/>
          <w:color w:val="000000"/>
          <w:sz w:val="20"/>
          <w:szCs w:val="18"/>
        </w:rPr>
        <w:br/>
        <w:t>current_assets = balance_sheet.loc[</w:t>
      </w:r>
      <w:r w:rsidRPr="00171676">
        <w:rPr>
          <w:rFonts w:ascii="Consolas" w:hAnsi="Consolas" w:cs="Courier New"/>
          <w:color w:val="008800"/>
          <w:sz w:val="20"/>
          <w:szCs w:val="18"/>
        </w:rPr>
        <w:t>'Current Assets'</w:t>
      </w:r>
      <w:r w:rsidRPr="00171676">
        <w:rPr>
          <w:rFonts w:ascii="Consolas" w:hAnsi="Consolas" w:cs="Courier New"/>
          <w:color w:val="000000"/>
          <w:sz w:val="20"/>
          <w:szCs w:val="18"/>
        </w:rPr>
        <w:t>]</w:t>
      </w:r>
      <w:r w:rsidRPr="00171676">
        <w:rPr>
          <w:rFonts w:ascii="Consolas" w:hAnsi="Consolas" w:cs="Courier New"/>
          <w:color w:val="000000"/>
          <w:sz w:val="20"/>
          <w:szCs w:val="18"/>
        </w:rPr>
        <w:br/>
        <w:t>current_liabilities = balance_sheet.loc[</w:t>
      </w:r>
      <w:r w:rsidRPr="00171676">
        <w:rPr>
          <w:rFonts w:ascii="Consolas" w:hAnsi="Consolas" w:cs="Courier New"/>
          <w:color w:val="008800"/>
          <w:sz w:val="20"/>
          <w:szCs w:val="18"/>
        </w:rPr>
        <w:t>'Current Liabilities'</w:t>
      </w:r>
      <w:r w:rsidRPr="00171676">
        <w:rPr>
          <w:rFonts w:ascii="Consolas" w:hAnsi="Consolas" w:cs="Courier New"/>
          <w:color w:val="000000"/>
          <w:sz w:val="20"/>
          <w:szCs w:val="18"/>
        </w:rPr>
        <w:t>]</w:t>
      </w:r>
      <w:r w:rsidR="007D78D6">
        <w:rPr>
          <w:rFonts w:ascii="Consolas" w:hAnsi="Consolas" w:cs="Courier New"/>
          <w:color w:val="000000"/>
          <w:sz w:val="20"/>
          <w:szCs w:val="18"/>
        </w:rPr>
        <w:br/>
      </w:r>
      <w:r w:rsidR="007D78D6" w:rsidRPr="00171676">
        <w:rPr>
          <w:rFonts w:ascii="Consolas" w:hAnsi="Consolas" w:cs="Courier New"/>
          <w:color w:val="000000"/>
          <w:sz w:val="20"/>
          <w:szCs w:val="18"/>
        </w:rPr>
        <w:t xml:space="preserve">inventory = </w:t>
      </w:r>
      <w:r w:rsidR="007D78D6">
        <w:rPr>
          <w:rFonts w:ascii="Consolas" w:hAnsi="Consolas" w:cs="Courier New"/>
          <w:color w:val="000000"/>
          <w:sz w:val="20"/>
          <w:szCs w:val="18"/>
        </w:rPr>
        <w:t>(</w:t>
      </w:r>
      <w:r w:rsidR="007D78D6" w:rsidRPr="00171676">
        <w:rPr>
          <w:rFonts w:ascii="Consolas" w:hAnsi="Consolas" w:cs="Courier New"/>
          <w:color w:val="000000"/>
          <w:sz w:val="20"/>
          <w:szCs w:val="18"/>
        </w:rPr>
        <w:t>balance_sheet.loc[</w:t>
      </w:r>
      <w:r w:rsidR="007D78D6" w:rsidRPr="00171676">
        <w:rPr>
          <w:rFonts w:ascii="Consolas" w:hAnsi="Consolas" w:cs="Courier New"/>
          <w:color w:val="008800"/>
          <w:sz w:val="20"/>
          <w:szCs w:val="18"/>
        </w:rPr>
        <w:t>'Inventory'</w:t>
      </w:r>
      <w:r w:rsidR="007D78D6" w:rsidRPr="00171676">
        <w:rPr>
          <w:rFonts w:ascii="Consolas" w:hAnsi="Consolas" w:cs="Courier New"/>
          <w:color w:val="000000"/>
          <w:sz w:val="20"/>
          <w:szCs w:val="18"/>
        </w:rPr>
        <w:t>]</w:t>
      </w:r>
      <w:r w:rsidR="007D78D6">
        <w:rPr>
          <w:rFonts w:ascii="Consolas" w:hAnsi="Consolas" w:cs="Courier New"/>
          <w:color w:val="000000"/>
          <w:sz w:val="20"/>
          <w:szCs w:val="18"/>
        </w:rPr>
        <w:br/>
      </w:r>
      <w:r w:rsidR="007D78D6">
        <w:rPr>
          <w:rFonts w:ascii="Consolas" w:hAnsi="Consolas" w:cs="Courier New"/>
          <w:color w:val="000000"/>
          <w:sz w:val="20"/>
          <w:szCs w:val="18"/>
        </w:rPr>
        <w:br/>
      </w:r>
      <w:r w:rsidR="007D78D6" w:rsidRPr="00171676">
        <w:rPr>
          <w:rFonts w:ascii="Consolas" w:hAnsi="Consolas" w:cs="Courier New"/>
          <w:color w:val="880000"/>
          <w:sz w:val="20"/>
          <w:szCs w:val="18"/>
        </w:rPr>
        <w:t># Handle cases where inventory is zero or not listed</w:t>
      </w:r>
      <w:r w:rsidRPr="00171676">
        <w:rPr>
          <w:rFonts w:ascii="Consolas" w:hAnsi="Consolas" w:cs="Courier New"/>
          <w:color w:val="000000"/>
          <w:sz w:val="20"/>
          <w:szCs w:val="18"/>
        </w:rPr>
        <w:br/>
      </w:r>
      <w:r w:rsidR="007D78D6" w:rsidRPr="007D78D6">
        <w:rPr>
          <w:rFonts w:ascii="Consolas" w:hAnsi="Consolas" w:cs="Courier New"/>
          <w:color w:val="880000"/>
          <w:sz w:val="20"/>
          <w:szCs w:val="18"/>
        </w:rPr>
        <w:t xml:space="preserve"># </w:t>
      </w:r>
      <w:r w:rsidRPr="007D78D6">
        <w:rPr>
          <w:rFonts w:ascii="Consolas" w:hAnsi="Consolas" w:cs="Courier New"/>
          <w:color w:val="880000"/>
          <w:sz w:val="20"/>
          <w:szCs w:val="18"/>
        </w:rPr>
        <w:t xml:space="preserve">inventory = </w:t>
      </w:r>
      <w:r w:rsidR="007D78D6" w:rsidRPr="007D78D6">
        <w:rPr>
          <w:rFonts w:ascii="Consolas" w:hAnsi="Consolas" w:cs="Courier New"/>
          <w:color w:val="880000"/>
          <w:sz w:val="20"/>
          <w:szCs w:val="18"/>
        </w:rPr>
        <w:t>(</w:t>
      </w:r>
      <w:r w:rsidRPr="007D78D6">
        <w:rPr>
          <w:rFonts w:ascii="Consolas" w:hAnsi="Consolas" w:cs="Courier New"/>
          <w:color w:val="880000"/>
          <w:sz w:val="20"/>
          <w:szCs w:val="18"/>
        </w:rPr>
        <w:t xml:space="preserve">balance_sheet.loc['Inventory'] </w:t>
      </w:r>
      <w:r w:rsidR="007D78D6" w:rsidRPr="007D78D6">
        <w:rPr>
          <w:rFonts w:ascii="Consolas" w:hAnsi="Consolas" w:cs="Courier New"/>
          <w:color w:val="880000"/>
          <w:sz w:val="20"/>
          <w:szCs w:val="18"/>
        </w:rPr>
        <w:br/>
      </w:r>
      <w:r w:rsidR="007D78D6" w:rsidRPr="007D78D6">
        <w:rPr>
          <w:rFonts w:ascii="Consolas" w:hAnsi="Consolas" w:cs="Courier New"/>
          <w:color w:val="880000"/>
          <w:sz w:val="20"/>
          <w:szCs w:val="18"/>
        </w:rPr>
        <w:t xml:space="preserve"># </w:t>
      </w:r>
      <w:r w:rsidR="007D78D6" w:rsidRPr="007D78D6">
        <w:rPr>
          <w:rFonts w:ascii="Consolas" w:hAnsi="Consolas" w:cs="Courier New"/>
          <w:color w:val="880000"/>
          <w:sz w:val="20"/>
          <w:szCs w:val="18"/>
        </w:rPr>
        <w:t xml:space="preserve">     </w:t>
      </w:r>
      <w:r w:rsidRPr="007D78D6">
        <w:rPr>
          <w:rFonts w:ascii="Consolas" w:hAnsi="Consolas" w:cs="Courier New"/>
          <w:color w:val="880000"/>
          <w:sz w:val="20"/>
          <w:szCs w:val="18"/>
        </w:rPr>
        <w:t xml:space="preserve">if 'Inventory' in balance_sheet.index </w:t>
      </w:r>
      <w:r w:rsidR="007D78D6" w:rsidRPr="007D78D6">
        <w:rPr>
          <w:rFonts w:ascii="Consolas" w:hAnsi="Consolas" w:cs="Courier New"/>
          <w:color w:val="880000"/>
          <w:sz w:val="20"/>
          <w:szCs w:val="18"/>
        </w:rPr>
        <w:br/>
      </w:r>
      <w:r w:rsidR="007D78D6" w:rsidRPr="007D78D6">
        <w:rPr>
          <w:rFonts w:ascii="Consolas" w:hAnsi="Consolas" w:cs="Courier New"/>
          <w:color w:val="880000"/>
          <w:sz w:val="20"/>
          <w:szCs w:val="18"/>
        </w:rPr>
        <w:t xml:space="preserve"># </w:t>
      </w:r>
      <w:r w:rsidR="007D78D6" w:rsidRPr="007D78D6">
        <w:rPr>
          <w:rFonts w:ascii="Consolas" w:hAnsi="Consolas" w:cs="Courier New"/>
          <w:color w:val="880000"/>
          <w:sz w:val="20"/>
          <w:szCs w:val="18"/>
        </w:rPr>
        <w:t xml:space="preserve">     </w:t>
      </w:r>
      <w:r w:rsidRPr="007D78D6">
        <w:rPr>
          <w:rFonts w:ascii="Consolas" w:hAnsi="Consolas" w:cs="Courier New"/>
          <w:color w:val="880000"/>
          <w:sz w:val="20"/>
          <w:szCs w:val="18"/>
        </w:rPr>
        <w:t xml:space="preserve">else pd.Series([0] * len(current_assets), index=current_assets.index) </w:t>
      </w:r>
      <w:r w:rsidR="007D78D6" w:rsidRPr="007D78D6">
        <w:rPr>
          <w:rFonts w:ascii="Consolas" w:hAnsi="Consolas" w:cs="Courier New"/>
          <w:color w:val="880000"/>
          <w:sz w:val="20"/>
          <w:szCs w:val="18"/>
        </w:rPr>
        <w:br/>
      </w:r>
      <w:r w:rsidR="007D78D6" w:rsidRPr="007D78D6">
        <w:rPr>
          <w:rFonts w:ascii="Consolas" w:hAnsi="Consolas" w:cs="Courier New"/>
          <w:color w:val="880000"/>
          <w:sz w:val="20"/>
          <w:szCs w:val="18"/>
        </w:rPr>
        <w:t>#</w:t>
      </w:r>
      <w:r w:rsidR="007D78D6" w:rsidRPr="007D78D6">
        <w:rPr>
          <w:rFonts w:ascii="Consolas" w:hAnsi="Consolas" w:cs="Courier New"/>
          <w:color w:val="880000"/>
          <w:sz w:val="20"/>
          <w:szCs w:val="18"/>
        </w:rPr>
        <w:t>)</w:t>
      </w:r>
      <w:r w:rsidRPr="00171676">
        <w:rPr>
          <w:rFonts w:ascii="Consolas" w:hAnsi="Consolas" w:cs="Courier New"/>
          <w:color w:val="000000"/>
          <w:sz w:val="20"/>
          <w:szCs w:val="18"/>
        </w:rPr>
        <w:br/>
      </w:r>
      <w:r w:rsidRPr="00171676">
        <w:rPr>
          <w:rFonts w:ascii="Consolas" w:hAnsi="Consolas" w:cs="Courier New"/>
          <w:color w:val="000000"/>
          <w:sz w:val="20"/>
          <w:szCs w:val="18"/>
        </w:rPr>
        <w:br/>
      </w:r>
      <w:r w:rsidRPr="00171676">
        <w:rPr>
          <w:rFonts w:ascii="Consolas" w:hAnsi="Consolas" w:cs="Courier New"/>
          <w:color w:val="880000"/>
          <w:sz w:val="20"/>
          <w:szCs w:val="18"/>
        </w:rPr>
        <w:t># Calculate Current Ratio</w:t>
      </w:r>
      <w:r w:rsidRPr="00171676">
        <w:rPr>
          <w:rFonts w:ascii="Consolas" w:hAnsi="Consolas" w:cs="Courier New"/>
          <w:color w:val="000000"/>
          <w:sz w:val="20"/>
          <w:szCs w:val="18"/>
        </w:rPr>
        <w:br/>
        <w:t>current_ratio = current_assets / current_liabilities</w:t>
      </w:r>
      <w:r w:rsidRPr="00171676">
        <w:rPr>
          <w:rFonts w:ascii="Consolas" w:hAnsi="Consolas" w:cs="Courier New"/>
          <w:color w:val="000000"/>
          <w:sz w:val="20"/>
          <w:szCs w:val="18"/>
        </w:rPr>
        <w:br/>
      </w:r>
      <w:r w:rsidRPr="00171676">
        <w:rPr>
          <w:rFonts w:ascii="Consolas" w:hAnsi="Consolas" w:cs="Courier New"/>
          <w:color w:val="000000"/>
          <w:sz w:val="20"/>
          <w:szCs w:val="18"/>
        </w:rPr>
        <w:br/>
      </w:r>
      <w:r w:rsidRPr="00171676">
        <w:rPr>
          <w:rFonts w:ascii="Consolas" w:hAnsi="Consolas" w:cs="Courier New"/>
          <w:color w:val="880000"/>
          <w:sz w:val="20"/>
          <w:szCs w:val="18"/>
        </w:rPr>
        <w:t># Calculate Quick Ratio</w:t>
      </w:r>
      <w:r w:rsidRPr="00171676">
        <w:rPr>
          <w:rFonts w:ascii="Consolas" w:hAnsi="Consolas" w:cs="Courier New"/>
          <w:color w:val="000000"/>
          <w:sz w:val="20"/>
          <w:szCs w:val="18"/>
        </w:rPr>
        <w:br/>
        <w:t>quick_ratio = (current_assets - inventory) / current_liabilities</w:t>
      </w:r>
      <w:r w:rsidRPr="00171676">
        <w:rPr>
          <w:rFonts w:ascii="Consolas" w:hAnsi="Consolas" w:cs="Courier New"/>
          <w:color w:val="000000"/>
          <w:sz w:val="20"/>
          <w:szCs w:val="18"/>
        </w:rPr>
        <w:br/>
      </w:r>
      <w:r w:rsidRPr="00171676">
        <w:rPr>
          <w:rFonts w:ascii="Consolas" w:hAnsi="Consolas" w:cs="Courier New"/>
          <w:color w:val="000000"/>
          <w:sz w:val="20"/>
          <w:szCs w:val="18"/>
        </w:rPr>
        <w:br/>
      </w:r>
      <w:r w:rsidRPr="00171676">
        <w:rPr>
          <w:rFonts w:ascii="Consolas" w:hAnsi="Consolas" w:cs="Courier New"/>
          <w:color w:val="880000"/>
          <w:sz w:val="20"/>
          <w:szCs w:val="18"/>
        </w:rPr>
        <w:t># Prepare a DataFrame with the relevant data</w:t>
      </w:r>
      <w:r w:rsidRPr="00171676">
        <w:rPr>
          <w:rFonts w:ascii="Consolas" w:hAnsi="Consolas" w:cs="Courier New"/>
          <w:color w:val="000000"/>
          <w:sz w:val="20"/>
          <w:szCs w:val="18"/>
        </w:rPr>
        <w:br/>
        <w:t>liquidity_metrics = pd.DataFrame({</w:t>
      </w:r>
      <w:r w:rsidRPr="00171676">
        <w:rPr>
          <w:rFonts w:ascii="Consolas" w:hAnsi="Consolas" w:cs="Courier New"/>
          <w:color w:val="000000"/>
          <w:sz w:val="20"/>
          <w:szCs w:val="18"/>
        </w:rPr>
        <w:br/>
        <w:t xml:space="preserve">    </w:t>
      </w:r>
      <w:r w:rsidRPr="00171676">
        <w:rPr>
          <w:rFonts w:ascii="Consolas" w:hAnsi="Consolas" w:cs="Courier New"/>
          <w:color w:val="008800"/>
          <w:sz w:val="20"/>
          <w:szCs w:val="18"/>
        </w:rPr>
        <w:t>'Year'</w:t>
      </w:r>
      <w:r w:rsidRPr="00171676">
        <w:rPr>
          <w:rFonts w:ascii="Consolas" w:hAnsi="Consolas" w:cs="Courier New"/>
          <w:color w:val="000000"/>
          <w:sz w:val="20"/>
          <w:szCs w:val="18"/>
        </w:rPr>
        <w:t>: current_assets.index.year,</w:t>
      </w:r>
      <w:r w:rsidRPr="00171676">
        <w:rPr>
          <w:rFonts w:ascii="Consolas" w:hAnsi="Consolas" w:cs="Courier New"/>
          <w:color w:val="000000"/>
          <w:sz w:val="20"/>
          <w:szCs w:val="18"/>
        </w:rPr>
        <w:br/>
        <w:t xml:space="preserve">    </w:t>
      </w:r>
      <w:r w:rsidRPr="00171676">
        <w:rPr>
          <w:rFonts w:ascii="Consolas" w:hAnsi="Consolas" w:cs="Courier New"/>
          <w:color w:val="008800"/>
          <w:sz w:val="20"/>
          <w:szCs w:val="18"/>
        </w:rPr>
        <w:t>'Current Assets'</w:t>
      </w:r>
      <w:r w:rsidRPr="00171676">
        <w:rPr>
          <w:rFonts w:ascii="Consolas" w:hAnsi="Consolas" w:cs="Courier New"/>
          <w:color w:val="000000"/>
          <w:sz w:val="20"/>
          <w:szCs w:val="18"/>
        </w:rPr>
        <w:t>: current_assets.values,</w:t>
      </w:r>
      <w:r w:rsidRPr="00171676">
        <w:rPr>
          <w:rFonts w:ascii="Consolas" w:hAnsi="Consolas" w:cs="Courier New"/>
          <w:color w:val="000000"/>
          <w:sz w:val="20"/>
          <w:szCs w:val="18"/>
        </w:rPr>
        <w:br/>
        <w:t xml:space="preserve">    </w:t>
      </w:r>
      <w:r w:rsidRPr="00171676">
        <w:rPr>
          <w:rFonts w:ascii="Consolas" w:hAnsi="Consolas" w:cs="Courier New"/>
          <w:color w:val="008800"/>
          <w:sz w:val="20"/>
          <w:szCs w:val="18"/>
        </w:rPr>
        <w:t>'Current Liabilities'</w:t>
      </w:r>
      <w:r w:rsidRPr="00171676">
        <w:rPr>
          <w:rFonts w:ascii="Consolas" w:hAnsi="Consolas" w:cs="Courier New"/>
          <w:color w:val="000000"/>
          <w:sz w:val="20"/>
          <w:szCs w:val="18"/>
        </w:rPr>
        <w:t>: current_liabilities.values,</w:t>
      </w:r>
      <w:r w:rsidRPr="00171676">
        <w:rPr>
          <w:rFonts w:ascii="Consolas" w:hAnsi="Consolas" w:cs="Courier New"/>
          <w:color w:val="000000"/>
          <w:sz w:val="20"/>
          <w:szCs w:val="18"/>
        </w:rPr>
        <w:br/>
        <w:t xml:space="preserve">    </w:t>
      </w:r>
      <w:r w:rsidRPr="00171676">
        <w:rPr>
          <w:rFonts w:ascii="Consolas" w:hAnsi="Consolas" w:cs="Courier New"/>
          <w:color w:val="008800"/>
          <w:sz w:val="20"/>
          <w:szCs w:val="18"/>
        </w:rPr>
        <w:t>'Inventory'</w:t>
      </w:r>
      <w:r w:rsidRPr="00171676">
        <w:rPr>
          <w:rFonts w:ascii="Consolas" w:hAnsi="Consolas" w:cs="Courier New"/>
          <w:color w:val="000000"/>
          <w:sz w:val="20"/>
          <w:szCs w:val="18"/>
        </w:rPr>
        <w:t>: inventory.values,</w:t>
      </w:r>
      <w:r w:rsidRPr="00171676">
        <w:rPr>
          <w:rFonts w:ascii="Consolas" w:hAnsi="Consolas" w:cs="Courier New"/>
          <w:color w:val="000000"/>
          <w:sz w:val="20"/>
          <w:szCs w:val="18"/>
        </w:rPr>
        <w:br/>
        <w:t xml:space="preserve">    </w:t>
      </w:r>
      <w:r w:rsidRPr="00171676">
        <w:rPr>
          <w:rFonts w:ascii="Consolas" w:hAnsi="Consolas" w:cs="Courier New"/>
          <w:color w:val="008800"/>
          <w:sz w:val="20"/>
          <w:szCs w:val="18"/>
        </w:rPr>
        <w:t>'Current Ratio'</w:t>
      </w:r>
      <w:r w:rsidRPr="00171676">
        <w:rPr>
          <w:rFonts w:ascii="Consolas" w:hAnsi="Consolas" w:cs="Courier New"/>
          <w:color w:val="000000"/>
          <w:sz w:val="20"/>
          <w:szCs w:val="18"/>
        </w:rPr>
        <w:t>: current_ratio.values,</w:t>
      </w:r>
      <w:r w:rsidRPr="00171676">
        <w:rPr>
          <w:rFonts w:ascii="Consolas" w:hAnsi="Consolas" w:cs="Courier New"/>
          <w:color w:val="000000"/>
          <w:sz w:val="20"/>
          <w:szCs w:val="18"/>
        </w:rPr>
        <w:br/>
        <w:t xml:space="preserve">    </w:t>
      </w:r>
      <w:r w:rsidRPr="00171676">
        <w:rPr>
          <w:rFonts w:ascii="Consolas" w:hAnsi="Consolas" w:cs="Courier New"/>
          <w:color w:val="008800"/>
          <w:sz w:val="20"/>
          <w:szCs w:val="18"/>
        </w:rPr>
        <w:t>'Quick Ratio'</w:t>
      </w:r>
      <w:r w:rsidRPr="00171676">
        <w:rPr>
          <w:rFonts w:ascii="Consolas" w:hAnsi="Consolas" w:cs="Courier New"/>
          <w:color w:val="000000"/>
          <w:sz w:val="20"/>
          <w:szCs w:val="18"/>
        </w:rPr>
        <w:t>: quick_ratio.values,</w:t>
      </w:r>
      <w:r w:rsidRPr="00171676">
        <w:rPr>
          <w:rFonts w:ascii="Consolas" w:hAnsi="Consolas" w:cs="Courier New"/>
          <w:color w:val="000000"/>
          <w:sz w:val="20"/>
          <w:szCs w:val="18"/>
        </w:rPr>
        <w:br/>
        <w:t>})</w:t>
      </w:r>
      <w:r w:rsidRPr="00171676">
        <w:rPr>
          <w:rFonts w:ascii="Consolas" w:hAnsi="Consolas" w:cs="Courier New"/>
          <w:color w:val="000000"/>
          <w:sz w:val="20"/>
          <w:szCs w:val="18"/>
        </w:rPr>
        <w:br/>
      </w:r>
      <w:r w:rsidRPr="00171676">
        <w:rPr>
          <w:rFonts w:ascii="Consolas" w:hAnsi="Consolas" w:cs="Courier New"/>
          <w:color w:val="000000"/>
          <w:sz w:val="20"/>
          <w:szCs w:val="18"/>
        </w:rPr>
        <w:br/>
      </w:r>
      <w:r w:rsidRPr="00171676">
        <w:rPr>
          <w:rFonts w:ascii="Consolas" w:hAnsi="Consolas" w:cs="Courier New"/>
          <w:color w:val="880000"/>
          <w:sz w:val="20"/>
          <w:szCs w:val="18"/>
        </w:rPr>
        <w:t># Display the liquidity metrics</w:t>
      </w:r>
      <w:r w:rsidRPr="00171676">
        <w:rPr>
          <w:rFonts w:ascii="Consolas" w:hAnsi="Consolas" w:cs="Courier New"/>
          <w:color w:val="000000"/>
          <w:sz w:val="20"/>
          <w:szCs w:val="18"/>
        </w:rPr>
        <w:br/>
        <w:t>liquidity_metrics</w:t>
      </w:r>
    </w:p>
    <w:p w14:paraId="145D15EB" w14:textId="6D974D76" w:rsidR="00CB4C3C" w:rsidRDefault="00CB4C3C" w:rsidP="00CD6408">
      <w:pPr>
        <w:pStyle w:val="Heading3"/>
      </w:pPr>
      <w:r>
        <w:t>Leverage Ratios</w:t>
      </w:r>
    </w:p>
    <w:p w14:paraId="38FD76D7" w14:textId="2A93155A" w:rsidR="00140A8E" w:rsidRDefault="00140A8E" w:rsidP="00CD6408">
      <w:pPr>
        <w:pStyle w:val="Heading4"/>
      </w:pPr>
      <w:r>
        <w:t>Debt-to-Equity Ratio and Interest Coverage Ratio</w:t>
      </w:r>
    </w:p>
    <w:p w14:paraId="4A861B6C" w14:textId="77777777" w:rsidR="00603A4F" w:rsidRPr="00603A4F" w:rsidRDefault="00603A4F" w:rsidP="00603A4F">
      <w:pPr>
        <w:numPr>
          <w:ilvl w:val="0"/>
          <w:numId w:val="19"/>
        </w:numPr>
        <w:rPr>
          <w:lang w:val="en-IN"/>
        </w:rPr>
      </w:pPr>
      <w:r w:rsidRPr="00603A4F">
        <w:rPr>
          <w:b/>
          <w:bCs/>
          <w:lang w:val="en-IN"/>
        </w:rPr>
        <w:t>Debt-to-Equity Ratio</w:t>
      </w:r>
      <w:r w:rsidRPr="00603A4F">
        <w:rPr>
          <w:lang w:val="en-IN"/>
        </w:rPr>
        <w:t>: This ratio measures a company’s financial leverage by comparing its total liabilities to its shareholders' equity. It indicates how much debt a company is using to finance its assets relative to the value of shareholders' equity.</w:t>
      </w:r>
    </w:p>
    <w:p w14:paraId="15D6D1A2" w14:textId="661FD9E0" w:rsidR="00603A4F" w:rsidRPr="00603A4F" w:rsidRDefault="00603A4F" w:rsidP="00603A4F">
      <w:pPr>
        <w:rPr>
          <w:lang w:val="en-IN"/>
        </w:rPr>
      </w:pPr>
      <m:oMathPara>
        <m:oMath>
          <m:r>
            <w:rPr>
              <w:rFonts w:ascii="Cambria Math" w:hAnsi="Cambria Math"/>
              <w:lang w:val="en-IN"/>
            </w:rPr>
            <m:t xml:space="preserve">Debt to Equity Ratio= </m:t>
          </m:r>
          <m:f>
            <m:fPr>
              <m:ctrlPr>
                <w:rPr>
                  <w:rFonts w:ascii="Cambria Math" w:hAnsi="Cambria Math"/>
                  <w:i/>
                  <w:lang w:val="en-IN"/>
                </w:rPr>
              </m:ctrlPr>
            </m:fPr>
            <m:num>
              <m:r>
                <w:rPr>
                  <w:rFonts w:ascii="Cambria Math" w:hAnsi="Cambria Math"/>
                  <w:lang w:val="en-IN"/>
                </w:rPr>
                <m:t>Total Liabilities</m:t>
              </m:r>
            </m:num>
            <m:den>
              <m:r>
                <w:rPr>
                  <w:rFonts w:ascii="Cambria Math" w:hAnsi="Cambria Math"/>
                  <w:lang w:val="en-IN"/>
                </w:rPr>
                <m:t>Shareholde</m:t>
              </m:r>
              <m:sSup>
                <m:sSupPr>
                  <m:ctrlPr>
                    <w:rPr>
                      <w:rFonts w:ascii="Cambria Math" w:hAnsi="Cambria Math"/>
                      <w:i/>
                      <w:lang w:val="en-IN"/>
                    </w:rPr>
                  </m:ctrlPr>
                </m:sSupPr>
                <m:e>
                  <m:r>
                    <w:rPr>
                      <w:rFonts w:ascii="Cambria Math" w:hAnsi="Cambria Math"/>
                      <w:lang w:val="en-IN"/>
                    </w:rPr>
                    <m:t>r</m:t>
                  </m:r>
                </m:e>
                <m:sup>
                  <m:r>
                    <w:rPr>
                      <w:rFonts w:ascii="Cambria Math" w:hAnsi="Cambria Math"/>
                      <w:lang w:val="en-IN"/>
                    </w:rPr>
                    <m:t>'</m:t>
                  </m:r>
                </m:sup>
              </m:sSup>
              <m:r>
                <w:rPr>
                  <w:rFonts w:ascii="Cambria Math" w:hAnsi="Cambria Math"/>
                  <w:lang w:val="en-IN"/>
                </w:rPr>
                <m:t>s Equity</m:t>
              </m:r>
            </m:den>
          </m:f>
        </m:oMath>
      </m:oMathPara>
    </w:p>
    <w:p w14:paraId="6D34EDB2" w14:textId="77777777" w:rsidR="00603A4F" w:rsidRPr="00603A4F" w:rsidRDefault="00603A4F" w:rsidP="00603A4F">
      <w:pPr>
        <w:numPr>
          <w:ilvl w:val="1"/>
          <w:numId w:val="19"/>
        </w:numPr>
        <w:rPr>
          <w:lang w:val="en-IN"/>
        </w:rPr>
      </w:pPr>
      <w:r w:rsidRPr="00603A4F">
        <w:rPr>
          <w:b/>
          <w:bCs/>
          <w:lang w:val="en-IN"/>
        </w:rPr>
        <w:t>Total Liabilities</w:t>
      </w:r>
      <w:r w:rsidRPr="00603A4F">
        <w:rPr>
          <w:lang w:val="en-IN"/>
        </w:rPr>
        <w:t>: The sum of all the company's debts and obligations, including both current and long-term liabilities.</w:t>
      </w:r>
    </w:p>
    <w:p w14:paraId="228FA832" w14:textId="77777777" w:rsidR="00603A4F" w:rsidRPr="00603A4F" w:rsidRDefault="00603A4F" w:rsidP="00603A4F">
      <w:pPr>
        <w:numPr>
          <w:ilvl w:val="1"/>
          <w:numId w:val="19"/>
        </w:numPr>
        <w:rPr>
          <w:lang w:val="en-IN"/>
        </w:rPr>
      </w:pPr>
      <w:r w:rsidRPr="00603A4F">
        <w:rPr>
          <w:b/>
          <w:bCs/>
          <w:lang w:val="en-IN"/>
        </w:rPr>
        <w:lastRenderedPageBreak/>
        <w:t>Shareholders' Equity</w:t>
      </w:r>
      <w:r w:rsidRPr="00603A4F">
        <w:rPr>
          <w:lang w:val="en-IN"/>
        </w:rPr>
        <w:t>: The residual interest in the assets of the company after deducting liabilities, essentially the company’s net worth.</w:t>
      </w:r>
    </w:p>
    <w:p w14:paraId="7C345A9B" w14:textId="77777777" w:rsidR="00603A4F" w:rsidRPr="00603A4F" w:rsidRDefault="00603A4F" w:rsidP="00603A4F">
      <w:pPr>
        <w:numPr>
          <w:ilvl w:val="0"/>
          <w:numId w:val="19"/>
        </w:numPr>
        <w:rPr>
          <w:lang w:val="en-IN"/>
        </w:rPr>
      </w:pPr>
      <w:r w:rsidRPr="00603A4F">
        <w:rPr>
          <w:b/>
          <w:bCs/>
          <w:lang w:val="en-IN"/>
        </w:rPr>
        <w:t>Interest Coverage Ratio</w:t>
      </w:r>
      <w:r w:rsidRPr="00603A4F">
        <w:rPr>
          <w:lang w:val="en-IN"/>
        </w:rPr>
        <w:t>: This ratio measures a company’s ability to pay interest on its outstanding debt. It shows how easily a company can cover its interest obligations with its operating income.</w:t>
      </w:r>
    </w:p>
    <w:p w14:paraId="7F84E158" w14:textId="0B88297E" w:rsidR="00603A4F" w:rsidRPr="00603A4F" w:rsidRDefault="00603A4F" w:rsidP="00603A4F">
      <w:pPr>
        <w:rPr>
          <w:lang w:val="en-IN"/>
        </w:rPr>
      </w:pPr>
      <m:oMathPara>
        <m:oMath>
          <m:r>
            <w:rPr>
              <w:rFonts w:ascii="Cambria Math" w:hAnsi="Cambria Math"/>
              <w:lang w:val="en-IN"/>
            </w:rPr>
            <m:t xml:space="preserve">Interest Coverage Ratio= </m:t>
          </m:r>
          <m:f>
            <m:fPr>
              <m:ctrlPr>
                <w:rPr>
                  <w:rFonts w:ascii="Cambria Math" w:hAnsi="Cambria Math"/>
                  <w:i/>
                  <w:lang w:val="en-IN"/>
                </w:rPr>
              </m:ctrlPr>
            </m:fPr>
            <m:num>
              <m:r>
                <w:rPr>
                  <w:rFonts w:ascii="Cambria Math" w:hAnsi="Cambria Math"/>
                  <w:lang w:val="en-IN"/>
                </w:rPr>
                <m:t>EBIT (Earnings Before Income &amp; Taxes)</m:t>
              </m:r>
            </m:num>
            <m:den>
              <m:r>
                <w:rPr>
                  <w:rFonts w:ascii="Cambria Math" w:hAnsi="Cambria Math"/>
                  <w:lang w:val="en-IN"/>
                </w:rPr>
                <m:t>Interest Expense</m:t>
              </m:r>
            </m:den>
          </m:f>
        </m:oMath>
      </m:oMathPara>
    </w:p>
    <w:p w14:paraId="27C5E2AF" w14:textId="77777777" w:rsidR="00603A4F" w:rsidRPr="00603A4F" w:rsidRDefault="00603A4F" w:rsidP="00603A4F">
      <w:pPr>
        <w:numPr>
          <w:ilvl w:val="1"/>
          <w:numId w:val="19"/>
        </w:numPr>
        <w:rPr>
          <w:lang w:val="en-IN"/>
        </w:rPr>
      </w:pPr>
      <w:r w:rsidRPr="00603A4F">
        <w:rPr>
          <w:b/>
          <w:bCs/>
          <w:lang w:val="en-IN"/>
        </w:rPr>
        <w:t>EBIT (Earnings Before Interest and Taxes)</w:t>
      </w:r>
      <w:r w:rsidRPr="00603A4F">
        <w:rPr>
          <w:lang w:val="en-IN"/>
        </w:rPr>
        <w:t>: A measure of a company's profitability that excludes interest and income tax expenses.</w:t>
      </w:r>
    </w:p>
    <w:p w14:paraId="6D9614D6" w14:textId="77777777" w:rsidR="00603A4F" w:rsidRPr="00603A4F" w:rsidRDefault="00603A4F" w:rsidP="00603A4F">
      <w:pPr>
        <w:numPr>
          <w:ilvl w:val="1"/>
          <w:numId w:val="19"/>
        </w:numPr>
        <w:rPr>
          <w:lang w:val="en-IN"/>
        </w:rPr>
      </w:pPr>
      <w:r w:rsidRPr="00603A4F">
        <w:rPr>
          <w:b/>
          <w:bCs/>
          <w:lang w:val="en-IN"/>
        </w:rPr>
        <w:t>Interest Expense</w:t>
      </w:r>
      <w:r w:rsidRPr="00603A4F">
        <w:rPr>
          <w:lang w:val="en-IN"/>
        </w:rPr>
        <w:t>: The cost incurred by an entity for borrowed funds.</w:t>
      </w:r>
    </w:p>
    <w:p w14:paraId="31AA379A" w14:textId="77777777" w:rsidR="00603A4F" w:rsidRPr="00603A4F" w:rsidRDefault="00603A4F" w:rsidP="00603A4F">
      <w:pPr>
        <w:rPr>
          <w:b/>
          <w:bCs/>
          <w:lang w:val="en-IN"/>
        </w:rPr>
      </w:pPr>
      <w:r w:rsidRPr="00603A4F">
        <w:rPr>
          <w:b/>
          <w:bCs/>
          <w:lang w:val="en-IN"/>
        </w:rPr>
        <w:t>Interpretation</w:t>
      </w:r>
    </w:p>
    <w:p w14:paraId="6A23CB1C" w14:textId="77777777" w:rsidR="00603A4F" w:rsidRPr="00603A4F" w:rsidRDefault="00603A4F" w:rsidP="00603A4F">
      <w:pPr>
        <w:numPr>
          <w:ilvl w:val="0"/>
          <w:numId w:val="20"/>
        </w:numPr>
        <w:rPr>
          <w:lang w:val="en-IN"/>
        </w:rPr>
      </w:pPr>
      <w:r w:rsidRPr="00603A4F">
        <w:rPr>
          <w:b/>
          <w:bCs/>
          <w:lang w:val="en-IN"/>
        </w:rPr>
        <w:t>Debt-to-Equity Ratio</w:t>
      </w:r>
      <w:r w:rsidRPr="00603A4F">
        <w:rPr>
          <w:lang w:val="en-IN"/>
        </w:rPr>
        <w:t>:</w:t>
      </w:r>
    </w:p>
    <w:p w14:paraId="7A33EBE7" w14:textId="77777777" w:rsidR="00603A4F" w:rsidRPr="00603A4F" w:rsidRDefault="00603A4F" w:rsidP="00603A4F">
      <w:pPr>
        <w:numPr>
          <w:ilvl w:val="1"/>
          <w:numId w:val="20"/>
        </w:numPr>
        <w:rPr>
          <w:lang w:val="en-IN"/>
        </w:rPr>
      </w:pPr>
      <w:r w:rsidRPr="00603A4F">
        <w:rPr>
          <w:lang w:val="en-IN"/>
        </w:rPr>
        <w:t xml:space="preserve">A </w:t>
      </w:r>
      <w:r w:rsidRPr="00603A4F">
        <w:rPr>
          <w:b/>
          <w:bCs/>
          <w:lang w:val="en-IN"/>
        </w:rPr>
        <w:t>high debt-to-equity ratio</w:t>
      </w:r>
      <w:r w:rsidRPr="00603A4F">
        <w:rPr>
          <w:lang w:val="en-IN"/>
        </w:rPr>
        <w:t xml:space="preserve"> suggests that the company is heavily financed by debt relative to equity, which could indicate higher financial risk if the company faces difficulties meeting its debt obligations.</w:t>
      </w:r>
    </w:p>
    <w:p w14:paraId="34EDEAFD" w14:textId="77777777" w:rsidR="00603A4F" w:rsidRPr="00603A4F" w:rsidRDefault="00603A4F" w:rsidP="00603A4F">
      <w:pPr>
        <w:numPr>
          <w:ilvl w:val="1"/>
          <w:numId w:val="20"/>
        </w:numPr>
        <w:rPr>
          <w:lang w:val="en-IN"/>
        </w:rPr>
      </w:pPr>
      <w:r w:rsidRPr="00603A4F">
        <w:rPr>
          <w:lang w:val="en-IN"/>
        </w:rPr>
        <w:t xml:space="preserve">A </w:t>
      </w:r>
      <w:r w:rsidRPr="00603A4F">
        <w:rPr>
          <w:b/>
          <w:bCs/>
          <w:lang w:val="en-IN"/>
        </w:rPr>
        <w:t>low debt-to-equity ratio</w:t>
      </w:r>
      <w:r w:rsidRPr="00603A4F">
        <w:rPr>
          <w:lang w:val="en-IN"/>
        </w:rPr>
        <w:t xml:space="preserve"> indicates that the company is using less debt to finance its operations, which could imply lower financial risk.</w:t>
      </w:r>
    </w:p>
    <w:p w14:paraId="265CBF4F" w14:textId="77777777" w:rsidR="00603A4F" w:rsidRPr="00603A4F" w:rsidRDefault="00603A4F" w:rsidP="00603A4F">
      <w:pPr>
        <w:numPr>
          <w:ilvl w:val="0"/>
          <w:numId w:val="20"/>
        </w:numPr>
        <w:rPr>
          <w:lang w:val="en-IN"/>
        </w:rPr>
      </w:pPr>
      <w:r w:rsidRPr="00603A4F">
        <w:rPr>
          <w:b/>
          <w:bCs/>
          <w:lang w:val="en-IN"/>
        </w:rPr>
        <w:t>Interest Coverage Ratio</w:t>
      </w:r>
      <w:r w:rsidRPr="00603A4F">
        <w:rPr>
          <w:lang w:val="en-IN"/>
        </w:rPr>
        <w:t>:</w:t>
      </w:r>
    </w:p>
    <w:p w14:paraId="4F23F38B" w14:textId="77777777" w:rsidR="00603A4F" w:rsidRPr="00603A4F" w:rsidRDefault="00603A4F" w:rsidP="00603A4F">
      <w:pPr>
        <w:numPr>
          <w:ilvl w:val="1"/>
          <w:numId w:val="20"/>
        </w:numPr>
        <w:rPr>
          <w:lang w:val="en-IN"/>
        </w:rPr>
      </w:pPr>
      <w:r w:rsidRPr="00603A4F">
        <w:rPr>
          <w:lang w:val="en-IN"/>
        </w:rPr>
        <w:t xml:space="preserve">A </w:t>
      </w:r>
      <w:r w:rsidRPr="00603A4F">
        <w:rPr>
          <w:b/>
          <w:bCs/>
          <w:lang w:val="en-IN"/>
        </w:rPr>
        <w:t>high interest coverage ratio</w:t>
      </w:r>
      <w:r w:rsidRPr="00603A4F">
        <w:rPr>
          <w:lang w:val="en-IN"/>
        </w:rPr>
        <w:t xml:space="preserve"> indicates that the company has ample earnings to cover its interest payments, suggesting strong financial health.</w:t>
      </w:r>
    </w:p>
    <w:p w14:paraId="3142FE07" w14:textId="77777777" w:rsidR="00603A4F" w:rsidRPr="00603A4F" w:rsidRDefault="00603A4F" w:rsidP="00603A4F">
      <w:pPr>
        <w:numPr>
          <w:ilvl w:val="1"/>
          <w:numId w:val="20"/>
        </w:numPr>
        <w:rPr>
          <w:lang w:val="en-IN"/>
        </w:rPr>
      </w:pPr>
      <w:r w:rsidRPr="00603A4F">
        <w:rPr>
          <w:lang w:val="en-IN"/>
        </w:rPr>
        <w:t xml:space="preserve">A </w:t>
      </w:r>
      <w:r w:rsidRPr="00603A4F">
        <w:rPr>
          <w:b/>
          <w:bCs/>
          <w:lang w:val="en-IN"/>
        </w:rPr>
        <w:t>low interest coverage ratio</w:t>
      </w:r>
      <w:r w:rsidRPr="00603A4F">
        <w:rPr>
          <w:lang w:val="en-IN"/>
        </w:rPr>
        <w:t xml:space="preserve"> (below 1.5) could indicate that the company may struggle to meet its interest obligations, posing a risk of financial distress.</w:t>
      </w:r>
    </w:p>
    <w:p w14:paraId="67A9341E" w14:textId="1F373CEF" w:rsidR="00DB4CD0" w:rsidRPr="00643F3A" w:rsidRDefault="00603A4F" w:rsidP="00CB4C3C">
      <w:pPr>
        <w:rPr>
          <w:b/>
          <w:bCs/>
        </w:rPr>
      </w:pPr>
      <w:r w:rsidRPr="00643F3A">
        <w:rPr>
          <w:b/>
          <w:bCs/>
          <w:color w:val="EB5000" w:themeColor="accent5"/>
        </w:rPr>
        <w:t>Python Code</w:t>
      </w:r>
    </w:p>
    <w:p w14:paraId="4078636D" w14:textId="71E5F6D1" w:rsidR="00603A4F" w:rsidRPr="00603A4F" w:rsidRDefault="00603A4F" w:rsidP="00603A4F">
      <w:pPr>
        <w:ind w:left="643"/>
        <w:rPr>
          <w:rFonts w:ascii="Consolas" w:hAnsi="Consolas"/>
          <w:sz w:val="20"/>
          <w:szCs w:val="20"/>
        </w:rPr>
      </w:pPr>
      <w:r w:rsidRPr="00603A4F">
        <w:rPr>
          <w:rFonts w:ascii="Consolas" w:hAnsi="Consolas" w:cs="Courier New"/>
          <w:color w:val="000088"/>
          <w:sz w:val="20"/>
          <w:szCs w:val="20"/>
        </w:rPr>
        <w:t>import</w:t>
      </w:r>
      <w:r w:rsidRPr="00603A4F">
        <w:rPr>
          <w:rFonts w:ascii="Consolas" w:hAnsi="Consolas" w:cs="Courier New"/>
          <w:color w:val="000000"/>
          <w:sz w:val="20"/>
          <w:szCs w:val="20"/>
        </w:rPr>
        <w:t xml:space="preserve"> yfinance </w:t>
      </w:r>
      <w:r w:rsidRPr="00603A4F">
        <w:rPr>
          <w:rFonts w:ascii="Consolas" w:hAnsi="Consolas" w:cs="Courier New"/>
          <w:color w:val="000088"/>
          <w:sz w:val="20"/>
          <w:szCs w:val="20"/>
        </w:rPr>
        <w:t>as</w:t>
      </w:r>
      <w:r w:rsidRPr="00603A4F">
        <w:rPr>
          <w:rFonts w:ascii="Consolas" w:hAnsi="Consolas" w:cs="Courier New"/>
          <w:color w:val="000000"/>
          <w:sz w:val="20"/>
          <w:szCs w:val="20"/>
        </w:rPr>
        <w:t xml:space="preserve"> yf</w:t>
      </w:r>
      <w:r w:rsidRPr="00603A4F">
        <w:rPr>
          <w:rFonts w:ascii="Consolas" w:hAnsi="Consolas" w:cs="Courier New"/>
          <w:color w:val="000000"/>
          <w:sz w:val="20"/>
          <w:szCs w:val="20"/>
        </w:rPr>
        <w:br/>
      </w:r>
      <w:r w:rsidRPr="00603A4F">
        <w:rPr>
          <w:rFonts w:ascii="Consolas" w:hAnsi="Consolas" w:cs="Courier New"/>
          <w:color w:val="000088"/>
          <w:sz w:val="20"/>
          <w:szCs w:val="20"/>
        </w:rPr>
        <w:t>import</w:t>
      </w:r>
      <w:r w:rsidRPr="00603A4F">
        <w:rPr>
          <w:rFonts w:ascii="Consolas" w:hAnsi="Consolas" w:cs="Courier New"/>
          <w:color w:val="000000"/>
          <w:sz w:val="20"/>
          <w:szCs w:val="20"/>
        </w:rPr>
        <w:t xml:space="preserve"> pandas </w:t>
      </w:r>
      <w:r w:rsidRPr="00603A4F">
        <w:rPr>
          <w:rFonts w:ascii="Consolas" w:hAnsi="Consolas" w:cs="Courier New"/>
          <w:color w:val="000088"/>
          <w:sz w:val="20"/>
          <w:szCs w:val="20"/>
        </w:rPr>
        <w:t>as</w:t>
      </w:r>
      <w:r w:rsidRPr="00603A4F">
        <w:rPr>
          <w:rFonts w:ascii="Consolas" w:hAnsi="Consolas" w:cs="Courier New"/>
          <w:color w:val="000000"/>
          <w:sz w:val="20"/>
          <w:szCs w:val="20"/>
        </w:rPr>
        <w:t xml:space="preserve"> pd</w:t>
      </w:r>
      <w:r w:rsidRPr="00603A4F">
        <w:rPr>
          <w:rFonts w:ascii="Consolas" w:hAnsi="Consolas" w:cs="Courier New"/>
          <w:color w:val="000000"/>
          <w:sz w:val="20"/>
          <w:szCs w:val="20"/>
        </w:rPr>
        <w:br/>
      </w:r>
      <w:r w:rsidRPr="00603A4F">
        <w:rPr>
          <w:rFonts w:ascii="Consolas" w:hAnsi="Consolas" w:cs="Courier New"/>
          <w:color w:val="000000"/>
          <w:sz w:val="20"/>
          <w:szCs w:val="20"/>
        </w:rPr>
        <w:br/>
      </w:r>
      <w:r w:rsidRPr="00603A4F">
        <w:rPr>
          <w:rFonts w:ascii="Consolas" w:hAnsi="Consolas" w:cs="Courier New"/>
          <w:color w:val="880000"/>
          <w:sz w:val="20"/>
          <w:szCs w:val="20"/>
        </w:rPr>
        <w:t># Fetch Microsoft stock data and financial statements for the past 5 years</w:t>
      </w:r>
      <w:r w:rsidRPr="00603A4F">
        <w:rPr>
          <w:rFonts w:ascii="Consolas" w:hAnsi="Consolas" w:cs="Courier New"/>
          <w:color w:val="000000"/>
          <w:sz w:val="20"/>
          <w:szCs w:val="20"/>
        </w:rPr>
        <w:br/>
        <w:t>msft = yf.Ticker(</w:t>
      </w:r>
      <w:r w:rsidRPr="00603A4F">
        <w:rPr>
          <w:rFonts w:ascii="Consolas" w:hAnsi="Consolas" w:cs="Courier New"/>
          <w:color w:val="008800"/>
          <w:sz w:val="20"/>
          <w:szCs w:val="20"/>
        </w:rPr>
        <w:t>"MSFT"</w:t>
      </w:r>
      <w:r w:rsidRPr="00603A4F">
        <w:rPr>
          <w:rFonts w:ascii="Consolas" w:hAnsi="Consolas" w:cs="Courier New"/>
          <w:color w:val="000000"/>
          <w:sz w:val="20"/>
          <w:szCs w:val="20"/>
        </w:rPr>
        <w:t>)</w:t>
      </w:r>
      <w:r w:rsidRPr="00603A4F">
        <w:rPr>
          <w:rFonts w:ascii="Consolas" w:hAnsi="Consolas" w:cs="Courier New"/>
          <w:color w:val="000000"/>
          <w:sz w:val="20"/>
          <w:szCs w:val="20"/>
        </w:rPr>
        <w:br/>
        <w:t>balance_sheet = msft.balance_sheet</w:t>
      </w:r>
      <w:r w:rsidRPr="00603A4F">
        <w:rPr>
          <w:rFonts w:ascii="Consolas" w:hAnsi="Consolas" w:cs="Courier New"/>
          <w:color w:val="000000"/>
          <w:sz w:val="20"/>
          <w:szCs w:val="20"/>
        </w:rPr>
        <w:br/>
        <w:t>financials = msft.financials</w:t>
      </w:r>
      <w:r w:rsidRPr="00603A4F">
        <w:rPr>
          <w:rFonts w:ascii="Consolas" w:hAnsi="Consolas" w:cs="Courier New"/>
          <w:color w:val="000000"/>
          <w:sz w:val="20"/>
          <w:szCs w:val="20"/>
        </w:rPr>
        <w:br/>
      </w:r>
      <w:r w:rsidRPr="00603A4F">
        <w:rPr>
          <w:rFonts w:ascii="Consolas" w:hAnsi="Consolas" w:cs="Courier New"/>
          <w:color w:val="000000"/>
          <w:sz w:val="20"/>
          <w:szCs w:val="20"/>
        </w:rPr>
        <w:br/>
      </w:r>
      <w:r w:rsidRPr="00603A4F">
        <w:rPr>
          <w:rFonts w:ascii="Consolas" w:hAnsi="Consolas" w:cs="Courier New"/>
          <w:color w:val="880000"/>
          <w:sz w:val="20"/>
          <w:szCs w:val="20"/>
        </w:rPr>
        <w:t># Extract relevant data from the balance sheet and income statement</w:t>
      </w:r>
      <w:r w:rsidRPr="00603A4F">
        <w:rPr>
          <w:rFonts w:ascii="Consolas" w:hAnsi="Consolas" w:cs="Courier New"/>
          <w:color w:val="000000"/>
          <w:sz w:val="20"/>
          <w:szCs w:val="20"/>
        </w:rPr>
        <w:br/>
        <w:t>total_liabilities = balance_sheet.loc[</w:t>
      </w:r>
      <w:r w:rsidRPr="00603A4F">
        <w:rPr>
          <w:rFonts w:ascii="Consolas" w:hAnsi="Consolas" w:cs="Courier New"/>
          <w:color w:val="008800"/>
          <w:sz w:val="20"/>
          <w:szCs w:val="20"/>
        </w:rPr>
        <w:t>'Total Liab</w:t>
      </w:r>
      <w:r>
        <w:rPr>
          <w:rFonts w:ascii="Consolas" w:hAnsi="Consolas" w:cs="Courier New"/>
          <w:color w:val="008800"/>
          <w:sz w:val="20"/>
          <w:szCs w:val="20"/>
        </w:rPr>
        <w:t>ilities</w:t>
      </w:r>
      <w:r w:rsidRPr="00603A4F">
        <w:rPr>
          <w:rFonts w:ascii="Consolas" w:hAnsi="Consolas" w:cs="Courier New"/>
          <w:color w:val="008800"/>
          <w:sz w:val="20"/>
          <w:szCs w:val="20"/>
        </w:rPr>
        <w:t>'</w:t>
      </w:r>
      <w:r w:rsidRPr="00603A4F">
        <w:rPr>
          <w:rFonts w:ascii="Consolas" w:hAnsi="Consolas" w:cs="Courier New"/>
          <w:color w:val="000000"/>
          <w:sz w:val="20"/>
          <w:szCs w:val="20"/>
        </w:rPr>
        <w:t>]</w:t>
      </w:r>
      <w:r w:rsidRPr="00603A4F">
        <w:rPr>
          <w:rFonts w:ascii="Consolas" w:hAnsi="Consolas" w:cs="Courier New"/>
          <w:color w:val="000000"/>
          <w:sz w:val="20"/>
          <w:szCs w:val="20"/>
        </w:rPr>
        <w:br/>
        <w:t>shareholders_equity = balance_sheet.loc[</w:t>
      </w:r>
      <w:r w:rsidRPr="00603A4F">
        <w:rPr>
          <w:rFonts w:ascii="Consolas" w:hAnsi="Consolas" w:cs="Courier New"/>
          <w:color w:val="008800"/>
          <w:sz w:val="20"/>
          <w:szCs w:val="20"/>
        </w:rPr>
        <w:t>'Total Stockholder Equity'</w:t>
      </w:r>
      <w:r w:rsidRPr="00603A4F">
        <w:rPr>
          <w:rFonts w:ascii="Consolas" w:hAnsi="Consolas" w:cs="Courier New"/>
          <w:color w:val="000000"/>
          <w:sz w:val="20"/>
          <w:szCs w:val="20"/>
        </w:rPr>
        <w:t>]</w:t>
      </w:r>
      <w:r w:rsidRPr="00603A4F">
        <w:rPr>
          <w:rFonts w:ascii="Consolas" w:hAnsi="Consolas" w:cs="Courier New"/>
          <w:color w:val="000000"/>
          <w:sz w:val="20"/>
          <w:szCs w:val="20"/>
        </w:rPr>
        <w:br/>
        <w:t>ebit = financials.loc[</w:t>
      </w:r>
      <w:r w:rsidRPr="00603A4F">
        <w:rPr>
          <w:rFonts w:ascii="Consolas" w:hAnsi="Consolas" w:cs="Courier New"/>
          <w:color w:val="008800"/>
          <w:sz w:val="20"/>
          <w:szCs w:val="20"/>
        </w:rPr>
        <w:t>'Ebit'</w:t>
      </w:r>
      <w:r w:rsidRPr="00603A4F">
        <w:rPr>
          <w:rFonts w:ascii="Consolas" w:hAnsi="Consolas" w:cs="Courier New"/>
          <w:color w:val="000000"/>
          <w:sz w:val="20"/>
          <w:szCs w:val="20"/>
        </w:rPr>
        <w:t xml:space="preserve">] </w:t>
      </w:r>
      <w:r w:rsidRPr="00603A4F">
        <w:rPr>
          <w:rFonts w:ascii="Consolas" w:hAnsi="Consolas" w:cs="Courier New"/>
          <w:color w:val="880000"/>
          <w:sz w:val="20"/>
          <w:szCs w:val="20"/>
        </w:rPr>
        <w:t># Earnings Before Interest and Taxes</w:t>
      </w:r>
      <w:r w:rsidRPr="00603A4F">
        <w:rPr>
          <w:rFonts w:ascii="Consolas" w:hAnsi="Consolas" w:cs="Courier New"/>
          <w:color w:val="000000"/>
          <w:sz w:val="20"/>
          <w:szCs w:val="20"/>
        </w:rPr>
        <w:br/>
        <w:t>interest_expense = financials.loc[</w:t>
      </w:r>
      <w:r w:rsidRPr="00603A4F">
        <w:rPr>
          <w:rFonts w:ascii="Consolas" w:hAnsi="Consolas" w:cs="Courier New"/>
          <w:color w:val="008800"/>
          <w:sz w:val="20"/>
          <w:szCs w:val="20"/>
        </w:rPr>
        <w:t>'Interest Expense'</w:t>
      </w:r>
      <w:r w:rsidRPr="00603A4F">
        <w:rPr>
          <w:rFonts w:ascii="Consolas" w:hAnsi="Consolas" w:cs="Courier New"/>
          <w:color w:val="000000"/>
          <w:sz w:val="20"/>
          <w:szCs w:val="20"/>
        </w:rPr>
        <w:t xml:space="preserve">] </w:t>
      </w:r>
      <w:r w:rsidRPr="00603A4F">
        <w:rPr>
          <w:rFonts w:ascii="Consolas" w:hAnsi="Consolas" w:cs="Courier New"/>
          <w:color w:val="000088"/>
          <w:sz w:val="20"/>
          <w:szCs w:val="20"/>
        </w:rPr>
        <w:t>if</w:t>
      </w:r>
      <w:r w:rsidRPr="00603A4F">
        <w:rPr>
          <w:rFonts w:ascii="Consolas" w:hAnsi="Consolas" w:cs="Courier New"/>
          <w:color w:val="000000"/>
          <w:sz w:val="20"/>
          <w:szCs w:val="20"/>
        </w:rPr>
        <w:t xml:space="preserve"> </w:t>
      </w:r>
      <w:r w:rsidRPr="00603A4F">
        <w:rPr>
          <w:rFonts w:ascii="Consolas" w:hAnsi="Consolas" w:cs="Courier New"/>
          <w:color w:val="008800"/>
          <w:sz w:val="20"/>
          <w:szCs w:val="20"/>
        </w:rPr>
        <w:t>'Interest Expense'</w:t>
      </w:r>
      <w:r w:rsidRPr="00603A4F">
        <w:rPr>
          <w:rFonts w:ascii="Consolas" w:hAnsi="Consolas" w:cs="Courier New"/>
          <w:color w:val="000000"/>
          <w:sz w:val="20"/>
          <w:szCs w:val="20"/>
        </w:rPr>
        <w:t xml:space="preserve"> </w:t>
      </w:r>
      <w:r w:rsidRPr="00603A4F">
        <w:rPr>
          <w:rFonts w:ascii="Consolas" w:hAnsi="Consolas" w:cs="Courier New"/>
          <w:color w:val="000088"/>
          <w:sz w:val="20"/>
          <w:szCs w:val="20"/>
        </w:rPr>
        <w:t>in</w:t>
      </w:r>
      <w:r w:rsidRPr="00603A4F">
        <w:rPr>
          <w:rFonts w:ascii="Consolas" w:hAnsi="Consolas" w:cs="Courier New"/>
          <w:color w:val="000000"/>
          <w:sz w:val="20"/>
          <w:szCs w:val="20"/>
        </w:rPr>
        <w:t xml:space="preserve"> financials.index </w:t>
      </w:r>
      <w:r w:rsidRPr="00603A4F">
        <w:rPr>
          <w:rFonts w:ascii="Consolas" w:hAnsi="Consolas" w:cs="Courier New"/>
          <w:color w:val="000088"/>
          <w:sz w:val="20"/>
          <w:szCs w:val="20"/>
        </w:rPr>
        <w:t>else</w:t>
      </w:r>
      <w:r w:rsidRPr="00603A4F">
        <w:rPr>
          <w:rFonts w:ascii="Consolas" w:hAnsi="Consolas" w:cs="Courier New"/>
          <w:color w:val="000000"/>
          <w:sz w:val="20"/>
          <w:szCs w:val="20"/>
        </w:rPr>
        <w:t xml:space="preserve"> pd.Series([</w:t>
      </w:r>
      <w:r w:rsidRPr="00603A4F">
        <w:rPr>
          <w:rFonts w:ascii="Consolas" w:hAnsi="Consolas" w:cs="Courier New"/>
          <w:color w:val="006666"/>
          <w:sz w:val="20"/>
          <w:szCs w:val="20"/>
        </w:rPr>
        <w:t>0</w:t>
      </w:r>
      <w:r w:rsidRPr="00603A4F">
        <w:rPr>
          <w:rFonts w:ascii="Consolas" w:hAnsi="Consolas" w:cs="Courier New"/>
          <w:color w:val="000000"/>
          <w:sz w:val="20"/>
          <w:szCs w:val="20"/>
        </w:rPr>
        <w:t xml:space="preserve">] * len(ebit), index=ebit.index) </w:t>
      </w:r>
      <w:r w:rsidRPr="00603A4F">
        <w:rPr>
          <w:rFonts w:ascii="Consolas" w:hAnsi="Consolas" w:cs="Courier New"/>
          <w:color w:val="880000"/>
          <w:sz w:val="20"/>
          <w:szCs w:val="20"/>
        </w:rPr>
        <w:t># Handle cases where interest expense is zero or not listedExpense' in financials.index else pd.Series([0] * len(ebit), index=ebit.index) # Handle cases where interest expense is zero or not listed</w:t>
      </w:r>
      <w:r w:rsidRPr="00603A4F">
        <w:rPr>
          <w:rFonts w:ascii="Consolas" w:hAnsi="Consolas" w:cs="Courier New"/>
          <w:color w:val="000000"/>
          <w:sz w:val="20"/>
          <w:szCs w:val="20"/>
        </w:rPr>
        <w:br/>
      </w:r>
      <w:r w:rsidRPr="00603A4F">
        <w:rPr>
          <w:rFonts w:ascii="Consolas" w:hAnsi="Consolas" w:cs="Courier New"/>
          <w:color w:val="000000"/>
          <w:sz w:val="20"/>
          <w:szCs w:val="20"/>
        </w:rPr>
        <w:br/>
      </w:r>
      <w:r w:rsidRPr="00603A4F">
        <w:rPr>
          <w:rFonts w:ascii="Consolas" w:hAnsi="Consolas" w:cs="Courier New"/>
          <w:color w:val="880000"/>
          <w:sz w:val="20"/>
          <w:szCs w:val="20"/>
        </w:rPr>
        <w:t># Calculate Debt-to-Equity Ratio</w:t>
      </w:r>
      <w:r w:rsidRPr="00603A4F">
        <w:rPr>
          <w:rFonts w:ascii="Consolas" w:hAnsi="Consolas" w:cs="Courier New"/>
          <w:color w:val="000000"/>
          <w:sz w:val="20"/>
          <w:szCs w:val="20"/>
        </w:rPr>
        <w:br/>
        <w:t>debt_to_equity_ratio = total_liabilities / shareholders_equity</w:t>
      </w:r>
      <w:r w:rsidRPr="00603A4F">
        <w:rPr>
          <w:rFonts w:ascii="Consolas" w:hAnsi="Consolas" w:cs="Courier New"/>
          <w:color w:val="000000"/>
          <w:sz w:val="20"/>
          <w:szCs w:val="20"/>
        </w:rPr>
        <w:br/>
      </w:r>
      <w:r w:rsidRPr="00603A4F">
        <w:rPr>
          <w:rFonts w:ascii="Consolas" w:hAnsi="Consolas" w:cs="Courier New"/>
          <w:color w:val="000000"/>
          <w:sz w:val="20"/>
          <w:szCs w:val="20"/>
        </w:rPr>
        <w:lastRenderedPageBreak/>
        <w:br/>
      </w:r>
      <w:r w:rsidRPr="00603A4F">
        <w:rPr>
          <w:rFonts w:ascii="Consolas" w:hAnsi="Consolas" w:cs="Courier New"/>
          <w:color w:val="880000"/>
          <w:sz w:val="20"/>
          <w:szCs w:val="20"/>
        </w:rPr>
        <w:t># Calculate Interest Coverage Ratio</w:t>
      </w:r>
      <w:r w:rsidRPr="00603A4F">
        <w:rPr>
          <w:rFonts w:ascii="Consolas" w:hAnsi="Consolas" w:cs="Courier New"/>
          <w:color w:val="000000"/>
          <w:sz w:val="20"/>
          <w:szCs w:val="20"/>
        </w:rPr>
        <w:br/>
        <w:t>interest_coverage_ratio = ebit / interest_expense.replace(</w:t>
      </w:r>
      <w:r w:rsidRPr="00603A4F">
        <w:rPr>
          <w:rFonts w:ascii="Consolas" w:hAnsi="Consolas" w:cs="Courier New"/>
          <w:color w:val="006666"/>
          <w:sz w:val="20"/>
          <w:szCs w:val="20"/>
        </w:rPr>
        <w:t>0</w:t>
      </w:r>
      <w:r w:rsidRPr="00603A4F">
        <w:rPr>
          <w:rFonts w:ascii="Consolas" w:hAnsi="Consolas" w:cs="Courier New"/>
          <w:color w:val="000000"/>
          <w:sz w:val="20"/>
          <w:szCs w:val="20"/>
        </w:rPr>
        <w:t>, float(</w:t>
      </w:r>
      <w:r w:rsidRPr="00603A4F">
        <w:rPr>
          <w:rFonts w:ascii="Consolas" w:hAnsi="Consolas" w:cs="Courier New"/>
          <w:color w:val="008800"/>
          <w:sz w:val="20"/>
          <w:szCs w:val="20"/>
        </w:rPr>
        <w:t>'nan'</w:t>
      </w:r>
      <w:r w:rsidRPr="00603A4F">
        <w:rPr>
          <w:rFonts w:ascii="Consolas" w:hAnsi="Consolas" w:cs="Courier New"/>
          <w:color w:val="000000"/>
          <w:sz w:val="20"/>
          <w:szCs w:val="20"/>
        </w:rPr>
        <w:t xml:space="preserve">)) </w:t>
      </w:r>
      <w:r w:rsidRPr="00603A4F">
        <w:rPr>
          <w:rFonts w:ascii="Consolas" w:hAnsi="Consolas" w:cs="Courier New"/>
          <w:color w:val="880000"/>
          <w:sz w:val="20"/>
          <w:szCs w:val="20"/>
        </w:rPr>
        <w:t># Avoid division by zero by replacing 0 with NaN</w:t>
      </w:r>
      <w:r w:rsidRPr="00603A4F">
        <w:rPr>
          <w:rFonts w:ascii="Consolas" w:hAnsi="Consolas" w:cs="Courier New"/>
          <w:color w:val="000000"/>
          <w:sz w:val="20"/>
          <w:szCs w:val="20"/>
        </w:rPr>
        <w:br/>
      </w:r>
      <w:r w:rsidRPr="00603A4F">
        <w:rPr>
          <w:rFonts w:ascii="Consolas" w:hAnsi="Consolas" w:cs="Courier New"/>
          <w:color w:val="000000"/>
          <w:sz w:val="20"/>
          <w:szCs w:val="20"/>
        </w:rPr>
        <w:br/>
      </w:r>
      <w:r w:rsidRPr="00603A4F">
        <w:rPr>
          <w:rFonts w:ascii="Consolas" w:hAnsi="Consolas" w:cs="Courier New"/>
          <w:color w:val="880000"/>
          <w:sz w:val="20"/>
          <w:szCs w:val="20"/>
        </w:rPr>
        <w:t># Prepare a DataFrame with the relevant data</w:t>
      </w:r>
      <w:r w:rsidRPr="00603A4F">
        <w:rPr>
          <w:rFonts w:ascii="Consolas" w:hAnsi="Consolas" w:cs="Courier New"/>
          <w:color w:val="000000"/>
          <w:sz w:val="20"/>
          <w:szCs w:val="20"/>
        </w:rPr>
        <w:br/>
        <w:t>leverage_ratios = pd.DataFrame({</w:t>
      </w:r>
      <w:r w:rsidRPr="00603A4F">
        <w:rPr>
          <w:rFonts w:ascii="Consolas" w:hAnsi="Consolas" w:cs="Courier New"/>
          <w:color w:val="000000"/>
          <w:sz w:val="20"/>
          <w:szCs w:val="20"/>
        </w:rPr>
        <w:br/>
        <w:t xml:space="preserve">    </w:t>
      </w:r>
      <w:r w:rsidRPr="00603A4F">
        <w:rPr>
          <w:rFonts w:ascii="Consolas" w:hAnsi="Consolas" w:cs="Courier New"/>
          <w:color w:val="008800"/>
          <w:sz w:val="20"/>
          <w:szCs w:val="20"/>
        </w:rPr>
        <w:t>'Year'</w:t>
      </w:r>
      <w:r w:rsidRPr="00603A4F">
        <w:rPr>
          <w:rFonts w:ascii="Consolas" w:hAnsi="Consolas" w:cs="Courier New"/>
          <w:color w:val="000000"/>
          <w:sz w:val="20"/>
          <w:szCs w:val="20"/>
        </w:rPr>
        <w:t>: total_liabilities.index.year,</w:t>
      </w:r>
      <w:r w:rsidRPr="00603A4F">
        <w:rPr>
          <w:rFonts w:ascii="Consolas" w:hAnsi="Consolas" w:cs="Courier New"/>
          <w:color w:val="000000"/>
          <w:sz w:val="20"/>
          <w:szCs w:val="20"/>
        </w:rPr>
        <w:br/>
        <w:t xml:space="preserve">    </w:t>
      </w:r>
      <w:r w:rsidRPr="00603A4F">
        <w:rPr>
          <w:rFonts w:ascii="Consolas" w:hAnsi="Consolas" w:cs="Courier New"/>
          <w:color w:val="008800"/>
          <w:sz w:val="20"/>
          <w:szCs w:val="20"/>
        </w:rPr>
        <w:t>'Total Liabilities'</w:t>
      </w:r>
      <w:r w:rsidRPr="00603A4F">
        <w:rPr>
          <w:rFonts w:ascii="Consolas" w:hAnsi="Consolas" w:cs="Courier New"/>
          <w:color w:val="000000"/>
          <w:sz w:val="20"/>
          <w:szCs w:val="20"/>
        </w:rPr>
        <w:t>: total_liabilities.values,</w:t>
      </w:r>
      <w:r w:rsidRPr="00603A4F">
        <w:rPr>
          <w:rFonts w:ascii="Consolas" w:hAnsi="Consolas" w:cs="Courier New"/>
          <w:color w:val="000000"/>
          <w:sz w:val="20"/>
          <w:szCs w:val="20"/>
        </w:rPr>
        <w:br/>
        <w:t xml:space="preserve">    </w:t>
      </w:r>
      <w:r w:rsidRPr="00603A4F">
        <w:rPr>
          <w:rFonts w:ascii="Consolas" w:hAnsi="Consolas" w:cs="Courier New"/>
          <w:color w:val="008800"/>
          <w:sz w:val="20"/>
          <w:szCs w:val="20"/>
        </w:rPr>
        <w:t>'Shareholders Equity'</w:t>
      </w:r>
      <w:r w:rsidRPr="00603A4F">
        <w:rPr>
          <w:rFonts w:ascii="Consolas" w:hAnsi="Consolas" w:cs="Courier New"/>
          <w:color w:val="000000"/>
          <w:sz w:val="20"/>
          <w:szCs w:val="20"/>
        </w:rPr>
        <w:t>: shareholders_equity.values,</w:t>
      </w:r>
      <w:r w:rsidRPr="00603A4F">
        <w:rPr>
          <w:rFonts w:ascii="Consolas" w:hAnsi="Consolas" w:cs="Courier New"/>
          <w:color w:val="000000"/>
          <w:sz w:val="20"/>
          <w:szCs w:val="20"/>
        </w:rPr>
        <w:br/>
        <w:t xml:space="preserve">    </w:t>
      </w:r>
      <w:r w:rsidRPr="00603A4F">
        <w:rPr>
          <w:rFonts w:ascii="Consolas" w:hAnsi="Consolas" w:cs="Courier New"/>
          <w:color w:val="008800"/>
          <w:sz w:val="20"/>
          <w:szCs w:val="20"/>
        </w:rPr>
        <w:t>'EBIT'</w:t>
      </w:r>
      <w:r w:rsidRPr="00603A4F">
        <w:rPr>
          <w:rFonts w:ascii="Consolas" w:hAnsi="Consolas" w:cs="Courier New"/>
          <w:color w:val="000000"/>
          <w:sz w:val="20"/>
          <w:szCs w:val="20"/>
        </w:rPr>
        <w:t>: ebit.values,</w:t>
      </w:r>
      <w:r w:rsidRPr="00603A4F">
        <w:rPr>
          <w:rFonts w:ascii="Consolas" w:hAnsi="Consolas" w:cs="Courier New"/>
          <w:color w:val="000000"/>
          <w:sz w:val="20"/>
          <w:szCs w:val="20"/>
        </w:rPr>
        <w:br/>
        <w:t xml:space="preserve">    </w:t>
      </w:r>
      <w:r w:rsidRPr="00603A4F">
        <w:rPr>
          <w:rFonts w:ascii="Consolas" w:hAnsi="Consolas" w:cs="Courier New"/>
          <w:color w:val="008800"/>
          <w:sz w:val="20"/>
          <w:szCs w:val="20"/>
        </w:rPr>
        <w:t>'Interest Expense'</w:t>
      </w:r>
      <w:r w:rsidRPr="00603A4F">
        <w:rPr>
          <w:rFonts w:ascii="Consolas" w:hAnsi="Consolas" w:cs="Courier New"/>
          <w:color w:val="000000"/>
          <w:sz w:val="20"/>
          <w:szCs w:val="20"/>
        </w:rPr>
        <w:t>: interest_expense.values,</w:t>
      </w:r>
      <w:r w:rsidRPr="00603A4F">
        <w:rPr>
          <w:rFonts w:ascii="Consolas" w:hAnsi="Consolas" w:cs="Courier New"/>
          <w:color w:val="000000"/>
          <w:sz w:val="20"/>
          <w:szCs w:val="20"/>
        </w:rPr>
        <w:br/>
        <w:t xml:space="preserve">    </w:t>
      </w:r>
      <w:r w:rsidRPr="00603A4F">
        <w:rPr>
          <w:rFonts w:ascii="Consolas" w:hAnsi="Consolas" w:cs="Courier New"/>
          <w:color w:val="008800"/>
          <w:sz w:val="20"/>
          <w:szCs w:val="20"/>
        </w:rPr>
        <w:t>'Debt-to-Equity Ratio'</w:t>
      </w:r>
      <w:r w:rsidRPr="00603A4F">
        <w:rPr>
          <w:rFonts w:ascii="Consolas" w:hAnsi="Consolas" w:cs="Courier New"/>
          <w:color w:val="000000"/>
          <w:sz w:val="20"/>
          <w:szCs w:val="20"/>
        </w:rPr>
        <w:t>: debt_to_equity_ratio.values,</w:t>
      </w:r>
      <w:r w:rsidRPr="00603A4F">
        <w:rPr>
          <w:rFonts w:ascii="Consolas" w:hAnsi="Consolas" w:cs="Courier New"/>
          <w:color w:val="000000"/>
          <w:sz w:val="20"/>
          <w:szCs w:val="20"/>
        </w:rPr>
        <w:br/>
        <w:t xml:space="preserve">    </w:t>
      </w:r>
      <w:r w:rsidRPr="00603A4F">
        <w:rPr>
          <w:rFonts w:ascii="Consolas" w:hAnsi="Consolas" w:cs="Courier New"/>
          <w:color w:val="008800"/>
          <w:sz w:val="20"/>
          <w:szCs w:val="20"/>
        </w:rPr>
        <w:t>'Interest Coverage Ratio'</w:t>
      </w:r>
      <w:r w:rsidRPr="00603A4F">
        <w:rPr>
          <w:rFonts w:ascii="Consolas" w:hAnsi="Consolas" w:cs="Courier New"/>
          <w:color w:val="000000"/>
          <w:sz w:val="20"/>
          <w:szCs w:val="20"/>
        </w:rPr>
        <w:t>: interest_coverage_ratio.values,</w:t>
      </w:r>
      <w:r w:rsidRPr="00603A4F">
        <w:rPr>
          <w:rFonts w:ascii="Consolas" w:hAnsi="Consolas" w:cs="Courier New"/>
          <w:color w:val="000000"/>
          <w:sz w:val="20"/>
          <w:szCs w:val="20"/>
        </w:rPr>
        <w:br/>
        <w:t>})</w:t>
      </w:r>
      <w:r w:rsidRPr="00603A4F">
        <w:rPr>
          <w:rFonts w:ascii="Consolas" w:hAnsi="Consolas" w:cs="Courier New"/>
          <w:color w:val="000000"/>
          <w:sz w:val="20"/>
          <w:szCs w:val="20"/>
        </w:rPr>
        <w:br/>
      </w:r>
      <w:r w:rsidRPr="00603A4F">
        <w:rPr>
          <w:rFonts w:ascii="Consolas" w:hAnsi="Consolas" w:cs="Courier New"/>
          <w:color w:val="000000"/>
          <w:sz w:val="20"/>
          <w:szCs w:val="20"/>
        </w:rPr>
        <w:br/>
      </w:r>
      <w:r w:rsidRPr="00603A4F">
        <w:rPr>
          <w:rFonts w:ascii="Consolas" w:hAnsi="Consolas" w:cs="Courier New"/>
          <w:color w:val="880000"/>
          <w:sz w:val="20"/>
          <w:szCs w:val="20"/>
        </w:rPr>
        <w:t># Display the financial ratios</w:t>
      </w:r>
      <w:r w:rsidRPr="00603A4F">
        <w:rPr>
          <w:rFonts w:ascii="Consolas" w:hAnsi="Consolas" w:cs="Courier New"/>
          <w:color w:val="000000"/>
          <w:sz w:val="20"/>
          <w:szCs w:val="20"/>
        </w:rPr>
        <w:br/>
        <w:t>leverage_ratios</w:t>
      </w:r>
    </w:p>
    <w:p w14:paraId="203F5F43" w14:textId="0A4E35F4" w:rsidR="00DB4CD0" w:rsidRDefault="00DB4CD0" w:rsidP="00643F3A">
      <w:pPr>
        <w:pStyle w:val="Heading3"/>
      </w:pPr>
      <w:r>
        <w:t>Efficiency Ratios</w:t>
      </w:r>
    </w:p>
    <w:p w14:paraId="2E69211C" w14:textId="46318D93" w:rsidR="00DB4CD0" w:rsidRDefault="00DB4CD0" w:rsidP="00643F3A">
      <w:pPr>
        <w:pStyle w:val="Heading4"/>
      </w:pPr>
      <w:r>
        <w:t>Asset Turnover Ratio and Inventory Turnover Ratio</w:t>
      </w:r>
    </w:p>
    <w:p w14:paraId="217FE288" w14:textId="77777777" w:rsidR="00451ACC" w:rsidRPr="00451ACC" w:rsidRDefault="00451ACC" w:rsidP="00451ACC">
      <w:pPr>
        <w:numPr>
          <w:ilvl w:val="0"/>
          <w:numId w:val="21"/>
        </w:numPr>
        <w:rPr>
          <w:lang w:val="en-IN"/>
        </w:rPr>
      </w:pPr>
      <w:r w:rsidRPr="00451ACC">
        <w:rPr>
          <w:b/>
          <w:bCs/>
          <w:lang w:val="en-IN"/>
        </w:rPr>
        <w:t>Asset Turnover Ratio</w:t>
      </w:r>
      <w:r w:rsidRPr="00451ACC">
        <w:rPr>
          <w:lang w:val="en-IN"/>
        </w:rPr>
        <w:t>: This ratio measures how efficiently a company uses its assets to generate sales. It indicates how many dollars of sales are generated for each dollar of assets owned by the company.</w:t>
      </w:r>
    </w:p>
    <w:p w14:paraId="42223494" w14:textId="476118E7" w:rsidR="00451ACC" w:rsidRPr="00451ACC" w:rsidRDefault="00451ACC" w:rsidP="00451ACC">
      <w:pPr>
        <w:jc w:val="center"/>
        <w:rPr>
          <w:lang w:val="en-IN"/>
        </w:rPr>
      </w:pPr>
      <m:oMath>
        <m:r>
          <w:rPr>
            <w:rFonts w:ascii="Cambria Math" w:hAnsi="Cambria Math" w:cs="Times New Roman"/>
            <w:lang w:val="en-IN"/>
          </w:rPr>
          <m:t xml:space="preserve">Asset Turnover Ratio= </m:t>
        </m:r>
        <m:f>
          <m:fPr>
            <m:ctrlPr>
              <w:rPr>
                <w:rFonts w:ascii="Cambria Math" w:hAnsi="Cambria Math" w:cs="Times New Roman"/>
                <w:i/>
                <w:lang w:val="en-IN"/>
              </w:rPr>
            </m:ctrlPr>
          </m:fPr>
          <m:num>
            <m:r>
              <w:rPr>
                <w:rFonts w:ascii="Cambria Math" w:hAnsi="Cambria Math" w:cs="Times New Roman"/>
                <w:lang w:val="en-IN"/>
              </w:rPr>
              <m:t>Revenue</m:t>
            </m:r>
          </m:num>
          <m:den>
            <m:r>
              <w:rPr>
                <w:rFonts w:ascii="Cambria Math" w:hAnsi="Cambria Math" w:cs="Times New Roman"/>
                <w:lang w:val="en-IN"/>
              </w:rPr>
              <m:t>Average Total Assets</m:t>
            </m:r>
          </m:den>
        </m:f>
      </m:oMath>
      <w:r w:rsidRPr="00451ACC">
        <w:rPr>
          <w:rFonts w:ascii="Times New Roman" w:hAnsi="Times New Roman" w:cs="Times New Roman"/>
          <w:lang w:val="en-IN"/>
        </w:rPr>
        <w:t>​</w:t>
      </w:r>
    </w:p>
    <w:p w14:paraId="3547DBF2" w14:textId="77777777" w:rsidR="00451ACC" w:rsidRPr="00451ACC" w:rsidRDefault="00451ACC" w:rsidP="00451ACC">
      <w:pPr>
        <w:numPr>
          <w:ilvl w:val="1"/>
          <w:numId w:val="21"/>
        </w:numPr>
        <w:rPr>
          <w:lang w:val="en-IN"/>
        </w:rPr>
      </w:pPr>
      <w:r w:rsidRPr="00451ACC">
        <w:rPr>
          <w:b/>
          <w:bCs/>
          <w:lang w:val="en-IN"/>
        </w:rPr>
        <w:t>Revenue</w:t>
      </w:r>
      <w:r w:rsidRPr="00451ACC">
        <w:rPr>
          <w:lang w:val="en-IN"/>
        </w:rPr>
        <w:t>: The total income generated from the sale of goods or services.</w:t>
      </w:r>
    </w:p>
    <w:p w14:paraId="20CDA603" w14:textId="2A332A74" w:rsidR="00451ACC" w:rsidRPr="00451ACC" w:rsidRDefault="00451ACC" w:rsidP="00451ACC">
      <w:pPr>
        <w:numPr>
          <w:ilvl w:val="1"/>
          <w:numId w:val="21"/>
        </w:numPr>
        <w:rPr>
          <w:lang w:val="en-IN"/>
        </w:rPr>
      </w:pPr>
      <w:r w:rsidRPr="00451ACC">
        <w:rPr>
          <w:b/>
          <w:bCs/>
          <w:lang w:val="en-IN"/>
        </w:rPr>
        <w:t>Average Total Assets</w:t>
      </w:r>
      <w:r w:rsidRPr="00451ACC">
        <w:rPr>
          <w:lang w:val="en-IN"/>
        </w:rPr>
        <w:t>: The average of total assets at the beginning and end of the period. It is calculated as</w:t>
      </w:r>
      <w:r w:rsidR="00976092">
        <w:rPr>
          <w:lang w:val="en-IN"/>
        </w:rPr>
        <w:t xml:space="preserve"> </w:t>
      </w:r>
      <m:oMath>
        <m:d>
          <m:dPr>
            <m:ctrlPr>
              <w:rPr>
                <w:rFonts w:ascii="Cambria Math" w:hAnsi="Cambria Math"/>
                <w:i/>
                <w:lang w:val="en-IN"/>
              </w:rPr>
            </m:ctrlPr>
          </m:dPr>
          <m:e>
            <m:r>
              <w:rPr>
                <w:rFonts w:ascii="Cambria Math" w:hAnsi="Cambria Math"/>
                <w:lang w:val="en-IN"/>
              </w:rPr>
              <m:t>Total Asset</m:t>
            </m:r>
            <m:sSub>
              <m:sSubPr>
                <m:ctrlPr>
                  <w:rPr>
                    <w:rFonts w:ascii="Cambria Math" w:hAnsi="Cambria Math"/>
                    <w:i/>
                    <w:lang w:val="en-IN"/>
                  </w:rPr>
                </m:ctrlPr>
              </m:sSubPr>
              <m:e>
                <m:r>
                  <w:rPr>
                    <w:rFonts w:ascii="Cambria Math" w:hAnsi="Cambria Math"/>
                    <w:lang w:val="en-IN"/>
                  </w:rPr>
                  <m:t>s</m:t>
                </m:r>
              </m:e>
              <m:sub>
                <m:r>
                  <w:rPr>
                    <w:rFonts w:ascii="Cambria Math" w:hAnsi="Cambria Math"/>
                    <w:lang w:val="en-IN"/>
                  </w:rPr>
                  <m:t>beginning</m:t>
                </m:r>
              </m:sub>
            </m:sSub>
            <m:r>
              <w:rPr>
                <w:rFonts w:ascii="Cambria Math" w:hAnsi="Cambria Math"/>
                <w:lang w:val="en-IN"/>
              </w:rPr>
              <m:t>+Total Asset</m:t>
            </m:r>
            <m:sSub>
              <m:sSubPr>
                <m:ctrlPr>
                  <w:rPr>
                    <w:rFonts w:ascii="Cambria Math" w:hAnsi="Cambria Math"/>
                    <w:i/>
                    <w:lang w:val="en-IN"/>
                  </w:rPr>
                </m:ctrlPr>
              </m:sSubPr>
              <m:e>
                <m:r>
                  <w:rPr>
                    <w:rFonts w:ascii="Cambria Math" w:hAnsi="Cambria Math"/>
                    <w:lang w:val="en-IN"/>
                  </w:rPr>
                  <m:t>s</m:t>
                </m:r>
              </m:e>
              <m:sub>
                <m:r>
                  <w:rPr>
                    <w:rFonts w:ascii="Cambria Math" w:hAnsi="Cambria Math"/>
                    <w:lang w:val="en-IN"/>
                  </w:rPr>
                  <m:t>end</m:t>
                </m:r>
              </m:sub>
            </m:sSub>
          </m:e>
        </m:d>
        <m:r>
          <w:rPr>
            <w:rFonts w:ascii="Cambria Math" w:hAnsi="Cambria Math"/>
            <w:lang w:val="en-IN"/>
          </w:rPr>
          <m:t xml:space="preserve">/ 2 </m:t>
        </m:r>
      </m:oMath>
      <w:r w:rsidRPr="00451ACC">
        <w:rPr>
          <w:lang w:val="en-IN"/>
        </w:rPr>
        <w:t>.</w:t>
      </w:r>
    </w:p>
    <w:p w14:paraId="0C66856E" w14:textId="77777777" w:rsidR="00451ACC" w:rsidRPr="00451ACC" w:rsidRDefault="00451ACC" w:rsidP="00451ACC">
      <w:pPr>
        <w:numPr>
          <w:ilvl w:val="0"/>
          <w:numId w:val="21"/>
        </w:numPr>
        <w:rPr>
          <w:lang w:val="en-IN"/>
        </w:rPr>
      </w:pPr>
      <w:r w:rsidRPr="00451ACC">
        <w:rPr>
          <w:b/>
          <w:bCs/>
          <w:lang w:val="en-IN"/>
        </w:rPr>
        <w:t>Inventory Turnover Ratio</w:t>
      </w:r>
      <w:r w:rsidRPr="00451ACC">
        <w:rPr>
          <w:lang w:val="en-IN"/>
        </w:rPr>
        <w:t>: This ratio measures how efficiently a company manages its inventory by comparing the cost of goods sold (COGS) to the average inventory. It shows how many times a company’s inventory is sold and replaced over a period.</w:t>
      </w:r>
    </w:p>
    <w:p w14:paraId="54197340" w14:textId="3BBD4A0A" w:rsidR="00451ACC" w:rsidRPr="00451ACC" w:rsidRDefault="00451ACC" w:rsidP="00451ACC">
      <w:pPr>
        <w:jc w:val="center"/>
        <w:rPr>
          <w:lang w:val="en-IN"/>
        </w:rPr>
      </w:pPr>
      <m:oMath>
        <m:r>
          <w:rPr>
            <w:rFonts w:ascii="Cambria Math" w:hAnsi="Cambria Math" w:cs="Times New Roman"/>
            <w:lang w:val="en-IN"/>
          </w:rPr>
          <m:t xml:space="preserve">Inventory Turnover Ratio= </m:t>
        </m:r>
        <m:f>
          <m:fPr>
            <m:ctrlPr>
              <w:rPr>
                <w:rFonts w:ascii="Cambria Math" w:hAnsi="Cambria Math" w:cs="Times New Roman"/>
                <w:i/>
                <w:lang w:val="en-IN"/>
              </w:rPr>
            </m:ctrlPr>
          </m:fPr>
          <m:num>
            <m:r>
              <w:rPr>
                <w:rFonts w:ascii="Cambria Math" w:hAnsi="Cambria Math" w:cs="Times New Roman"/>
                <w:lang w:val="en-IN"/>
              </w:rPr>
              <m:t>Cost of Goods Sold (COGS)</m:t>
            </m:r>
          </m:num>
          <m:den>
            <m:r>
              <w:rPr>
                <w:rFonts w:ascii="Cambria Math" w:hAnsi="Cambria Math" w:cs="Times New Roman"/>
                <w:lang w:val="en-IN"/>
              </w:rPr>
              <m:t>Average Inventory</m:t>
            </m:r>
          </m:den>
        </m:f>
      </m:oMath>
      <w:r w:rsidRPr="00451ACC">
        <w:rPr>
          <w:rFonts w:ascii="Times New Roman" w:hAnsi="Times New Roman" w:cs="Times New Roman"/>
          <w:lang w:val="en-IN"/>
        </w:rPr>
        <w:t>​</w:t>
      </w:r>
    </w:p>
    <w:p w14:paraId="6F67311E" w14:textId="77777777" w:rsidR="00451ACC" w:rsidRPr="00451ACC" w:rsidRDefault="00451ACC" w:rsidP="00451ACC">
      <w:pPr>
        <w:numPr>
          <w:ilvl w:val="1"/>
          <w:numId w:val="21"/>
        </w:numPr>
        <w:rPr>
          <w:lang w:val="en-IN"/>
        </w:rPr>
      </w:pPr>
      <w:r w:rsidRPr="00451ACC">
        <w:rPr>
          <w:b/>
          <w:bCs/>
          <w:lang w:val="en-IN"/>
        </w:rPr>
        <w:t>Cost of Goods Sold (COGS)</w:t>
      </w:r>
      <w:r w:rsidRPr="00451ACC">
        <w:rPr>
          <w:lang w:val="en-IN"/>
        </w:rPr>
        <w:t>: The direct costs attributable to the production of goods sold by the company.</w:t>
      </w:r>
    </w:p>
    <w:p w14:paraId="64D4480D" w14:textId="44A19B03" w:rsidR="00451ACC" w:rsidRPr="00451ACC" w:rsidRDefault="00451ACC" w:rsidP="00451ACC">
      <w:pPr>
        <w:numPr>
          <w:ilvl w:val="1"/>
          <w:numId w:val="21"/>
        </w:numPr>
        <w:rPr>
          <w:lang w:val="en-IN"/>
        </w:rPr>
      </w:pPr>
      <w:r w:rsidRPr="00451ACC">
        <w:rPr>
          <w:b/>
          <w:bCs/>
          <w:lang w:val="en-IN"/>
        </w:rPr>
        <w:t>Average Inventory</w:t>
      </w:r>
      <w:r w:rsidRPr="00451ACC">
        <w:rPr>
          <w:lang w:val="en-IN"/>
        </w:rPr>
        <w:t>: The average of inventory at the beginning and end of the period. It is calculated as</w:t>
      </w:r>
      <w:r w:rsidR="00976092">
        <w:rPr>
          <w:lang w:val="en-IN"/>
        </w:rPr>
        <w:t xml:space="preserve"> </w:t>
      </w:r>
      <m:oMath>
        <m:d>
          <m:dPr>
            <m:ctrlPr>
              <w:rPr>
                <w:rFonts w:ascii="Cambria Math" w:hAnsi="Cambria Math"/>
                <w:i/>
                <w:lang w:val="en-IN"/>
              </w:rPr>
            </m:ctrlPr>
          </m:dPr>
          <m:e>
            <m:r>
              <w:rPr>
                <w:rFonts w:ascii="Cambria Math" w:hAnsi="Cambria Math"/>
                <w:lang w:val="en-IN"/>
              </w:rPr>
              <m:t>Inventor</m:t>
            </m:r>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beginning</m:t>
                </m:r>
              </m:sub>
            </m:sSub>
            <m:r>
              <w:rPr>
                <w:rFonts w:ascii="Cambria Math" w:hAnsi="Cambria Math"/>
                <w:lang w:val="en-IN"/>
              </w:rPr>
              <m:t>+Inventor</m:t>
            </m:r>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end</m:t>
                </m:r>
              </m:sub>
            </m:sSub>
          </m:e>
        </m:d>
        <m:r>
          <w:rPr>
            <w:rFonts w:ascii="Cambria Math" w:hAnsi="Cambria Math"/>
            <w:lang w:val="en-IN"/>
          </w:rPr>
          <m:t>/ 2</m:t>
        </m:r>
      </m:oMath>
      <w:r w:rsidRPr="00451ACC">
        <w:rPr>
          <w:lang w:val="en-IN"/>
        </w:rPr>
        <w:t>.</w:t>
      </w:r>
    </w:p>
    <w:p w14:paraId="3EDD1A2D" w14:textId="77777777" w:rsidR="00451ACC" w:rsidRPr="00451ACC" w:rsidRDefault="00451ACC" w:rsidP="00451ACC">
      <w:pPr>
        <w:rPr>
          <w:b/>
          <w:bCs/>
          <w:lang w:val="en-IN"/>
        </w:rPr>
      </w:pPr>
      <w:r w:rsidRPr="00451ACC">
        <w:rPr>
          <w:b/>
          <w:bCs/>
          <w:lang w:val="en-IN"/>
        </w:rPr>
        <w:t>Interpretation</w:t>
      </w:r>
    </w:p>
    <w:p w14:paraId="43420910" w14:textId="77777777" w:rsidR="00451ACC" w:rsidRPr="00451ACC" w:rsidRDefault="00451ACC" w:rsidP="00451ACC">
      <w:pPr>
        <w:numPr>
          <w:ilvl w:val="0"/>
          <w:numId w:val="22"/>
        </w:numPr>
        <w:rPr>
          <w:lang w:val="en-IN"/>
        </w:rPr>
      </w:pPr>
      <w:r w:rsidRPr="00451ACC">
        <w:rPr>
          <w:b/>
          <w:bCs/>
          <w:lang w:val="en-IN"/>
        </w:rPr>
        <w:t>Asset Turnover Ratio</w:t>
      </w:r>
      <w:r w:rsidRPr="00451ACC">
        <w:rPr>
          <w:lang w:val="en-IN"/>
        </w:rPr>
        <w:t>:</w:t>
      </w:r>
    </w:p>
    <w:p w14:paraId="5762870C" w14:textId="77777777" w:rsidR="00451ACC" w:rsidRPr="00451ACC" w:rsidRDefault="00451ACC" w:rsidP="00451ACC">
      <w:pPr>
        <w:numPr>
          <w:ilvl w:val="1"/>
          <w:numId w:val="22"/>
        </w:numPr>
        <w:rPr>
          <w:lang w:val="en-IN"/>
        </w:rPr>
      </w:pPr>
      <w:r w:rsidRPr="00451ACC">
        <w:rPr>
          <w:lang w:val="en-IN"/>
        </w:rPr>
        <w:t xml:space="preserve">A </w:t>
      </w:r>
      <w:r w:rsidRPr="00451ACC">
        <w:rPr>
          <w:b/>
          <w:bCs/>
          <w:lang w:val="en-IN"/>
        </w:rPr>
        <w:t>high asset turnover ratio</w:t>
      </w:r>
      <w:r w:rsidRPr="00451ACC">
        <w:rPr>
          <w:lang w:val="en-IN"/>
        </w:rPr>
        <w:t xml:space="preserve"> indicates that the company is using its assets efficiently to generate sales.</w:t>
      </w:r>
    </w:p>
    <w:p w14:paraId="79E3C833" w14:textId="77777777" w:rsidR="00451ACC" w:rsidRPr="00451ACC" w:rsidRDefault="00451ACC" w:rsidP="00451ACC">
      <w:pPr>
        <w:numPr>
          <w:ilvl w:val="1"/>
          <w:numId w:val="22"/>
        </w:numPr>
        <w:rPr>
          <w:lang w:val="en-IN"/>
        </w:rPr>
      </w:pPr>
      <w:r w:rsidRPr="00451ACC">
        <w:rPr>
          <w:lang w:val="en-IN"/>
        </w:rPr>
        <w:lastRenderedPageBreak/>
        <w:t xml:space="preserve">A </w:t>
      </w:r>
      <w:r w:rsidRPr="00451ACC">
        <w:rPr>
          <w:b/>
          <w:bCs/>
          <w:lang w:val="en-IN"/>
        </w:rPr>
        <w:t>low asset turnover ratio</w:t>
      </w:r>
      <w:r w:rsidRPr="00451ACC">
        <w:rPr>
          <w:lang w:val="en-IN"/>
        </w:rPr>
        <w:t xml:space="preserve"> suggests that the company may not be using its assets effectively, which could indicate operational inefficiencies.</w:t>
      </w:r>
    </w:p>
    <w:p w14:paraId="32843B7F" w14:textId="77777777" w:rsidR="00451ACC" w:rsidRPr="00451ACC" w:rsidRDefault="00451ACC" w:rsidP="00451ACC">
      <w:pPr>
        <w:numPr>
          <w:ilvl w:val="0"/>
          <w:numId w:val="22"/>
        </w:numPr>
        <w:rPr>
          <w:lang w:val="en-IN"/>
        </w:rPr>
      </w:pPr>
      <w:r w:rsidRPr="00451ACC">
        <w:rPr>
          <w:b/>
          <w:bCs/>
          <w:lang w:val="en-IN"/>
        </w:rPr>
        <w:t>Inventory Turnover Ratio</w:t>
      </w:r>
      <w:r w:rsidRPr="00451ACC">
        <w:rPr>
          <w:lang w:val="en-IN"/>
        </w:rPr>
        <w:t>:</w:t>
      </w:r>
    </w:p>
    <w:p w14:paraId="15EB516E" w14:textId="77777777" w:rsidR="00451ACC" w:rsidRPr="00451ACC" w:rsidRDefault="00451ACC" w:rsidP="00451ACC">
      <w:pPr>
        <w:numPr>
          <w:ilvl w:val="1"/>
          <w:numId w:val="22"/>
        </w:numPr>
        <w:rPr>
          <w:lang w:val="en-IN"/>
        </w:rPr>
      </w:pPr>
      <w:r w:rsidRPr="00451ACC">
        <w:rPr>
          <w:lang w:val="en-IN"/>
        </w:rPr>
        <w:t xml:space="preserve">A </w:t>
      </w:r>
      <w:r w:rsidRPr="00451ACC">
        <w:rPr>
          <w:b/>
          <w:bCs/>
          <w:lang w:val="en-IN"/>
        </w:rPr>
        <w:t>high inventory turnover ratio</w:t>
      </w:r>
      <w:r w:rsidRPr="00451ACC">
        <w:rPr>
          <w:lang w:val="en-IN"/>
        </w:rPr>
        <w:t xml:space="preserve"> indicates efficient inventory management, as the company is able to sell its inventory quickly.</w:t>
      </w:r>
    </w:p>
    <w:p w14:paraId="7F9F97B6" w14:textId="77777777" w:rsidR="00451ACC" w:rsidRPr="00451ACC" w:rsidRDefault="00451ACC" w:rsidP="00451ACC">
      <w:pPr>
        <w:numPr>
          <w:ilvl w:val="1"/>
          <w:numId w:val="22"/>
        </w:numPr>
        <w:rPr>
          <w:lang w:val="en-IN"/>
        </w:rPr>
      </w:pPr>
      <w:r w:rsidRPr="00451ACC">
        <w:rPr>
          <w:lang w:val="en-IN"/>
        </w:rPr>
        <w:t xml:space="preserve">A </w:t>
      </w:r>
      <w:r w:rsidRPr="00451ACC">
        <w:rPr>
          <w:b/>
          <w:bCs/>
          <w:lang w:val="en-IN"/>
        </w:rPr>
        <w:t>low inventory turnover ratio</w:t>
      </w:r>
      <w:r w:rsidRPr="00451ACC">
        <w:rPr>
          <w:lang w:val="en-IN"/>
        </w:rPr>
        <w:t xml:space="preserve"> suggests that the company might be overstocking or facing difficulties in selling its inventory, leading to potential liquidity issues.</w:t>
      </w:r>
    </w:p>
    <w:p w14:paraId="0ADD7A8B" w14:textId="2D655ED1" w:rsidR="00DB4CD0" w:rsidRPr="006B67FF" w:rsidRDefault="00976092" w:rsidP="00CB4C3C">
      <w:pPr>
        <w:rPr>
          <w:b/>
          <w:bCs/>
        </w:rPr>
      </w:pPr>
      <w:r w:rsidRPr="006B67FF">
        <w:rPr>
          <w:b/>
          <w:bCs/>
          <w:color w:val="EB5000" w:themeColor="accent5"/>
        </w:rPr>
        <w:t>Python Code</w:t>
      </w:r>
    </w:p>
    <w:p w14:paraId="0755C7BC" w14:textId="570C9CA9" w:rsidR="00451ACC" w:rsidRPr="006A313E" w:rsidRDefault="006A313E" w:rsidP="006A313E">
      <w:pPr>
        <w:rPr>
          <w:rFonts w:ascii="Consolas" w:hAnsi="Consolas"/>
          <w:sz w:val="20"/>
          <w:szCs w:val="18"/>
        </w:rPr>
      </w:pPr>
      <w:r w:rsidRPr="006A313E">
        <w:rPr>
          <w:rFonts w:ascii="Consolas" w:hAnsi="Consolas" w:cs="Courier New"/>
          <w:color w:val="000088"/>
          <w:sz w:val="20"/>
          <w:szCs w:val="18"/>
        </w:rPr>
        <w:t>import</w:t>
      </w:r>
      <w:r w:rsidRPr="006A313E">
        <w:rPr>
          <w:rFonts w:ascii="Consolas" w:hAnsi="Consolas" w:cs="Courier New"/>
          <w:color w:val="000000"/>
          <w:sz w:val="20"/>
          <w:szCs w:val="18"/>
        </w:rPr>
        <w:t xml:space="preserve"> yfinance </w:t>
      </w:r>
      <w:r w:rsidRPr="006A313E">
        <w:rPr>
          <w:rFonts w:ascii="Consolas" w:hAnsi="Consolas" w:cs="Courier New"/>
          <w:color w:val="000088"/>
          <w:sz w:val="20"/>
          <w:szCs w:val="18"/>
        </w:rPr>
        <w:t>as</w:t>
      </w:r>
      <w:r w:rsidRPr="006A313E">
        <w:rPr>
          <w:rFonts w:ascii="Consolas" w:hAnsi="Consolas" w:cs="Courier New"/>
          <w:color w:val="000000"/>
          <w:sz w:val="20"/>
          <w:szCs w:val="18"/>
        </w:rPr>
        <w:t xml:space="preserve"> yf</w:t>
      </w:r>
      <w:r w:rsidRPr="006A313E">
        <w:rPr>
          <w:rFonts w:ascii="Consolas" w:hAnsi="Consolas" w:cs="Courier New"/>
          <w:color w:val="000000"/>
          <w:sz w:val="20"/>
          <w:szCs w:val="18"/>
        </w:rPr>
        <w:br/>
      </w:r>
      <w:r w:rsidRPr="006A313E">
        <w:rPr>
          <w:rFonts w:ascii="Consolas" w:hAnsi="Consolas" w:cs="Courier New"/>
          <w:color w:val="000088"/>
          <w:sz w:val="20"/>
          <w:szCs w:val="18"/>
        </w:rPr>
        <w:t>import</w:t>
      </w:r>
      <w:r w:rsidRPr="006A313E">
        <w:rPr>
          <w:rFonts w:ascii="Consolas" w:hAnsi="Consolas" w:cs="Courier New"/>
          <w:color w:val="000000"/>
          <w:sz w:val="20"/>
          <w:szCs w:val="18"/>
        </w:rPr>
        <w:t xml:space="preserve"> pandas </w:t>
      </w:r>
      <w:r w:rsidRPr="006A313E">
        <w:rPr>
          <w:rFonts w:ascii="Consolas" w:hAnsi="Consolas" w:cs="Courier New"/>
          <w:color w:val="000088"/>
          <w:sz w:val="20"/>
          <w:szCs w:val="18"/>
        </w:rPr>
        <w:t>as</w:t>
      </w:r>
      <w:r w:rsidRPr="006A313E">
        <w:rPr>
          <w:rFonts w:ascii="Consolas" w:hAnsi="Consolas" w:cs="Courier New"/>
          <w:color w:val="000000"/>
          <w:sz w:val="20"/>
          <w:szCs w:val="18"/>
        </w:rPr>
        <w:t xml:space="preserve"> pd</w:t>
      </w:r>
      <w:r w:rsidRPr="006A313E">
        <w:rPr>
          <w:rFonts w:ascii="Consolas" w:hAnsi="Consolas" w:cs="Courier New"/>
          <w:color w:val="000000"/>
          <w:sz w:val="20"/>
          <w:szCs w:val="18"/>
        </w:rPr>
        <w:br/>
      </w:r>
      <w:r w:rsidRPr="006A313E">
        <w:rPr>
          <w:rFonts w:ascii="Consolas" w:hAnsi="Consolas" w:cs="Courier New"/>
          <w:color w:val="000000"/>
          <w:sz w:val="20"/>
          <w:szCs w:val="18"/>
        </w:rPr>
        <w:br/>
      </w:r>
      <w:r w:rsidRPr="006A313E">
        <w:rPr>
          <w:rFonts w:ascii="Consolas" w:hAnsi="Consolas" w:cs="Courier New"/>
          <w:color w:val="880000"/>
          <w:sz w:val="20"/>
          <w:szCs w:val="18"/>
        </w:rPr>
        <w:t># Fetch Microsoft stock data and financial statements for the past 5 years</w:t>
      </w:r>
      <w:r w:rsidRPr="006A313E">
        <w:rPr>
          <w:rFonts w:ascii="Consolas" w:hAnsi="Consolas" w:cs="Courier New"/>
          <w:color w:val="000000"/>
          <w:sz w:val="20"/>
          <w:szCs w:val="18"/>
        </w:rPr>
        <w:br/>
        <w:t>msft = yf.Ticker(</w:t>
      </w:r>
      <w:r w:rsidRPr="006A313E">
        <w:rPr>
          <w:rFonts w:ascii="Consolas" w:hAnsi="Consolas" w:cs="Courier New"/>
          <w:color w:val="008800"/>
          <w:sz w:val="20"/>
          <w:szCs w:val="18"/>
        </w:rPr>
        <w:t>"MSFT"</w:t>
      </w:r>
      <w:r w:rsidRPr="006A313E">
        <w:rPr>
          <w:rFonts w:ascii="Consolas" w:hAnsi="Consolas" w:cs="Courier New"/>
          <w:color w:val="000000"/>
          <w:sz w:val="20"/>
          <w:szCs w:val="18"/>
        </w:rPr>
        <w:t>)</w:t>
      </w:r>
      <w:r w:rsidRPr="006A313E">
        <w:rPr>
          <w:rFonts w:ascii="Consolas" w:hAnsi="Consolas" w:cs="Courier New"/>
          <w:color w:val="000000"/>
          <w:sz w:val="20"/>
          <w:szCs w:val="18"/>
        </w:rPr>
        <w:br/>
        <w:t>financials = msft.financials</w:t>
      </w:r>
      <w:r w:rsidRPr="006A313E">
        <w:rPr>
          <w:rFonts w:ascii="Consolas" w:hAnsi="Consolas" w:cs="Courier New"/>
          <w:color w:val="000000"/>
          <w:sz w:val="20"/>
          <w:szCs w:val="18"/>
        </w:rPr>
        <w:br/>
        <w:t>balance_sheet = msft.balance_sheet</w:t>
      </w:r>
      <w:r w:rsidRPr="006A313E">
        <w:rPr>
          <w:rFonts w:ascii="Consolas" w:hAnsi="Consolas" w:cs="Courier New"/>
          <w:color w:val="000000"/>
          <w:sz w:val="20"/>
          <w:szCs w:val="18"/>
        </w:rPr>
        <w:br/>
      </w:r>
      <w:r w:rsidRPr="006A313E">
        <w:rPr>
          <w:rFonts w:ascii="Consolas" w:hAnsi="Consolas" w:cs="Courier New"/>
          <w:color w:val="000000"/>
          <w:sz w:val="20"/>
          <w:szCs w:val="18"/>
        </w:rPr>
        <w:br/>
      </w:r>
      <w:r w:rsidRPr="006A313E">
        <w:rPr>
          <w:rFonts w:ascii="Consolas" w:hAnsi="Consolas" w:cs="Courier New"/>
          <w:color w:val="880000"/>
          <w:sz w:val="20"/>
          <w:szCs w:val="18"/>
        </w:rPr>
        <w:t># Extract relevant data from the financial statements</w:t>
      </w:r>
      <w:r w:rsidRPr="006A313E">
        <w:rPr>
          <w:rFonts w:ascii="Consolas" w:hAnsi="Consolas" w:cs="Courier New"/>
          <w:color w:val="000000"/>
          <w:sz w:val="20"/>
          <w:szCs w:val="18"/>
        </w:rPr>
        <w:br/>
        <w:t>revenue = financials.loc[</w:t>
      </w:r>
      <w:r w:rsidRPr="006A313E">
        <w:rPr>
          <w:rFonts w:ascii="Consolas" w:hAnsi="Consolas" w:cs="Courier New"/>
          <w:color w:val="008800"/>
          <w:sz w:val="20"/>
          <w:szCs w:val="18"/>
        </w:rPr>
        <w:t>'Total Revenue'</w:t>
      </w:r>
      <w:r w:rsidRPr="006A313E">
        <w:rPr>
          <w:rFonts w:ascii="Consolas" w:hAnsi="Consolas" w:cs="Courier New"/>
          <w:color w:val="000000"/>
          <w:sz w:val="20"/>
          <w:szCs w:val="18"/>
        </w:rPr>
        <w:t>]</w:t>
      </w:r>
      <w:r w:rsidRPr="006A313E">
        <w:rPr>
          <w:rFonts w:ascii="Consolas" w:hAnsi="Consolas" w:cs="Courier New"/>
          <w:color w:val="000000"/>
          <w:sz w:val="20"/>
          <w:szCs w:val="18"/>
        </w:rPr>
        <w:br/>
        <w:t>cogs = financials.loc[</w:t>
      </w:r>
      <w:r w:rsidRPr="006A313E">
        <w:rPr>
          <w:rFonts w:ascii="Consolas" w:hAnsi="Consolas" w:cs="Courier New"/>
          <w:color w:val="008800"/>
          <w:sz w:val="20"/>
          <w:szCs w:val="18"/>
        </w:rPr>
        <w:t>'Cost Of Revenue'</w:t>
      </w:r>
      <w:r w:rsidRPr="006A313E">
        <w:rPr>
          <w:rFonts w:ascii="Consolas" w:hAnsi="Consolas" w:cs="Courier New"/>
          <w:color w:val="000000"/>
          <w:sz w:val="20"/>
          <w:szCs w:val="18"/>
        </w:rPr>
        <w:t>]</w:t>
      </w:r>
      <w:r w:rsidRPr="006A313E">
        <w:rPr>
          <w:rFonts w:ascii="Consolas" w:hAnsi="Consolas" w:cs="Courier New"/>
          <w:color w:val="000000"/>
          <w:sz w:val="20"/>
          <w:szCs w:val="18"/>
        </w:rPr>
        <w:br/>
        <w:t>total_assets = balance_sheet.loc[</w:t>
      </w:r>
      <w:r w:rsidRPr="006A313E">
        <w:rPr>
          <w:rFonts w:ascii="Consolas" w:hAnsi="Consolas" w:cs="Courier New"/>
          <w:color w:val="008800"/>
          <w:sz w:val="20"/>
          <w:szCs w:val="18"/>
        </w:rPr>
        <w:t>'Total Assets'</w:t>
      </w:r>
      <w:r w:rsidRPr="006A313E">
        <w:rPr>
          <w:rFonts w:ascii="Consolas" w:hAnsi="Consolas" w:cs="Courier New"/>
          <w:color w:val="000000"/>
          <w:sz w:val="20"/>
          <w:szCs w:val="18"/>
        </w:rPr>
        <w:t>]</w:t>
      </w:r>
      <w:r w:rsidRPr="006A313E">
        <w:rPr>
          <w:rFonts w:ascii="Consolas" w:hAnsi="Consolas" w:cs="Courier New"/>
          <w:color w:val="000000"/>
          <w:sz w:val="20"/>
          <w:szCs w:val="18"/>
        </w:rPr>
        <w:br/>
        <w:t>inventory = balance_sheet.loc[</w:t>
      </w:r>
      <w:r w:rsidRPr="006A313E">
        <w:rPr>
          <w:rFonts w:ascii="Consolas" w:hAnsi="Consolas" w:cs="Courier New"/>
          <w:color w:val="008800"/>
          <w:sz w:val="20"/>
          <w:szCs w:val="18"/>
        </w:rPr>
        <w:t>'Inventory'</w:t>
      </w:r>
      <w:r w:rsidRPr="006A313E">
        <w:rPr>
          <w:rFonts w:ascii="Consolas" w:hAnsi="Consolas" w:cs="Courier New"/>
          <w:color w:val="000000"/>
          <w:sz w:val="20"/>
          <w:szCs w:val="18"/>
        </w:rPr>
        <w:t xml:space="preserve">] </w:t>
      </w:r>
      <w:r w:rsidRPr="006A313E">
        <w:rPr>
          <w:rFonts w:ascii="Consolas" w:hAnsi="Consolas" w:cs="Courier New"/>
          <w:color w:val="000088"/>
          <w:sz w:val="20"/>
          <w:szCs w:val="18"/>
        </w:rPr>
        <w:t>if</w:t>
      </w:r>
      <w:r w:rsidRPr="006A313E">
        <w:rPr>
          <w:rFonts w:ascii="Consolas" w:hAnsi="Consolas" w:cs="Courier New"/>
          <w:color w:val="000000"/>
          <w:sz w:val="20"/>
          <w:szCs w:val="18"/>
        </w:rPr>
        <w:t xml:space="preserve"> </w:t>
      </w:r>
      <w:r w:rsidRPr="006A313E">
        <w:rPr>
          <w:rFonts w:ascii="Consolas" w:hAnsi="Consolas" w:cs="Courier New"/>
          <w:color w:val="008800"/>
          <w:sz w:val="20"/>
          <w:szCs w:val="18"/>
        </w:rPr>
        <w:t>'Inventory'</w:t>
      </w:r>
      <w:r w:rsidRPr="006A313E">
        <w:rPr>
          <w:rFonts w:ascii="Consolas" w:hAnsi="Consolas" w:cs="Courier New"/>
          <w:color w:val="000000"/>
          <w:sz w:val="20"/>
          <w:szCs w:val="18"/>
        </w:rPr>
        <w:t xml:space="preserve"> </w:t>
      </w:r>
      <w:r w:rsidRPr="006A313E">
        <w:rPr>
          <w:rFonts w:ascii="Consolas" w:hAnsi="Consolas" w:cs="Courier New"/>
          <w:color w:val="000088"/>
          <w:sz w:val="20"/>
          <w:szCs w:val="18"/>
        </w:rPr>
        <w:t>in</w:t>
      </w:r>
      <w:r w:rsidRPr="006A313E">
        <w:rPr>
          <w:rFonts w:ascii="Consolas" w:hAnsi="Consolas" w:cs="Courier New"/>
          <w:color w:val="000000"/>
          <w:sz w:val="20"/>
          <w:szCs w:val="18"/>
        </w:rPr>
        <w:t xml:space="preserve"> balance_sheet.index </w:t>
      </w:r>
      <w:r w:rsidRPr="006A313E">
        <w:rPr>
          <w:rFonts w:ascii="Consolas" w:hAnsi="Consolas" w:cs="Courier New"/>
          <w:color w:val="000088"/>
          <w:sz w:val="20"/>
          <w:szCs w:val="18"/>
        </w:rPr>
        <w:t>else</w:t>
      </w:r>
      <w:r w:rsidRPr="006A313E">
        <w:rPr>
          <w:rFonts w:ascii="Consolas" w:hAnsi="Consolas" w:cs="Courier New"/>
          <w:color w:val="000000"/>
          <w:sz w:val="20"/>
          <w:szCs w:val="18"/>
        </w:rPr>
        <w:t xml:space="preserve"> pd.Series([</w:t>
      </w:r>
      <w:r w:rsidRPr="006A313E">
        <w:rPr>
          <w:rFonts w:ascii="Consolas" w:hAnsi="Consolas" w:cs="Courier New"/>
          <w:color w:val="006666"/>
          <w:sz w:val="20"/>
          <w:szCs w:val="18"/>
        </w:rPr>
        <w:t>0</w:t>
      </w:r>
      <w:r w:rsidRPr="006A313E">
        <w:rPr>
          <w:rFonts w:ascii="Consolas" w:hAnsi="Consolas" w:cs="Courier New"/>
          <w:color w:val="000000"/>
          <w:sz w:val="20"/>
          <w:szCs w:val="18"/>
        </w:rPr>
        <w:t xml:space="preserve">] * len(total_assets), index=total_assets.index) </w:t>
      </w:r>
      <w:r w:rsidRPr="006A313E">
        <w:rPr>
          <w:rFonts w:ascii="Consolas" w:hAnsi="Consolas" w:cs="Courier New"/>
          <w:color w:val="880000"/>
          <w:sz w:val="20"/>
          <w:szCs w:val="18"/>
        </w:rPr>
        <w:t># Handle cases where inventory is zero or not listed</w:t>
      </w:r>
      <w:r w:rsidRPr="006A313E">
        <w:rPr>
          <w:rFonts w:ascii="Consolas" w:hAnsi="Consolas" w:cs="Courier New"/>
          <w:color w:val="000000"/>
          <w:sz w:val="20"/>
          <w:szCs w:val="18"/>
        </w:rPr>
        <w:br/>
      </w:r>
      <w:r w:rsidRPr="006A313E">
        <w:rPr>
          <w:rFonts w:ascii="Consolas" w:hAnsi="Consolas" w:cs="Courier New"/>
          <w:color w:val="000000"/>
          <w:sz w:val="20"/>
          <w:szCs w:val="18"/>
        </w:rPr>
        <w:br/>
      </w:r>
      <w:r w:rsidRPr="006A313E">
        <w:rPr>
          <w:rFonts w:ascii="Consolas" w:hAnsi="Consolas" w:cs="Courier New"/>
          <w:color w:val="880000"/>
          <w:sz w:val="20"/>
          <w:szCs w:val="18"/>
        </w:rPr>
        <w:t># Calculate Average Total Assets for Asset Turnover Ratio</w:t>
      </w:r>
      <w:r w:rsidRPr="006A313E">
        <w:rPr>
          <w:rFonts w:ascii="Consolas" w:hAnsi="Consolas" w:cs="Courier New"/>
          <w:color w:val="000000"/>
          <w:sz w:val="20"/>
          <w:szCs w:val="18"/>
        </w:rPr>
        <w:br/>
        <w:t>average_total_assets = (total_assets + total_assets.shift(</w:t>
      </w:r>
      <w:r w:rsidRPr="006A313E">
        <w:rPr>
          <w:rFonts w:ascii="Consolas" w:hAnsi="Consolas" w:cs="Courier New"/>
          <w:color w:val="006666"/>
          <w:sz w:val="20"/>
          <w:szCs w:val="18"/>
        </w:rPr>
        <w:t>1</w:t>
      </w:r>
      <w:r w:rsidRPr="006A313E">
        <w:rPr>
          <w:rFonts w:ascii="Consolas" w:hAnsi="Consolas" w:cs="Courier New"/>
          <w:color w:val="000000"/>
          <w:sz w:val="20"/>
          <w:szCs w:val="18"/>
        </w:rPr>
        <w:t xml:space="preserve">)) / </w:t>
      </w:r>
      <w:r w:rsidRPr="006A313E">
        <w:rPr>
          <w:rFonts w:ascii="Consolas" w:hAnsi="Consolas" w:cs="Courier New"/>
          <w:color w:val="006666"/>
          <w:sz w:val="20"/>
          <w:szCs w:val="18"/>
        </w:rPr>
        <w:t>2</w:t>
      </w:r>
      <w:r w:rsidRPr="006A313E">
        <w:rPr>
          <w:rFonts w:ascii="Consolas" w:hAnsi="Consolas" w:cs="Courier New"/>
          <w:color w:val="000000"/>
          <w:sz w:val="20"/>
          <w:szCs w:val="18"/>
        </w:rPr>
        <w:br/>
      </w:r>
      <w:r w:rsidRPr="006A313E">
        <w:rPr>
          <w:rFonts w:ascii="Consolas" w:hAnsi="Consolas" w:cs="Courier New"/>
          <w:color w:val="000000"/>
          <w:sz w:val="20"/>
          <w:szCs w:val="18"/>
        </w:rPr>
        <w:br/>
      </w:r>
      <w:r w:rsidRPr="006A313E">
        <w:rPr>
          <w:rFonts w:ascii="Consolas" w:hAnsi="Consolas" w:cs="Courier New"/>
          <w:color w:val="880000"/>
          <w:sz w:val="20"/>
          <w:szCs w:val="18"/>
        </w:rPr>
        <w:t># Calculate Asset Turnover Ratio</w:t>
      </w:r>
      <w:r w:rsidRPr="006A313E">
        <w:rPr>
          <w:rFonts w:ascii="Consolas" w:hAnsi="Consolas" w:cs="Courier New"/>
          <w:color w:val="000000"/>
          <w:sz w:val="20"/>
          <w:szCs w:val="18"/>
        </w:rPr>
        <w:br/>
        <w:t>asset_turnover_ratio = revenue / average_total_assets</w:t>
      </w:r>
      <w:r w:rsidRPr="006A313E">
        <w:rPr>
          <w:rFonts w:ascii="Consolas" w:hAnsi="Consolas" w:cs="Courier New"/>
          <w:color w:val="000000"/>
          <w:sz w:val="20"/>
          <w:szCs w:val="18"/>
        </w:rPr>
        <w:br/>
      </w:r>
      <w:r w:rsidRPr="006A313E">
        <w:rPr>
          <w:rFonts w:ascii="Consolas" w:hAnsi="Consolas" w:cs="Courier New"/>
          <w:color w:val="000000"/>
          <w:sz w:val="20"/>
          <w:szCs w:val="18"/>
        </w:rPr>
        <w:br/>
      </w:r>
      <w:r w:rsidRPr="006A313E">
        <w:rPr>
          <w:rFonts w:ascii="Consolas" w:hAnsi="Consolas" w:cs="Courier New"/>
          <w:color w:val="880000"/>
          <w:sz w:val="20"/>
          <w:szCs w:val="18"/>
        </w:rPr>
        <w:t># Calculate Average Inventory for Inventory Turnover Ratio</w:t>
      </w:r>
      <w:r w:rsidRPr="006A313E">
        <w:rPr>
          <w:rFonts w:ascii="Consolas" w:hAnsi="Consolas" w:cs="Courier New"/>
          <w:color w:val="000000"/>
          <w:sz w:val="20"/>
          <w:szCs w:val="18"/>
        </w:rPr>
        <w:br/>
        <w:t>average_inventory = (inventory + inventory.shift(</w:t>
      </w:r>
      <w:r w:rsidRPr="006A313E">
        <w:rPr>
          <w:rFonts w:ascii="Consolas" w:hAnsi="Consolas" w:cs="Courier New"/>
          <w:color w:val="006666"/>
          <w:sz w:val="20"/>
          <w:szCs w:val="18"/>
        </w:rPr>
        <w:t>1</w:t>
      </w:r>
      <w:r w:rsidRPr="006A313E">
        <w:rPr>
          <w:rFonts w:ascii="Consolas" w:hAnsi="Consolas" w:cs="Courier New"/>
          <w:color w:val="000000"/>
          <w:sz w:val="20"/>
          <w:szCs w:val="18"/>
        </w:rPr>
        <w:t xml:space="preserve">)) / </w:t>
      </w:r>
      <w:r w:rsidRPr="006A313E">
        <w:rPr>
          <w:rFonts w:ascii="Consolas" w:hAnsi="Consolas" w:cs="Courier New"/>
          <w:color w:val="006666"/>
          <w:sz w:val="20"/>
          <w:szCs w:val="18"/>
        </w:rPr>
        <w:t>2</w:t>
      </w:r>
      <w:r w:rsidRPr="006A313E">
        <w:rPr>
          <w:rFonts w:ascii="Consolas" w:hAnsi="Consolas" w:cs="Courier New"/>
          <w:color w:val="000000"/>
          <w:sz w:val="20"/>
          <w:szCs w:val="18"/>
        </w:rPr>
        <w:br/>
      </w:r>
      <w:r w:rsidRPr="006A313E">
        <w:rPr>
          <w:rFonts w:ascii="Consolas" w:hAnsi="Consolas" w:cs="Courier New"/>
          <w:color w:val="000000"/>
          <w:sz w:val="20"/>
          <w:szCs w:val="18"/>
        </w:rPr>
        <w:br/>
      </w:r>
      <w:r w:rsidRPr="006A313E">
        <w:rPr>
          <w:rFonts w:ascii="Consolas" w:hAnsi="Consolas" w:cs="Courier New"/>
          <w:color w:val="880000"/>
          <w:sz w:val="20"/>
          <w:szCs w:val="18"/>
        </w:rPr>
        <w:t># Calculate Inventory Turnover Ratio</w:t>
      </w:r>
      <w:r w:rsidRPr="006A313E">
        <w:rPr>
          <w:rFonts w:ascii="Consolas" w:hAnsi="Consolas" w:cs="Courier New"/>
          <w:color w:val="000000"/>
          <w:sz w:val="20"/>
          <w:szCs w:val="18"/>
        </w:rPr>
        <w:br/>
        <w:t>inventory_turnover_ratio = cogs / average_inventory.replace(</w:t>
      </w:r>
      <w:r w:rsidRPr="006A313E">
        <w:rPr>
          <w:rFonts w:ascii="Consolas" w:hAnsi="Consolas" w:cs="Courier New"/>
          <w:color w:val="006666"/>
          <w:sz w:val="20"/>
          <w:szCs w:val="18"/>
        </w:rPr>
        <w:t>0</w:t>
      </w:r>
      <w:r w:rsidRPr="006A313E">
        <w:rPr>
          <w:rFonts w:ascii="Consolas" w:hAnsi="Consolas" w:cs="Courier New"/>
          <w:color w:val="000000"/>
          <w:sz w:val="20"/>
          <w:szCs w:val="18"/>
        </w:rPr>
        <w:t>, float(</w:t>
      </w:r>
      <w:r w:rsidRPr="006A313E">
        <w:rPr>
          <w:rFonts w:ascii="Consolas" w:hAnsi="Consolas" w:cs="Courier New"/>
          <w:color w:val="008800"/>
          <w:sz w:val="20"/>
          <w:szCs w:val="18"/>
        </w:rPr>
        <w:t>'nan'</w:t>
      </w:r>
      <w:r w:rsidRPr="006A313E">
        <w:rPr>
          <w:rFonts w:ascii="Consolas" w:hAnsi="Consolas" w:cs="Courier New"/>
          <w:color w:val="000000"/>
          <w:sz w:val="20"/>
          <w:szCs w:val="18"/>
        </w:rPr>
        <w:t xml:space="preserve">)) </w:t>
      </w:r>
      <w:r w:rsidRPr="006A313E">
        <w:rPr>
          <w:rFonts w:ascii="Consolas" w:hAnsi="Consolas" w:cs="Courier New"/>
          <w:color w:val="880000"/>
          <w:sz w:val="20"/>
          <w:szCs w:val="18"/>
        </w:rPr>
        <w:t># Avoid division by zero by replacing 0 with NaN</w:t>
      </w:r>
      <w:r w:rsidRPr="006A313E">
        <w:rPr>
          <w:rFonts w:ascii="Consolas" w:hAnsi="Consolas" w:cs="Courier New"/>
          <w:color w:val="000000"/>
          <w:sz w:val="20"/>
          <w:szCs w:val="18"/>
        </w:rPr>
        <w:br/>
      </w:r>
      <w:r w:rsidRPr="006A313E">
        <w:rPr>
          <w:rFonts w:ascii="Consolas" w:hAnsi="Consolas" w:cs="Courier New"/>
          <w:color w:val="000000"/>
          <w:sz w:val="20"/>
          <w:szCs w:val="18"/>
        </w:rPr>
        <w:br/>
      </w:r>
      <w:r w:rsidRPr="006A313E">
        <w:rPr>
          <w:rFonts w:ascii="Consolas" w:hAnsi="Consolas" w:cs="Courier New"/>
          <w:color w:val="880000"/>
          <w:sz w:val="20"/>
          <w:szCs w:val="18"/>
        </w:rPr>
        <w:t># Prepare a DataFrame with the relevant data</w:t>
      </w:r>
      <w:r w:rsidRPr="006A313E">
        <w:rPr>
          <w:rFonts w:ascii="Consolas" w:hAnsi="Consolas" w:cs="Courier New"/>
          <w:color w:val="000000"/>
          <w:sz w:val="20"/>
          <w:szCs w:val="18"/>
        </w:rPr>
        <w:br/>
        <w:t>turnover_ratios = pd.DataFrame({</w:t>
      </w:r>
      <w:r w:rsidRPr="006A313E">
        <w:rPr>
          <w:rFonts w:ascii="Consolas" w:hAnsi="Consolas" w:cs="Courier New"/>
          <w:color w:val="000000"/>
          <w:sz w:val="20"/>
          <w:szCs w:val="18"/>
        </w:rPr>
        <w:br/>
        <w:t xml:space="preserve">    </w:t>
      </w:r>
      <w:r w:rsidRPr="006A313E">
        <w:rPr>
          <w:rFonts w:ascii="Consolas" w:hAnsi="Consolas" w:cs="Courier New"/>
          <w:color w:val="008800"/>
          <w:sz w:val="20"/>
          <w:szCs w:val="18"/>
        </w:rPr>
        <w:t>'Year'</w:t>
      </w:r>
      <w:r w:rsidRPr="006A313E">
        <w:rPr>
          <w:rFonts w:ascii="Consolas" w:hAnsi="Consolas" w:cs="Courier New"/>
          <w:color w:val="000000"/>
          <w:sz w:val="20"/>
          <w:szCs w:val="18"/>
        </w:rPr>
        <w:t>: revenue.index.year,</w:t>
      </w:r>
      <w:r w:rsidRPr="006A313E">
        <w:rPr>
          <w:rFonts w:ascii="Consolas" w:hAnsi="Consolas" w:cs="Courier New"/>
          <w:color w:val="000000"/>
          <w:sz w:val="20"/>
          <w:szCs w:val="18"/>
        </w:rPr>
        <w:br/>
        <w:t xml:space="preserve">    </w:t>
      </w:r>
      <w:r w:rsidRPr="006A313E">
        <w:rPr>
          <w:rFonts w:ascii="Consolas" w:hAnsi="Consolas" w:cs="Courier New"/>
          <w:color w:val="008800"/>
          <w:sz w:val="20"/>
          <w:szCs w:val="18"/>
        </w:rPr>
        <w:t>'Revenue'</w:t>
      </w:r>
      <w:r w:rsidRPr="006A313E">
        <w:rPr>
          <w:rFonts w:ascii="Consolas" w:hAnsi="Consolas" w:cs="Courier New"/>
          <w:color w:val="000000"/>
          <w:sz w:val="20"/>
          <w:szCs w:val="18"/>
        </w:rPr>
        <w:t>: revenue.values,</w:t>
      </w:r>
      <w:r w:rsidRPr="006A313E">
        <w:rPr>
          <w:rFonts w:ascii="Consolas" w:hAnsi="Consolas" w:cs="Courier New"/>
          <w:color w:val="000000"/>
          <w:sz w:val="20"/>
          <w:szCs w:val="18"/>
        </w:rPr>
        <w:br/>
        <w:t xml:space="preserve">    </w:t>
      </w:r>
      <w:r w:rsidRPr="006A313E">
        <w:rPr>
          <w:rFonts w:ascii="Consolas" w:hAnsi="Consolas" w:cs="Courier New"/>
          <w:color w:val="008800"/>
          <w:sz w:val="20"/>
          <w:szCs w:val="18"/>
        </w:rPr>
        <w:t>'COGS'</w:t>
      </w:r>
      <w:r w:rsidRPr="006A313E">
        <w:rPr>
          <w:rFonts w:ascii="Consolas" w:hAnsi="Consolas" w:cs="Courier New"/>
          <w:color w:val="000000"/>
          <w:sz w:val="20"/>
          <w:szCs w:val="18"/>
        </w:rPr>
        <w:t>: cogs.values,</w:t>
      </w:r>
      <w:r w:rsidRPr="006A313E">
        <w:rPr>
          <w:rFonts w:ascii="Consolas" w:hAnsi="Consolas" w:cs="Courier New"/>
          <w:color w:val="000000"/>
          <w:sz w:val="20"/>
          <w:szCs w:val="18"/>
        </w:rPr>
        <w:br/>
        <w:t xml:space="preserve">    </w:t>
      </w:r>
      <w:r w:rsidRPr="006A313E">
        <w:rPr>
          <w:rFonts w:ascii="Consolas" w:hAnsi="Consolas" w:cs="Courier New"/>
          <w:color w:val="008800"/>
          <w:sz w:val="20"/>
          <w:szCs w:val="18"/>
        </w:rPr>
        <w:t>'Total Assets'</w:t>
      </w:r>
      <w:r w:rsidRPr="006A313E">
        <w:rPr>
          <w:rFonts w:ascii="Consolas" w:hAnsi="Consolas" w:cs="Courier New"/>
          <w:color w:val="000000"/>
          <w:sz w:val="20"/>
          <w:szCs w:val="18"/>
        </w:rPr>
        <w:t>: total_assets.values,</w:t>
      </w:r>
      <w:r w:rsidRPr="006A313E">
        <w:rPr>
          <w:rFonts w:ascii="Consolas" w:hAnsi="Consolas" w:cs="Courier New"/>
          <w:color w:val="000000"/>
          <w:sz w:val="20"/>
          <w:szCs w:val="18"/>
        </w:rPr>
        <w:br/>
        <w:t xml:space="preserve">    </w:t>
      </w:r>
      <w:r w:rsidRPr="006A313E">
        <w:rPr>
          <w:rFonts w:ascii="Consolas" w:hAnsi="Consolas" w:cs="Courier New"/>
          <w:color w:val="008800"/>
          <w:sz w:val="20"/>
          <w:szCs w:val="18"/>
        </w:rPr>
        <w:t>'Inventory'</w:t>
      </w:r>
      <w:r w:rsidRPr="006A313E">
        <w:rPr>
          <w:rFonts w:ascii="Consolas" w:hAnsi="Consolas" w:cs="Courier New"/>
          <w:color w:val="000000"/>
          <w:sz w:val="20"/>
          <w:szCs w:val="18"/>
        </w:rPr>
        <w:t>: inventory.values,</w:t>
      </w:r>
      <w:r w:rsidRPr="006A313E">
        <w:rPr>
          <w:rFonts w:ascii="Consolas" w:hAnsi="Consolas" w:cs="Courier New"/>
          <w:color w:val="000000"/>
          <w:sz w:val="20"/>
          <w:szCs w:val="18"/>
        </w:rPr>
        <w:br/>
        <w:t xml:space="preserve">    </w:t>
      </w:r>
      <w:r w:rsidRPr="006A313E">
        <w:rPr>
          <w:rFonts w:ascii="Consolas" w:hAnsi="Consolas" w:cs="Courier New"/>
          <w:color w:val="008800"/>
          <w:sz w:val="20"/>
          <w:szCs w:val="18"/>
        </w:rPr>
        <w:t>'Asset Turnover Ratio'</w:t>
      </w:r>
      <w:r w:rsidRPr="006A313E">
        <w:rPr>
          <w:rFonts w:ascii="Consolas" w:hAnsi="Consolas" w:cs="Courier New"/>
          <w:color w:val="000000"/>
          <w:sz w:val="20"/>
          <w:szCs w:val="18"/>
        </w:rPr>
        <w:t>: asset_turnover_ratio.values,</w:t>
      </w:r>
      <w:r w:rsidRPr="006A313E">
        <w:rPr>
          <w:rFonts w:ascii="Consolas" w:hAnsi="Consolas" w:cs="Courier New"/>
          <w:color w:val="000000"/>
          <w:sz w:val="20"/>
          <w:szCs w:val="18"/>
        </w:rPr>
        <w:br/>
        <w:t xml:space="preserve">    </w:t>
      </w:r>
      <w:r w:rsidRPr="006A313E">
        <w:rPr>
          <w:rFonts w:ascii="Consolas" w:hAnsi="Consolas" w:cs="Courier New"/>
          <w:color w:val="008800"/>
          <w:sz w:val="20"/>
          <w:szCs w:val="18"/>
        </w:rPr>
        <w:t>'Inventory Turnover Ratio'</w:t>
      </w:r>
      <w:r w:rsidRPr="006A313E">
        <w:rPr>
          <w:rFonts w:ascii="Consolas" w:hAnsi="Consolas" w:cs="Courier New"/>
          <w:color w:val="000000"/>
          <w:sz w:val="20"/>
          <w:szCs w:val="18"/>
        </w:rPr>
        <w:t>: inventory_turnover_ratio.values,</w:t>
      </w:r>
      <w:r w:rsidRPr="006A313E">
        <w:rPr>
          <w:rFonts w:ascii="Consolas" w:hAnsi="Consolas" w:cs="Courier New"/>
          <w:color w:val="000000"/>
          <w:sz w:val="20"/>
          <w:szCs w:val="18"/>
        </w:rPr>
        <w:br/>
        <w:t>})</w:t>
      </w:r>
      <w:r w:rsidRPr="006A313E">
        <w:rPr>
          <w:rFonts w:ascii="Consolas" w:hAnsi="Consolas" w:cs="Courier New"/>
          <w:color w:val="000000"/>
          <w:sz w:val="20"/>
          <w:szCs w:val="18"/>
        </w:rPr>
        <w:br/>
      </w:r>
      <w:r w:rsidRPr="006A313E">
        <w:rPr>
          <w:rFonts w:ascii="Consolas" w:hAnsi="Consolas" w:cs="Courier New"/>
          <w:color w:val="000000"/>
          <w:sz w:val="20"/>
          <w:szCs w:val="18"/>
        </w:rPr>
        <w:br/>
      </w:r>
      <w:r w:rsidRPr="006A313E">
        <w:rPr>
          <w:rFonts w:ascii="Consolas" w:hAnsi="Consolas" w:cs="Courier New"/>
          <w:color w:val="880000"/>
          <w:sz w:val="20"/>
          <w:szCs w:val="18"/>
        </w:rPr>
        <w:lastRenderedPageBreak/>
        <w:t># Display the turnover ratios</w:t>
      </w:r>
      <w:r w:rsidRPr="006A313E">
        <w:rPr>
          <w:rFonts w:ascii="Consolas" w:hAnsi="Consolas" w:cs="Courier New"/>
          <w:color w:val="000000"/>
          <w:sz w:val="20"/>
          <w:szCs w:val="18"/>
        </w:rPr>
        <w:br/>
        <w:t>turnover_ratios</w:t>
      </w:r>
    </w:p>
    <w:p w14:paraId="180BAEFE" w14:textId="77777777" w:rsidR="00451ACC" w:rsidRDefault="00451ACC" w:rsidP="00CB4C3C"/>
    <w:p w14:paraId="7F728D5F" w14:textId="081D385C" w:rsidR="00DB4CD0" w:rsidRDefault="00DB4CD0" w:rsidP="00042127">
      <w:pPr>
        <w:pStyle w:val="Heading3"/>
      </w:pPr>
      <w:r>
        <w:t>Valuation Metrics</w:t>
      </w:r>
    </w:p>
    <w:p w14:paraId="195A45EE" w14:textId="299407D5" w:rsidR="00DB4CD0" w:rsidRDefault="00DB4CD0" w:rsidP="00042127">
      <w:pPr>
        <w:pStyle w:val="Heading4"/>
      </w:pPr>
      <w:r>
        <w:t>Price-to-Earnings (P/E) Ratio and Enterprise Value to EBITDA (EV/EBITDA)</w:t>
      </w:r>
    </w:p>
    <w:p w14:paraId="703B83E0" w14:textId="77777777" w:rsidR="00042127" w:rsidRPr="00042127" w:rsidRDefault="00042127" w:rsidP="00042127">
      <w:pPr>
        <w:numPr>
          <w:ilvl w:val="0"/>
          <w:numId w:val="23"/>
        </w:numPr>
        <w:rPr>
          <w:lang w:val="en-IN"/>
        </w:rPr>
      </w:pPr>
      <w:r w:rsidRPr="00042127">
        <w:rPr>
          <w:b/>
          <w:bCs/>
          <w:lang w:val="en-IN"/>
        </w:rPr>
        <w:t>Price-to-Earnings (P/E) Ratio</w:t>
      </w:r>
      <w:r w:rsidRPr="00042127">
        <w:rPr>
          <w:lang w:val="en-IN"/>
        </w:rPr>
        <w:t>: This ratio measures a company’s current share price relative to its per-share earnings, indicating how much investors are willing to pay per dollar of earnings.</w:t>
      </w:r>
    </w:p>
    <w:p w14:paraId="363F21AF" w14:textId="77777777" w:rsidR="00042127" w:rsidRPr="00042127" w:rsidRDefault="00042127" w:rsidP="00042127">
      <w:pPr>
        <w:rPr>
          <w:lang w:val="en-IN"/>
        </w:rPr>
      </w:pPr>
      <w:r w:rsidRPr="00042127">
        <w:rPr>
          <w:lang w:val="en-IN"/>
        </w:rPr>
        <w:t>P/E Ratio=Market Price per ShareEarnings per Share (EPS)\text{P/E Ratio} = \frac{\text{Market Price per Share}}{\text{Earnings per Share (EPS)}}P/E Ratio=Earnings per Share (EPS)Market Price per Share</w:t>
      </w:r>
      <w:r w:rsidRPr="00042127">
        <w:rPr>
          <w:rFonts w:ascii="Times New Roman" w:hAnsi="Times New Roman" w:cs="Times New Roman"/>
          <w:lang w:val="en-IN"/>
        </w:rPr>
        <w:t>​</w:t>
      </w:r>
    </w:p>
    <w:p w14:paraId="2EFC1369" w14:textId="77777777" w:rsidR="00042127" w:rsidRPr="00042127" w:rsidRDefault="00042127" w:rsidP="00042127">
      <w:pPr>
        <w:numPr>
          <w:ilvl w:val="1"/>
          <w:numId w:val="23"/>
        </w:numPr>
        <w:rPr>
          <w:lang w:val="en-IN"/>
        </w:rPr>
      </w:pPr>
      <w:r w:rsidRPr="00042127">
        <w:rPr>
          <w:b/>
          <w:bCs/>
          <w:lang w:val="en-IN"/>
        </w:rPr>
        <w:t>Market Price per Share</w:t>
      </w:r>
      <w:r w:rsidRPr="00042127">
        <w:rPr>
          <w:lang w:val="en-IN"/>
        </w:rPr>
        <w:t>: The current market price of one share of the company’s stock.</w:t>
      </w:r>
    </w:p>
    <w:p w14:paraId="17817F02" w14:textId="77777777" w:rsidR="00042127" w:rsidRPr="00042127" w:rsidRDefault="00042127" w:rsidP="00042127">
      <w:pPr>
        <w:numPr>
          <w:ilvl w:val="1"/>
          <w:numId w:val="23"/>
        </w:numPr>
        <w:rPr>
          <w:lang w:val="en-IN"/>
        </w:rPr>
      </w:pPr>
      <w:r w:rsidRPr="00042127">
        <w:rPr>
          <w:b/>
          <w:bCs/>
          <w:lang w:val="en-IN"/>
        </w:rPr>
        <w:t>Earnings per Share (EPS)</w:t>
      </w:r>
      <w:r w:rsidRPr="00042127">
        <w:rPr>
          <w:lang w:val="en-IN"/>
        </w:rPr>
        <w:t>: The company's net income divided by the number of outstanding shares.</w:t>
      </w:r>
    </w:p>
    <w:p w14:paraId="5DF23DBA" w14:textId="77777777" w:rsidR="00042127" w:rsidRPr="00042127" w:rsidRDefault="00042127" w:rsidP="00042127">
      <w:pPr>
        <w:numPr>
          <w:ilvl w:val="0"/>
          <w:numId w:val="23"/>
        </w:numPr>
        <w:rPr>
          <w:lang w:val="en-IN"/>
        </w:rPr>
      </w:pPr>
      <w:r w:rsidRPr="00042127">
        <w:rPr>
          <w:b/>
          <w:bCs/>
          <w:lang w:val="en-IN"/>
        </w:rPr>
        <w:t>Enterprise Value to EBITDA (EV/EBITDA) Ratio</w:t>
      </w:r>
      <w:r w:rsidRPr="00042127">
        <w:rPr>
          <w:lang w:val="en-IN"/>
        </w:rPr>
        <w:t>: This ratio measures a company’s enterprise value (EV) relative to its earnings before interest, taxes, depreciation, and amortization (EBITDA). It is often used to assess the valuation of companies, especially for comparing companies within the same industry.</w:t>
      </w:r>
    </w:p>
    <w:p w14:paraId="3136E5C8" w14:textId="77777777" w:rsidR="00042127" w:rsidRPr="00042127" w:rsidRDefault="00042127" w:rsidP="00042127">
      <w:pPr>
        <w:rPr>
          <w:lang w:val="en-IN"/>
        </w:rPr>
      </w:pPr>
      <w:r w:rsidRPr="00042127">
        <w:rPr>
          <w:lang w:val="en-IN"/>
        </w:rPr>
        <w:t>EV/EBITDA=Enterprise Value (EV)EBITDA\text{EV/EBITDA} = \frac{\text{Enterprise Value (EV)}}{\text{EBITDA}}EV/EBITDA=EBITDAEnterprise Value (EV)</w:t>
      </w:r>
      <w:r w:rsidRPr="00042127">
        <w:rPr>
          <w:rFonts w:ascii="Times New Roman" w:hAnsi="Times New Roman" w:cs="Times New Roman"/>
          <w:lang w:val="en-IN"/>
        </w:rPr>
        <w:t>​</w:t>
      </w:r>
    </w:p>
    <w:p w14:paraId="221A0200" w14:textId="77777777" w:rsidR="00042127" w:rsidRPr="00042127" w:rsidRDefault="00042127" w:rsidP="00042127">
      <w:pPr>
        <w:numPr>
          <w:ilvl w:val="1"/>
          <w:numId w:val="23"/>
        </w:numPr>
        <w:rPr>
          <w:lang w:val="en-IN"/>
        </w:rPr>
      </w:pPr>
      <w:r w:rsidRPr="00042127">
        <w:rPr>
          <w:b/>
          <w:bCs/>
          <w:lang w:val="en-IN"/>
        </w:rPr>
        <w:t>Enterprise Value (EV)</w:t>
      </w:r>
      <w:r w:rsidRPr="00042127">
        <w:rPr>
          <w:lang w:val="en-IN"/>
        </w:rPr>
        <w:t>: A measure of a company’s total value, calculated as market capitalization plus total debt minus cash and cash equivalents.</w:t>
      </w:r>
    </w:p>
    <w:p w14:paraId="5ACB7365" w14:textId="77777777" w:rsidR="00042127" w:rsidRPr="00042127" w:rsidRDefault="00042127" w:rsidP="00042127">
      <w:pPr>
        <w:numPr>
          <w:ilvl w:val="1"/>
          <w:numId w:val="23"/>
        </w:numPr>
        <w:rPr>
          <w:lang w:val="en-IN"/>
        </w:rPr>
      </w:pPr>
      <w:r w:rsidRPr="00042127">
        <w:rPr>
          <w:b/>
          <w:bCs/>
          <w:lang w:val="en-IN"/>
        </w:rPr>
        <w:t>EBITDA</w:t>
      </w:r>
      <w:r w:rsidRPr="00042127">
        <w:rPr>
          <w:lang w:val="en-IN"/>
        </w:rPr>
        <w:t>: A measure of a company's overall financial performance that excludes interest, taxes, depreciation, and amortization.</w:t>
      </w:r>
    </w:p>
    <w:p w14:paraId="4A16C8C6" w14:textId="77777777" w:rsidR="00042127" w:rsidRPr="00042127" w:rsidRDefault="00042127" w:rsidP="00042127">
      <w:pPr>
        <w:rPr>
          <w:b/>
          <w:bCs/>
          <w:lang w:val="en-IN"/>
        </w:rPr>
      </w:pPr>
      <w:r w:rsidRPr="00042127">
        <w:rPr>
          <w:b/>
          <w:bCs/>
          <w:lang w:val="en-IN"/>
        </w:rPr>
        <w:t>Interpretation</w:t>
      </w:r>
    </w:p>
    <w:p w14:paraId="67214106" w14:textId="77777777" w:rsidR="00042127" w:rsidRPr="00042127" w:rsidRDefault="00042127" w:rsidP="00042127">
      <w:pPr>
        <w:numPr>
          <w:ilvl w:val="0"/>
          <w:numId w:val="24"/>
        </w:numPr>
        <w:rPr>
          <w:lang w:val="en-IN"/>
        </w:rPr>
      </w:pPr>
      <w:r w:rsidRPr="00042127">
        <w:rPr>
          <w:b/>
          <w:bCs/>
          <w:lang w:val="en-IN"/>
        </w:rPr>
        <w:t>P/E Ratio</w:t>
      </w:r>
      <w:r w:rsidRPr="00042127">
        <w:rPr>
          <w:lang w:val="en-IN"/>
        </w:rPr>
        <w:t>:</w:t>
      </w:r>
    </w:p>
    <w:p w14:paraId="01C86F01" w14:textId="77777777" w:rsidR="00042127" w:rsidRPr="00042127" w:rsidRDefault="00042127" w:rsidP="00042127">
      <w:pPr>
        <w:numPr>
          <w:ilvl w:val="1"/>
          <w:numId w:val="24"/>
        </w:numPr>
        <w:rPr>
          <w:lang w:val="en-IN"/>
        </w:rPr>
      </w:pPr>
      <w:r w:rsidRPr="00042127">
        <w:rPr>
          <w:lang w:val="en-IN"/>
        </w:rPr>
        <w:t xml:space="preserve">A </w:t>
      </w:r>
      <w:r w:rsidRPr="00042127">
        <w:rPr>
          <w:b/>
          <w:bCs/>
          <w:lang w:val="en-IN"/>
        </w:rPr>
        <w:t>high P/E ratio</w:t>
      </w:r>
      <w:r w:rsidRPr="00042127">
        <w:rPr>
          <w:lang w:val="en-IN"/>
        </w:rPr>
        <w:t xml:space="preserve"> might indicate that the stock is overvalued, or investors are expecting high growth rates in the future.</w:t>
      </w:r>
    </w:p>
    <w:p w14:paraId="01573B74" w14:textId="77777777" w:rsidR="00042127" w:rsidRPr="00042127" w:rsidRDefault="00042127" w:rsidP="00042127">
      <w:pPr>
        <w:numPr>
          <w:ilvl w:val="1"/>
          <w:numId w:val="24"/>
        </w:numPr>
        <w:rPr>
          <w:lang w:val="en-IN"/>
        </w:rPr>
      </w:pPr>
      <w:r w:rsidRPr="00042127">
        <w:rPr>
          <w:lang w:val="en-IN"/>
        </w:rPr>
        <w:t xml:space="preserve">A </w:t>
      </w:r>
      <w:r w:rsidRPr="00042127">
        <w:rPr>
          <w:b/>
          <w:bCs/>
          <w:lang w:val="en-IN"/>
        </w:rPr>
        <w:t>low P/E ratio</w:t>
      </w:r>
      <w:r w:rsidRPr="00042127">
        <w:rPr>
          <w:lang w:val="en-IN"/>
        </w:rPr>
        <w:t xml:space="preserve"> might suggest that the stock is undervalued or that the company is facing challenges.</w:t>
      </w:r>
    </w:p>
    <w:p w14:paraId="0A908C91" w14:textId="77777777" w:rsidR="00042127" w:rsidRPr="00042127" w:rsidRDefault="00042127" w:rsidP="00042127">
      <w:pPr>
        <w:numPr>
          <w:ilvl w:val="0"/>
          <w:numId w:val="24"/>
        </w:numPr>
        <w:rPr>
          <w:lang w:val="en-IN"/>
        </w:rPr>
      </w:pPr>
      <w:r w:rsidRPr="00042127">
        <w:rPr>
          <w:b/>
          <w:bCs/>
          <w:lang w:val="en-IN"/>
        </w:rPr>
        <w:t>EV/EBITDA Ratio</w:t>
      </w:r>
      <w:r w:rsidRPr="00042127">
        <w:rPr>
          <w:lang w:val="en-IN"/>
        </w:rPr>
        <w:t>:</w:t>
      </w:r>
    </w:p>
    <w:p w14:paraId="666D3C5B" w14:textId="77777777" w:rsidR="00042127" w:rsidRPr="00042127" w:rsidRDefault="00042127" w:rsidP="00042127">
      <w:pPr>
        <w:numPr>
          <w:ilvl w:val="1"/>
          <w:numId w:val="24"/>
        </w:numPr>
        <w:rPr>
          <w:lang w:val="en-IN"/>
        </w:rPr>
      </w:pPr>
      <w:r w:rsidRPr="00042127">
        <w:rPr>
          <w:lang w:val="en-IN"/>
        </w:rPr>
        <w:t xml:space="preserve">A </w:t>
      </w:r>
      <w:r w:rsidRPr="00042127">
        <w:rPr>
          <w:b/>
          <w:bCs/>
          <w:lang w:val="en-IN"/>
        </w:rPr>
        <w:t>low EV/EBITDA ratio</w:t>
      </w:r>
      <w:r w:rsidRPr="00042127">
        <w:rPr>
          <w:lang w:val="en-IN"/>
        </w:rPr>
        <w:t xml:space="preserve"> might indicate that the company is undervalued or generating strong earnings relative to its enterprise value.</w:t>
      </w:r>
    </w:p>
    <w:p w14:paraId="07B16A27" w14:textId="77777777" w:rsidR="00042127" w:rsidRPr="00042127" w:rsidRDefault="00042127" w:rsidP="00042127">
      <w:pPr>
        <w:numPr>
          <w:ilvl w:val="1"/>
          <w:numId w:val="24"/>
        </w:numPr>
        <w:rPr>
          <w:lang w:val="en-IN"/>
        </w:rPr>
      </w:pPr>
      <w:r w:rsidRPr="00042127">
        <w:rPr>
          <w:lang w:val="en-IN"/>
        </w:rPr>
        <w:t xml:space="preserve">A </w:t>
      </w:r>
      <w:r w:rsidRPr="00042127">
        <w:rPr>
          <w:b/>
          <w:bCs/>
          <w:lang w:val="en-IN"/>
        </w:rPr>
        <w:t>high EV/EBITDA ratio</w:t>
      </w:r>
      <w:r w:rsidRPr="00042127">
        <w:rPr>
          <w:lang w:val="en-IN"/>
        </w:rPr>
        <w:t xml:space="preserve"> might suggest that the company is overvalued or not generating sufficient earnings compared to its enterprise value.</w:t>
      </w:r>
    </w:p>
    <w:p w14:paraId="47238434" w14:textId="77777777" w:rsidR="00DB4CD0" w:rsidRDefault="00DB4CD0" w:rsidP="00CB4C3C"/>
    <w:p w14:paraId="77415D9D" w14:textId="24825D2A" w:rsidR="00042127" w:rsidRDefault="00495E6C" w:rsidP="00CB4C3C">
      <w:r>
        <w:lastRenderedPageBreak/>
        <w:t>Python Code</w:t>
      </w:r>
    </w:p>
    <w:p w14:paraId="1405AC94" w14:textId="425830AE" w:rsidR="00495E6C" w:rsidRPr="0020088C" w:rsidRDefault="0020088C" w:rsidP="0020088C">
      <w:pPr>
        <w:rPr>
          <w:rFonts w:ascii="Consolas" w:hAnsi="Consolas"/>
          <w:sz w:val="20"/>
          <w:szCs w:val="20"/>
        </w:rPr>
      </w:pPr>
      <w:r w:rsidRPr="0020088C">
        <w:rPr>
          <w:rFonts w:ascii="Consolas" w:hAnsi="Consolas" w:cs="Courier New"/>
          <w:color w:val="000088"/>
          <w:sz w:val="20"/>
          <w:szCs w:val="20"/>
        </w:rPr>
        <w:t>import</w:t>
      </w:r>
      <w:r w:rsidRPr="0020088C">
        <w:rPr>
          <w:rFonts w:ascii="Consolas" w:hAnsi="Consolas" w:cs="Courier New"/>
          <w:color w:val="000000"/>
          <w:sz w:val="20"/>
          <w:szCs w:val="20"/>
        </w:rPr>
        <w:t xml:space="preserve"> yfinance </w:t>
      </w:r>
      <w:r w:rsidRPr="0020088C">
        <w:rPr>
          <w:rFonts w:ascii="Consolas" w:hAnsi="Consolas" w:cs="Courier New"/>
          <w:color w:val="000088"/>
          <w:sz w:val="20"/>
          <w:szCs w:val="20"/>
        </w:rPr>
        <w:t>as</w:t>
      </w:r>
      <w:r w:rsidRPr="0020088C">
        <w:rPr>
          <w:rFonts w:ascii="Consolas" w:hAnsi="Consolas" w:cs="Courier New"/>
          <w:color w:val="000000"/>
          <w:sz w:val="20"/>
          <w:szCs w:val="20"/>
        </w:rPr>
        <w:t xml:space="preserve"> yf</w:t>
      </w:r>
      <w:r w:rsidRPr="0020088C">
        <w:rPr>
          <w:rFonts w:ascii="Consolas" w:hAnsi="Consolas" w:cs="Courier New"/>
          <w:color w:val="000000"/>
          <w:sz w:val="20"/>
          <w:szCs w:val="20"/>
        </w:rPr>
        <w:br/>
      </w:r>
      <w:r w:rsidRPr="0020088C">
        <w:rPr>
          <w:rFonts w:ascii="Consolas" w:hAnsi="Consolas" w:cs="Courier New"/>
          <w:color w:val="000088"/>
          <w:sz w:val="20"/>
          <w:szCs w:val="20"/>
        </w:rPr>
        <w:t>import</w:t>
      </w:r>
      <w:r w:rsidRPr="0020088C">
        <w:rPr>
          <w:rFonts w:ascii="Consolas" w:hAnsi="Consolas" w:cs="Courier New"/>
          <w:color w:val="000000"/>
          <w:sz w:val="20"/>
          <w:szCs w:val="20"/>
        </w:rPr>
        <w:t xml:space="preserve"> pandas </w:t>
      </w:r>
      <w:r w:rsidRPr="0020088C">
        <w:rPr>
          <w:rFonts w:ascii="Consolas" w:hAnsi="Consolas" w:cs="Courier New"/>
          <w:color w:val="000088"/>
          <w:sz w:val="20"/>
          <w:szCs w:val="20"/>
        </w:rPr>
        <w:t>as</w:t>
      </w:r>
      <w:r w:rsidRPr="0020088C">
        <w:rPr>
          <w:rFonts w:ascii="Consolas" w:hAnsi="Consolas" w:cs="Courier New"/>
          <w:color w:val="000000"/>
          <w:sz w:val="20"/>
          <w:szCs w:val="20"/>
        </w:rPr>
        <w:t xml:space="preserve"> pd</w:t>
      </w:r>
      <w:r w:rsidRPr="0020088C">
        <w:rPr>
          <w:rFonts w:ascii="Consolas" w:hAnsi="Consolas" w:cs="Courier New"/>
          <w:color w:val="000000"/>
          <w:sz w:val="20"/>
          <w:szCs w:val="20"/>
        </w:rPr>
        <w:br/>
      </w:r>
      <w:r w:rsidRPr="0020088C">
        <w:rPr>
          <w:rFonts w:ascii="Consolas" w:hAnsi="Consolas" w:cs="Courier New"/>
          <w:color w:val="000000"/>
          <w:sz w:val="20"/>
          <w:szCs w:val="20"/>
        </w:rPr>
        <w:br/>
      </w:r>
      <w:r w:rsidRPr="0020088C">
        <w:rPr>
          <w:rFonts w:ascii="Consolas" w:hAnsi="Consolas" w:cs="Courier New"/>
          <w:color w:val="880000"/>
          <w:sz w:val="20"/>
          <w:szCs w:val="20"/>
        </w:rPr>
        <w:t># Fetch Microsoft stock data and financial statements for the past 5 years</w:t>
      </w:r>
      <w:r w:rsidRPr="0020088C">
        <w:rPr>
          <w:rFonts w:ascii="Consolas" w:hAnsi="Consolas" w:cs="Courier New"/>
          <w:color w:val="000000"/>
          <w:sz w:val="20"/>
          <w:szCs w:val="20"/>
        </w:rPr>
        <w:br/>
        <w:t>msft = yf.Ticker(</w:t>
      </w:r>
      <w:r w:rsidRPr="0020088C">
        <w:rPr>
          <w:rFonts w:ascii="Consolas" w:hAnsi="Consolas" w:cs="Courier New"/>
          <w:color w:val="008800"/>
          <w:sz w:val="20"/>
          <w:szCs w:val="20"/>
        </w:rPr>
        <w:t>"MSFT"</w:t>
      </w:r>
      <w:r w:rsidRPr="0020088C">
        <w:rPr>
          <w:rFonts w:ascii="Consolas" w:hAnsi="Consolas" w:cs="Courier New"/>
          <w:color w:val="000000"/>
          <w:sz w:val="20"/>
          <w:szCs w:val="20"/>
        </w:rPr>
        <w:t>)</w:t>
      </w:r>
      <w:r w:rsidRPr="0020088C">
        <w:rPr>
          <w:rFonts w:ascii="Consolas" w:hAnsi="Consolas" w:cs="Courier New"/>
          <w:color w:val="000000"/>
          <w:sz w:val="20"/>
          <w:szCs w:val="20"/>
        </w:rPr>
        <w:br/>
      </w:r>
      <w:r w:rsidRPr="0020088C">
        <w:rPr>
          <w:rFonts w:ascii="Consolas" w:hAnsi="Consolas" w:cs="Courier New"/>
          <w:color w:val="000000"/>
          <w:sz w:val="20"/>
          <w:szCs w:val="20"/>
        </w:rPr>
        <w:br/>
      </w:r>
      <w:r w:rsidRPr="0020088C">
        <w:rPr>
          <w:rFonts w:ascii="Consolas" w:hAnsi="Consolas" w:cs="Courier New"/>
          <w:color w:val="880000"/>
          <w:sz w:val="20"/>
          <w:szCs w:val="20"/>
        </w:rPr>
        <w:t># Fetch historical market price and calculate EPS</w:t>
      </w:r>
      <w:r w:rsidRPr="0020088C">
        <w:rPr>
          <w:rFonts w:ascii="Consolas" w:hAnsi="Consolas" w:cs="Courier New"/>
          <w:color w:val="000000"/>
          <w:sz w:val="20"/>
          <w:szCs w:val="20"/>
        </w:rPr>
        <w:br/>
        <w:t>prices = msft.history(period=</w:t>
      </w:r>
      <w:r w:rsidRPr="0020088C">
        <w:rPr>
          <w:rFonts w:ascii="Consolas" w:hAnsi="Consolas" w:cs="Courier New"/>
          <w:color w:val="008800"/>
          <w:sz w:val="20"/>
          <w:szCs w:val="20"/>
        </w:rPr>
        <w:t>"5y"</w:t>
      </w:r>
      <w:r w:rsidRPr="0020088C">
        <w:rPr>
          <w:rFonts w:ascii="Consolas" w:hAnsi="Consolas" w:cs="Courier New"/>
          <w:color w:val="000000"/>
          <w:sz w:val="20"/>
          <w:szCs w:val="20"/>
        </w:rPr>
        <w:t>)</w:t>
      </w:r>
      <w:r w:rsidRPr="0020088C">
        <w:rPr>
          <w:rFonts w:ascii="Consolas" w:hAnsi="Consolas" w:cs="Courier New"/>
          <w:color w:val="000000"/>
          <w:sz w:val="20"/>
          <w:szCs w:val="20"/>
        </w:rPr>
        <w:br/>
        <w:t>financials = msft.financials</w:t>
      </w:r>
      <w:r w:rsidRPr="0020088C">
        <w:rPr>
          <w:rFonts w:ascii="Consolas" w:hAnsi="Consolas" w:cs="Courier New"/>
          <w:color w:val="000000"/>
          <w:sz w:val="20"/>
          <w:szCs w:val="20"/>
        </w:rPr>
        <w:br/>
        <w:t>balance_sheet = msft.balance_sheet</w:t>
      </w:r>
      <w:r w:rsidRPr="0020088C">
        <w:rPr>
          <w:rFonts w:ascii="Consolas" w:hAnsi="Consolas" w:cs="Courier New"/>
          <w:color w:val="000000"/>
          <w:sz w:val="20"/>
          <w:szCs w:val="20"/>
        </w:rPr>
        <w:br/>
      </w:r>
      <w:r w:rsidRPr="0020088C">
        <w:rPr>
          <w:rFonts w:ascii="Consolas" w:hAnsi="Consolas" w:cs="Courier New"/>
          <w:color w:val="000000"/>
          <w:sz w:val="20"/>
          <w:szCs w:val="20"/>
        </w:rPr>
        <w:br/>
      </w:r>
      <w:r w:rsidRPr="0020088C">
        <w:rPr>
          <w:rFonts w:ascii="Consolas" w:hAnsi="Consolas" w:cs="Courier New"/>
          <w:color w:val="880000"/>
          <w:sz w:val="20"/>
          <w:szCs w:val="20"/>
        </w:rPr>
        <w:t># Extract relevant data</w:t>
      </w:r>
      <w:r w:rsidRPr="0020088C">
        <w:rPr>
          <w:rFonts w:ascii="Consolas" w:hAnsi="Consolas" w:cs="Courier New"/>
          <w:color w:val="000000"/>
          <w:sz w:val="20"/>
          <w:szCs w:val="20"/>
        </w:rPr>
        <w:br/>
        <w:t>net_income = financials.loc[</w:t>
      </w:r>
      <w:r w:rsidRPr="0020088C">
        <w:rPr>
          <w:rFonts w:ascii="Consolas" w:hAnsi="Consolas" w:cs="Courier New"/>
          <w:color w:val="008800"/>
          <w:sz w:val="20"/>
          <w:szCs w:val="20"/>
        </w:rPr>
        <w:t>'Net Income'</w:t>
      </w:r>
      <w:r w:rsidRPr="0020088C">
        <w:rPr>
          <w:rFonts w:ascii="Consolas" w:hAnsi="Consolas" w:cs="Courier New"/>
          <w:color w:val="000000"/>
          <w:sz w:val="20"/>
          <w:szCs w:val="20"/>
        </w:rPr>
        <w:t>]</w:t>
      </w:r>
      <w:r w:rsidRPr="0020088C">
        <w:rPr>
          <w:rFonts w:ascii="Consolas" w:hAnsi="Consolas" w:cs="Courier New"/>
          <w:color w:val="000000"/>
          <w:sz w:val="20"/>
          <w:szCs w:val="20"/>
        </w:rPr>
        <w:br/>
        <w:t>shares_outstanding = msft.info[</w:t>
      </w:r>
      <w:r w:rsidRPr="0020088C">
        <w:rPr>
          <w:rFonts w:ascii="Consolas" w:hAnsi="Consolas" w:cs="Courier New"/>
          <w:color w:val="008800"/>
          <w:sz w:val="20"/>
          <w:szCs w:val="20"/>
        </w:rPr>
        <w:t>'sharesOutstanding'</w:t>
      </w:r>
      <w:r w:rsidRPr="0020088C">
        <w:rPr>
          <w:rFonts w:ascii="Consolas" w:hAnsi="Consolas" w:cs="Courier New"/>
          <w:color w:val="000000"/>
          <w:sz w:val="20"/>
          <w:szCs w:val="20"/>
        </w:rPr>
        <w:t>]</w:t>
      </w:r>
      <w:r w:rsidRPr="0020088C">
        <w:rPr>
          <w:rFonts w:ascii="Consolas" w:hAnsi="Consolas" w:cs="Courier New"/>
          <w:color w:val="000000"/>
          <w:sz w:val="20"/>
          <w:szCs w:val="20"/>
        </w:rPr>
        <w:br/>
        <w:t>eps = net_income / shares_outstanding</w:t>
      </w:r>
      <w:r w:rsidRPr="0020088C">
        <w:rPr>
          <w:rFonts w:ascii="Consolas" w:hAnsi="Consolas" w:cs="Courier New"/>
          <w:color w:val="000000"/>
          <w:sz w:val="20"/>
          <w:szCs w:val="20"/>
        </w:rPr>
        <w:br/>
        <w:t>market_price_per_share = prices[</w:t>
      </w:r>
      <w:r w:rsidRPr="0020088C">
        <w:rPr>
          <w:rFonts w:ascii="Consolas" w:hAnsi="Consolas" w:cs="Courier New"/>
          <w:color w:val="008800"/>
          <w:sz w:val="20"/>
          <w:szCs w:val="20"/>
        </w:rPr>
        <w:t>'Close'</w:t>
      </w:r>
      <w:r w:rsidRPr="0020088C">
        <w:rPr>
          <w:rFonts w:ascii="Consolas" w:hAnsi="Consolas" w:cs="Courier New"/>
          <w:color w:val="000000"/>
          <w:sz w:val="20"/>
          <w:szCs w:val="20"/>
        </w:rPr>
        <w:t>].resample(</w:t>
      </w:r>
      <w:r w:rsidRPr="0020088C">
        <w:rPr>
          <w:rFonts w:ascii="Consolas" w:hAnsi="Consolas" w:cs="Courier New"/>
          <w:color w:val="008800"/>
          <w:sz w:val="20"/>
          <w:szCs w:val="20"/>
        </w:rPr>
        <w:t>'Y'</w:t>
      </w:r>
      <w:r w:rsidRPr="0020088C">
        <w:rPr>
          <w:rFonts w:ascii="Consolas" w:hAnsi="Consolas" w:cs="Courier New"/>
          <w:color w:val="000000"/>
          <w:sz w:val="20"/>
          <w:szCs w:val="20"/>
        </w:rPr>
        <w:t xml:space="preserve">).last()  </w:t>
      </w:r>
      <w:r w:rsidRPr="0020088C">
        <w:rPr>
          <w:rFonts w:ascii="Consolas" w:hAnsi="Consolas" w:cs="Courier New"/>
          <w:color w:val="880000"/>
          <w:sz w:val="20"/>
          <w:szCs w:val="20"/>
        </w:rPr>
        <w:t># Use the last closing price of each year</w:t>
      </w:r>
      <w:r w:rsidRPr="0020088C">
        <w:rPr>
          <w:rFonts w:ascii="Consolas" w:hAnsi="Consolas" w:cs="Courier New"/>
          <w:color w:val="000000"/>
          <w:sz w:val="20"/>
          <w:szCs w:val="20"/>
        </w:rPr>
        <w:br/>
      </w:r>
      <w:r w:rsidRPr="0020088C">
        <w:rPr>
          <w:rFonts w:ascii="Consolas" w:hAnsi="Consolas" w:cs="Courier New"/>
          <w:color w:val="000000"/>
          <w:sz w:val="20"/>
          <w:szCs w:val="20"/>
        </w:rPr>
        <w:br/>
      </w:r>
      <w:r w:rsidRPr="0020088C">
        <w:rPr>
          <w:rFonts w:ascii="Consolas" w:hAnsi="Consolas" w:cs="Courier New"/>
          <w:color w:val="880000"/>
          <w:sz w:val="20"/>
          <w:szCs w:val="20"/>
        </w:rPr>
        <w:t># Calculate P/E Ratio</w:t>
      </w:r>
      <w:r w:rsidRPr="0020088C">
        <w:rPr>
          <w:rFonts w:ascii="Consolas" w:hAnsi="Consolas" w:cs="Courier New"/>
          <w:color w:val="000000"/>
          <w:sz w:val="20"/>
          <w:szCs w:val="20"/>
        </w:rPr>
        <w:br/>
        <w:t>pe_ratio = market_price_per_share / eps</w:t>
      </w:r>
      <w:r w:rsidRPr="0020088C">
        <w:rPr>
          <w:rFonts w:ascii="Consolas" w:hAnsi="Consolas" w:cs="Courier New"/>
          <w:color w:val="000000"/>
          <w:sz w:val="20"/>
          <w:szCs w:val="20"/>
        </w:rPr>
        <w:br/>
      </w:r>
      <w:r w:rsidRPr="0020088C">
        <w:rPr>
          <w:rFonts w:ascii="Consolas" w:hAnsi="Consolas" w:cs="Courier New"/>
          <w:color w:val="000000"/>
          <w:sz w:val="20"/>
          <w:szCs w:val="20"/>
        </w:rPr>
        <w:br/>
      </w:r>
      <w:r w:rsidRPr="0020088C">
        <w:rPr>
          <w:rFonts w:ascii="Consolas" w:hAnsi="Consolas" w:cs="Courier New"/>
          <w:color w:val="880000"/>
          <w:sz w:val="20"/>
          <w:szCs w:val="20"/>
        </w:rPr>
        <w:t># Calculate EV/EBITDA Ratio</w:t>
      </w:r>
      <w:r w:rsidRPr="0020088C">
        <w:rPr>
          <w:rFonts w:ascii="Consolas" w:hAnsi="Consolas" w:cs="Courier New"/>
          <w:color w:val="000000"/>
          <w:sz w:val="20"/>
          <w:szCs w:val="20"/>
        </w:rPr>
        <w:br/>
        <w:t>ebitda = financials.loc[</w:t>
      </w:r>
      <w:r w:rsidRPr="0020088C">
        <w:rPr>
          <w:rFonts w:ascii="Consolas" w:hAnsi="Consolas" w:cs="Courier New"/>
          <w:color w:val="008800"/>
          <w:sz w:val="20"/>
          <w:szCs w:val="20"/>
        </w:rPr>
        <w:t>'Ebitda'</w:t>
      </w:r>
      <w:r w:rsidRPr="0020088C">
        <w:rPr>
          <w:rFonts w:ascii="Consolas" w:hAnsi="Consolas" w:cs="Courier New"/>
          <w:color w:val="000000"/>
          <w:sz w:val="20"/>
          <w:szCs w:val="20"/>
        </w:rPr>
        <w:t xml:space="preserve">]  </w:t>
      </w:r>
      <w:r w:rsidRPr="0020088C">
        <w:rPr>
          <w:rFonts w:ascii="Consolas" w:hAnsi="Consolas" w:cs="Courier New"/>
          <w:color w:val="880000"/>
          <w:sz w:val="20"/>
          <w:szCs w:val="20"/>
        </w:rPr>
        <w:t># Use EBITDA from financials</w:t>
      </w:r>
      <w:r w:rsidRPr="0020088C">
        <w:rPr>
          <w:rFonts w:ascii="Consolas" w:hAnsi="Consolas" w:cs="Courier New"/>
          <w:color w:val="000000"/>
          <w:sz w:val="20"/>
          <w:szCs w:val="20"/>
        </w:rPr>
        <w:br/>
        <w:t>total_debt = balance_sheet.loc[</w:t>
      </w:r>
      <w:r w:rsidRPr="0020088C">
        <w:rPr>
          <w:rFonts w:ascii="Consolas" w:hAnsi="Consolas" w:cs="Courier New"/>
          <w:color w:val="008800"/>
          <w:sz w:val="20"/>
          <w:szCs w:val="20"/>
        </w:rPr>
        <w:t>'Long Term Debt'</w:t>
      </w:r>
      <w:r w:rsidRPr="0020088C">
        <w:rPr>
          <w:rFonts w:ascii="Consolas" w:hAnsi="Consolas" w:cs="Courier New"/>
          <w:color w:val="000000"/>
          <w:sz w:val="20"/>
          <w:szCs w:val="20"/>
        </w:rPr>
        <w:t>] + balance_sheet.loc[</w:t>
      </w:r>
      <w:r w:rsidRPr="0020088C">
        <w:rPr>
          <w:rFonts w:ascii="Consolas" w:hAnsi="Consolas" w:cs="Courier New"/>
          <w:color w:val="008800"/>
          <w:sz w:val="20"/>
          <w:szCs w:val="20"/>
        </w:rPr>
        <w:t>'Short Long Term Debt'</w:t>
      </w:r>
      <w:r w:rsidRPr="0020088C">
        <w:rPr>
          <w:rFonts w:ascii="Consolas" w:hAnsi="Consolas" w:cs="Courier New"/>
          <w:color w:val="000000"/>
          <w:sz w:val="20"/>
          <w:szCs w:val="20"/>
        </w:rPr>
        <w:t xml:space="preserve">] </w:t>
      </w:r>
      <w:r w:rsidRPr="0020088C">
        <w:rPr>
          <w:rFonts w:ascii="Consolas" w:hAnsi="Consolas" w:cs="Courier New"/>
          <w:color w:val="000088"/>
          <w:sz w:val="20"/>
          <w:szCs w:val="20"/>
        </w:rPr>
        <w:t>if</w:t>
      </w:r>
      <w:r w:rsidRPr="0020088C">
        <w:rPr>
          <w:rFonts w:ascii="Consolas" w:hAnsi="Consolas" w:cs="Courier New"/>
          <w:color w:val="000000"/>
          <w:sz w:val="20"/>
          <w:szCs w:val="20"/>
        </w:rPr>
        <w:t xml:space="preserve"> </w:t>
      </w:r>
      <w:r w:rsidRPr="0020088C">
        <w:rPr>
          <w:rFonts w:ascii="Consolas" w:hAnsi="Consolas" w:cs="Courier New"/>
          <w:color w:val="008800"/>
          <w:sz w:val="20"/>
          <w:szCs w:val="20"/>
        </w:rPr>
        <w:t>'Short Long Term Debt'</w:t>
      </w:r>
      <w:r w:rsidRPr="0020088C">
        <w:rPr>
          <w:rFonts w:ascii="Consolas" w:hAnsi="Consolas" w:cs="Courier New"/>
          <w:color w:val="000000"/>
          <w:sz w:val="20"/>
          <w:szCs w:val="20"/>
        </w:rPr>
        <w:t xml:space="preserve"> </w:t>
      </w:r>
      <w:r w:rsidRPr="0020088C">
        <w:rPr>
          <w:rFonts w:ascii="Consolas" w:hAnsi="Consolas" w:cs="Courier New"/>
          <w:color w:val="000088"/>
          <w:sz w:val="20"/>
          <w:szCs w:val="20"/>
        </w:rPr>
        <w:t>in</w:t>
      </w:r>
      <w:r w:rsidRPr="0020088C">
        <w:rPr>
          <w:rFonts w:ascii="Consolas" w:hAnsi="Consolas" w:cs="Courier New"/>
          <w:color w:val="000000"/>
          <w:sz w:val="20"/>
          <w:szCs w:val="20"/>
        </w:rPr>
        <w:t xml:space="preserve"> balance_sheet.index </w:t>
      </w:r>
      <w:r w:rsidRPr="0020088C">
        <w:rPr>
          <w:rFonts w:ascii="Consolas" w:hAnsi="Consolas" w:cs="Courier New"/>
          <w:color w:val="000088"/>
          <w:sz w:val="20"/>
          <w:szCs w:val="20"/>
        </w:rPr>
        <w:t>else</w:t>
      </w:r>
      <w:r w:rsidRPr="0020088C">
        <w:rPr>
          <w:rFonts w:ascii="Consolas" w:hAnsi="Consolas" w:cs="Courier New"/>
          <w:color w:val="000000"/>
          <w:sz w:val="20"/>
          <w:szCs w:val="20"/>
        </w:rPr>
        <w:t xml:space="preserve"> balance_sheet.loc[</w:t>
      </w:r>
      <w:r w:rsidRPr="0020088C">
        <w:rPr>
          <w:rFonts w:ascii="Consolas" w:hAnsi="Consolas" w:cs="Courier New"/>
          <w:color w:val="008800"/>
          <w:sz w:val="20"/>
          <w:szCs w:val="20"/>
        </w:rPr>
        <w:t>'Long Term Debt'</w:t>
      </w:r>
      <w:r w:rsidRPr="0020088C">
        <w:rPr>
          <w:rFonts w:ascii="Consolas" w:hAnsi="Consolas" w:cs="Courier New"/>
          <w:color w:val="000000"/>
          <w:sz w:val="20"/>
          <w:szCs w:val="20"/>
        </w:rPr>
        <w:t>]</w:t>
      </w:r>
      <w:r w:rsidRPr="0020088C">
        <w:rPr>
          <w:rFonts w:ascii="Consolas" w:hAnsi="Consolas" w:cs="Courier New"/>
          <w:color w:val="000000"/>
          <w:sz w:val="20"/>
          <w:szCs w:val="20"/>
        </w:rPr>
        <w:br/>
        <w:t>cash = balance_sheet.loc[</w:t>
      </w:r>
      <w:r w:rsidRPr="0020088C">
        <w:rPr>
          <w:rFonts w:ascii="Consolas" w:hAnsi="Consolas" w:cs="Courier New"/>
          <w:color w:val="008800"/>
          <w:sz w:val="20"/>
          <w:szCs w:val="20"/>
        </w:rPr>
        <w:t>'Cash'</w:t>
      </w:r>
      <w:r w:rsidRPr="0020088C">
        <w:rPr>
          <w:rFonts w:ascii="Consolas" w:hAnsi="Consolas" w:cs="Courier New"/>
          <w:color w:val="000000"/>
          <w:sz w:val="20"/>
          <w:szCs w:val="20"/>
        </w:rPr>
        <w:t xml:space="preserve">] </w:t>
      </w:r>
      <w:r w:rsidRPr="0020088C">
        <w:rPr>
          <w:rFonts w:ascii="Consolas" w:hAnsi="Consolas" w:cs="Courier New"/>
          <w:color w:val="000088"/>
          <w:sz w:val="20"/>
          <w:szCs w:val="20"/>
        </w:rPr>
        <w:t>if</w:t>
      </w:r>
      <w:r w:rsidRPr="0020088C">
        <w:rPr>
          <w:rFonts w:ascii="Consolas" w:hAnsi="Consolas" w:cs="Courier New"/>
          <w:color w:val="000000"/>
          <w:sz w:val="20"/>
          <w:szCs w:val="20"/>
        </w:rPr>
        <w:t xml:space="preserve"> </w:t>
      </w:r>
      <w:r w:rsidRPr="0020088C">
        <w:rPr>
          <w:rFonts w:ascii="Consolas" w:hAnsi="Consolas" w:cs="Courier New"/>
          <w:color w:val="008800"/>
          <w:sz w:val="20"/>
          <w:szCs w:val="20"/>
        </w:rPr>
        <w:t>'Cash'</w:t>
      </w:r>
      <w:r w:rsidRPr="0020088C">
        <w:rPr>
          <w:rFonts w:ascii="Consolas" w:hAnsi="Consolas" w:cs="Courier New"/>
          <w:color w:val="000000"/>
          <w:sz w:val="20"/>
          <w:szCs w:val="20"/>
        </w:rPr>
        <w:t xml:space="preserve"> </w:t>
      </w:r>
      <w:r w:rsidRPr="0020088C">
        <w:rPr>
          <w:rFonts w:ascii="Consolas" w:hAnsi="Consolas" w:cs="Courier New"/>
          <w:color w:val="000088"/>
          <w:sz w:val="20"/>
          <w:szCs w:val="20"/>
        </w:rPr>
        <w:t>in</w:t>
      </w:r>
      <w:r w:rsidRPr="0020088C">
        <w:rPr>
          <w:rFonts w:ascii="Consolas" w:hAnsi="Consolas" w:cs="Courier New"/>
          <w:color w:val="000000"/>
          <w:sz w:val="20"/>
          <w:szCs w:val="20"/>
        </w:rPr>
        <w:t xml:space="preserve"> balance_sheet.index </w:t>
      </w:r>
      <w:r w:rsidRPr="0020088C">
        <w:rPr>
          <w:rFonts w:ascii="Consolas" w:hAnsi="Consolas" w:cs="Courier New"/>
          <w:color w:val="000088"/>
          <w:sz w:val="20"/>
          <w:szCs w:val="20"/>
        </w:rPr>
        <w:t>else</w:t>
      </w:r>
      <w:r w:rsidRPr="0020088C">
        <w:rPr>
          <w:rFonts w:ascii="Consolas" w:hAnsi="Consolas" w:cs="Courier New"/>
          <w:color w:val="000000"/>
          <w:sz w:val="20"/>
          <w:szCs w:val="20"/>
        </w:rPr>
        <w:t xml:space="preserve"> pd.Series([</w:t>
      </w:r>
      <w:r w:rsidRPr="0020088C">
        <w:rPr>
          <w:rFonts w:ascii="Consolas" w:hAnsi="Consolas" w:cs="Courier New"/>
          <w:color w:val="006666"/>
          <w:sz w:val="20"/>
          <w:szCs w:val="20"/>
        </w:rPr>
        <w:t>0</w:t>
      </w:r>
      <w:r w:rsidRPr="0020088C">
        <w:rPr>
          <w:rFonts w:ascii="Consolas" w:hAnsi="Consolas" w:cs="Courier New"/>
          <w:color w:val="000000"/>
          <w:sz w:val="20"/>
          <w:szCs w:val="20"/>
        </w:rPr>
        <w:t xml:space="preserve">] * len(total_debt), index=total_debt.index)  </w:t>
      </w:r>
      <w:r w:rsidRPr="0020088C">
        <w:rPr>
          <w:rFonts w:ascii="Consolas" w:hAnsi="Consolas" w:cs="Courier New"/>
          <w:color w:val="880000"/>
          <w:sz w:val="20"/>
          <w:szCs w:val="20"/>
        </w:rPr>
        <w:t># Handle cases where cash is zero or not listed</w:t>
      </w:r>
      <w:r w:rsidRPr="0020088C">
        <w:rPr>
          <w:rFonts w:ascii="Consolas" w:hAnsi="Consolas" w:cs="Courier New"/>
          <w:color w:val="000000"/>
          <w:sz w:val="20"/>
          <w:szCs w:val="20"/>
        </w:rPr>
        <w:br/>
      </w:r>
      <w:r w:rsidRPr="0020088C">
        <w:rPr>
          <w:rFonts w:ascii="Consolas" w:hAnsi="Consolas" w:cs="Courier New"/>
          <w:color w:val="000000"/>
          <w:sz w:val="20"/>
          <w:szCs w:val="20"/>
        </w:rPr>
        <w:br/>
        <w:t>market_cap = market_price_per_share * shares_outstanding</w:t>
      </w:r>
      <w:r w:rsidRPr="0020088C">
        <w:rPr>
          <w:rFonts w:ascii="Consolas" w:hAnsi="Consolas" w:cs="Courier New"/>
          <w:color w:val="000000"/>
          <w:sz w:val="20"/>
          <w:szCs w:val="20"/>
        </w:rPr>
        <w:br/>
        <w:t>enterprise_value = market_cap + total_debt - cash</w:t>
      </w:r>
      <w:r w:rsidRPr="0020088C">
        <w:rPr>
          <w:rFonts w:ascii="Consolas" w:hAnsi="Consolas" w:cs="Courier New"/>
          <w:color w:val="000000"/>
          <w:sz w:val="20"/>
          <w:szCs w:val="20"/>
        </w:rPr>
        <w:br/>
        <w:t>ev_ebitda_ratio = enterprise_value / ebitda</w:t>
      </w:r>
      <w:r w:rsidRPr="0020088C">
        <w:rPr>
          <w:rFonts w:ascii="Consolas" w:hAnsi="Consolas" w:cs="Courier New"/>
          <w:color w:val="000000"/>
          <w:sz w:val="20"/>
          <w:szCs w:val="20"/>
        </w:rPr>
        <w:br/>
      </w:r>
      <w:r w:rsidRPr="0020088C">
        <w:rPr>
          <w:rFonts w:ascii="Consolas" w:hAnsi="Consolas" w:cs="Courier New"/>
          <w:color w:val="000000"/>
          <w:sz w:val="20"/>
          <w:szCs w:val="20"/>
        </w:rPr>
        <w:br/>
      </w:r>
      <w:r w:rsidRPr="0020088C">
        <w:rPr>
          <w:rFonts w:ascii="Consolas" w:hAnsi="Consolas" w:cs="Courier New"/>
          <w:color w:val="880000"/>
          <w:sz w:val="20"/>
          <w:szCs w:val="20"/>
        </w:rPr>
        <w:t># Prepare a DataFrame with the relevant data</w:t>
      </w:r>
      <w:r w:rsidRPr="0020088C">
        <w:rPr>
          <w:rFonts w:ascii="Consolas" w:hAnsi="Consolas" w:cs="Courier New"/>
          <w:color w:val="000000"/>
          <w:sz w:val="20"/>
          <w:szCs w:val="20"/>
        </w:rPr>
        <w:br/>
        <w:t>valuation_ratios = pd.DataFrame({</w:t>
      </w:r>
      <w:r w:rsidRPr="0020088C">
        <w:rPr>
          <w:rFonts w:ascii="Consolas" w:hAnsi="Consolas" w:cs="Courier New"/>
          <w:color w:val="000000"/>
          <w:sz w:val="20"/>
          <w:szCs w:val="20"/>
        </w:rPr>
        <w:br/>
        <w:t xml:space="preserve">    </w:t>
      </w:r>
      <w:r w:rsidRPr="0020088C">
        <w:rPr>
          <w:rFonts w:ascii="Consolas" w:hAnsi="Consolas" w:cs="Courier New"/>
          <w:color w:val="008800"/>
          <w:sz w:val="20"/>
          <w:szCs w:val="20"/>
        </w:rPr>
        <w:t>'Year'</w:t>
      </w:r>
      <w:r w:rsidRPr="0020088C">
        <w:rPr>
          <w:rFonts w:ascii="Consolas" w:hAnsi="Consolas" w:cs="Courier New"/>
          <w:color w:val="000000"/>
          <w:sz w:val="20"/>
          <w:szCs w:val="20"/>
        </w:rPr>
        <w:t>: eps.index.year,</w:t>
      </w:r>
      <w:r w:rsidRPr="0020088C">
        <w:rPr>
          <w:rFonts w:ascii="Consolas" w:hAnsi="Consolas" w:cs="Courier New"/>
          <w:color w:val="000000"/>
          <w:sz w:val="20"/>
          <w:szCs w:val="20"/>
        </w:rPr>
        <w:br/>
        <w:t xml:space="preserve">    </w:t>
      </w:r>
      <w:r w:rsidRPr="0020088C">
        <w:rPr>
          <w:rFonts w:ascii="Consolas" w:hAnsi="Consolas" w:cs="Courier New"/>
          <w:color w:val="008800"/>
          <w:sz w:val="20"/>
          <w:szCs w:val="20"/>
        </w:rPr>
        <w:t>'Market Price per Share'</w:t>
      </w:r>
      <w:r w:rsidRPr="0020088C">
        <w:rPr>
          <w:rFonts w:ascii="Consolas" w:hAnsi="Consolas" w:cs="Courier New"/>
          <w:color w:val="000000"/>
          <w:sz w:val="20"/>
          <w:szCs w:val="20"/>
        </w:rPr>
        <w:t>: market_price_per_share.values,</w:t>
      </w:r>
      <w:r w:rsidRPr="0020088C">
        <w:rPr>
          <w:rFonts w:ascii="Consolas" w:hAnsi="Consolas" w:cs="Courier New"/>
          <w:color w:val="000000"/>
          <w:sz w:val="20"/>
          <w:szCs w:val="20"/>
        </w:rPr>
        <w:br/>
        <w:t xml:space="preserve">    </w:t>
      </w:r>
      <w:r w:rsidRPr="0020088C">
        <w:rPr>
          <w:rFonts w:ascii="Consolas" w:hAnsi="Consolas" w:cs="Courier New"/>
          <w:color w:val="008800"/>
          <w:sz w:val="20"/>
          <w:szCs w:val="20"/>
        </w:rPr>
        <w:t>'EPS'</w:t>
      </w:r>
      <w:r w:rsidRPr="0020088C">
        <w:rPr>
          <w:rFonts w:ascii="Consolas" w:hAnsi="Consolas" w:cs="Courier New"/>
          <w:color w:val="000000"/>
          <w:sz w:val="20"/>
          <w:szCs w:val="20"/>
        </w:rPr>
        <w:t>: eps.values,</w:t>
      </w:r>
      <w:r w:rsidRPr="0020088C">
        <w:rPr>
          <w:rFonts w:ascii="Consolas" w:hAnsi="Consolas" w:cs="Courier New"/>
          <w:color w:val="000000"/>
          <w:sz w:val="20"/>
          <w:szCs w:val="20"/>
        </w:rPr>
        <w:br/>
        <w:t xml:space="preserve">    </w:t>
      </w:r>
      <w:r w:rsidRPr="0020088C">
        <w:rPr>
          <w:rFonts w:ascii="Consolas" w:hAnsi="Consolas" w:cs="Courier New"/>
          <w:color w:val="008800"/>
          <w:sz w:val="20"/>
          <w:szCs w:val="20"/>
        </w:rPr>
        <w:t>'P/E Ratio'</w:t>
      </w:r>
      <w:r w:rsidRPr="0020088C">
        <w:rPr>
          <w:rFonts w:ascii="Consolas" w:hAnsi="Consolas" w:cs="Courier New"/>
          <w:color w:val="000000"/>
          <w:sz w:val="20"/>
          <w:szCs w:val="20"/>
        </w:rPr>
        <w:t>: pe_ratio.values,</w:t>
      </w:r>
      <w:r w:rsidRPr="0020088C">
        <w:rPr>
          <w:rFonts w:ascii="Consolas" w:hAnsi="Consolas" w:cs="Courier New"/>
          <w:color w:val="000000"/>
          <w:sz w:val="20"/>
          <w:szCs w:val="20"/>
        </w:rPr>
        <w:br/>
        <w:t xml:space="preserve">    </w:t>
      </w:r>
      <w:r w:rsidRPr="0020088C">
        <w:rPr>
          <w:rFonts w:ascii="Consolas" w:hAnsi="Consolas" w:cs="Courier New"/>
          <w:color w:val="008800"/>
          <w:sz w:val="20"/>
          <w:szCs w:val="20"/>
        </w:rPr>
        <w:t>'EBITDA'</w:t>
      </w:r>
      <w:r w:rsidRPr="0020088C">
        <w:rPr>
          <w:rFonts w:ascii="Consolas" w:hAnsi="Consolas" w:cs="Courier New"/>
          <w:color w:val="000000"/>
          <w:sz w:val="20"/>
          <w:szCs w:val="20"/>
        </w:rPr>
        <w:t>: ebitda.values,</w:t>
      </w:r>
      <w:r w:rsidRPr="0020088C">
        <w:rPr>
          <w:rFonts w:ascii="Consolas" w:hAnsi="Consolas" w:cs="Courier New"/>
          <w:color w:val="000000"/>
          <w:sz w:val="20"/>
          <w:szCs w:val="20"/>
        </w:rPr>
        <w:br/>
        <w:t xml:space="preserve">    </w:t>
      </w:r>
      <w:r w:rsidRPr="0020088C">
        <w:rPr>
          <w:rFonts w:ascii="Consolas" w:hAnsi="Consolas" w:cs="Courier New"/>
          <w:color w:val="008800"/>
          <w:sz w:val="20"/>
          <w:szCs w:val="20"/>
        </w:rPr>
        <w:t>'Total Debt'</w:t>
      </w:r>
      <w:r w:rsidRPr="0020088C">
        <w:rPr>
          <w:rFonts w:ascii="Consolas" w:hAnsi="Consolas" w:cs="Courier New"/>
          <w:color w:val="000000"/>
          <w:sz w:val="20"/>
          <w:szCs w:val="20"/>
        </w:rPr>
        <w:t>: total_debt.values,</w:t>
      </w:r>
      <w:r w:rsidRPr="0020088C">
        <w:rPr>
          <w:rFonts w:ascii="Consolas" w:hAnsi="Consolas" w:cs="Courier New"/>
          <w:color w:val="000000"/>
          <w:sz w:val="20"/>
          <w:szCs w:val="20"/>
        </w:rPr>
        <w:br/>
        <w:t xml:space="preserve">    </w:t>
      </w:r>
      <w:r w:rsidRPr="0020088C">
        <w:rPr>
          <w:rFonts w:ascii="Consolas" w:hAnsi="Consolas" w:cs="Courier New"/>
          <w:color w:val="008800"/>
          <w:sz w:val="20"/>
          <w:szCs w:val="20"/>
        </w:rPr>
        <w:t>'Cash'</w:t>
      </w:r>
      <w:r w:rsidRPr="0020088C">
        <w:rPr>
          <w:rFonts w:ascii="Consolas" w:hAnsi="Consolas" w:cs="Courier New"/>
          <w:color w:val="000000"/>
          <w:sz w:val="20"/>
          <w:szCs w:val="20"/>
        </w:rPr>
        <w:t>: cash.values,</w:t>
      </w:r>
      <w:r w:rsidRPr="0020088C">
        <w:rPr>
          <w:rFonts w:ascii="Consolas" w:hAnsi="Consolas" w:cs="Courier New"/>
          <w:color w:val="000000"/>
          <w:sz w:val="20"/>
          <w:szCs w:val="20"/>
        </w:rPr>
        <w:br/>
        <w:t xml:space="preserve">    </w:t>
      </w:r>
      <w:r w:rsidRPr="0020088C">
        <w:rPr>
          <w:rFonts w:ascii="Consolas" w:hAnsi="Consolas" w:cs="Courier New"/>
          <w:color w:val="008800"/>
          <w:sz w:val="20"/>
          <w:szCs w:val="20"/>
        </w:rPr>
        <w:t>'Enterprise Value'</w:t>
      </w:r>
      <w:r w:rsidRPr="0020088C">
        <w:rPr>
          <w:rFonts w:ascii="Consolas" w:hAnsi="Consolas" w:cs="Courier New"/>
          <w:color w:val="000000"/>
          <w:sz w:val="20"/>
          <w:szCs w:val="20"/>
        </w:rPr>
        <w:t>: enterprise_value.values,</w:t>
      </w:r>
      <w:r w:rsidRPr="0020088C">
        <w:rPr>
          <w:rFonts w:ascii="Consolas" w:hAnsi="Consolas" w:cs="Courier New"/>
          <w:color w:val="000000"/>
          <w:sz w:val="20"/>
          <w:szCs w:val="20"/>
        </w:rPr>
        <w:br/>
        <w:t xml:space="preserve">    </w:t>
      </w:r>
      <w:r w:rsidRPr="0020088C">
        <w:rPr>
          <w:rFonts w:ascii="Consolas" w:hAnsi="Consolas" w:cs="Courier New"/>
          <w:color w:val="008800"/>
          <w:sz w:val="20"/>
          <w:szCs w:val="20"/>
        </w:rPr>
        <w:t>'EV/EBITDA Ratio'</w:t>
      </w:r>
      <w:r w:rsidRPr="0020088C">
        <w:rPr>
          <w:rFonts w:ascii="Consolas" w:hAnsi="Consolas" w:cs="Courier New"/>
          <w:color w:val="000000"/>
          <w:sz w:val="20"/>
          <w:szCs w:val="20"/>
        </w:rPr>
        <w:t>: ev_ebitda_ratio.values,</w:t>
      </w:r>
      <w:r w:rsidRPr="0020088C">
        <w:rPr>
          <w:rFonts w:ascii="Consolas" w:hAnsi="Consolas" w:cs="Courier New"/>
          <w:color w:val="000000"/>
          <w:sz w:val="20"/>
          <w:szCs w:val="20"/>
        </w:rPr>
        <w:br/>
        <w:t>})</w:t>
      </w:r>
      <w:r w:rsidRPr="0020088C">
        <w:rPr>
          <w:rFonts w:ascii="Consolas" w:hAnsi="Consolas" w:cs="Courier New"/>
          <w:color w:val="000000"/>
          <w:sz w:val="20"/>
          <w:szCs w:val="20"/>
        </w:rPr>
        <w:br/>
      </w:r>
      <w:r w:rsidRPr="0020088C">
        <w:rPr>
          <w:rFonts w:ascii="Consolas" w:hAnsi="Consolas" w:cs="Courier New"/>
          <w:color w:val="000000"/>
          <w:sz w:val="20"/>
          <w:szCs w:val="20"/>
        </w:rPr>
        <w:br/>
      </w:r>
      <w:r w:rsidRPr="0020088C">
        <w:rPr>
          <w:rFonts w:ascii="Consolas" w:hAnsi="Consolas" w:cs="Courier New"/>
          <w:color w:val="880000"/>
          <w:sz w:val="20"/>
          <w:szCs w:val="20"/>
        </w:rPr>
        <w:t># Display the valuation ratios</w:t>
      </w:r>
      <w:r w:rsidRPr="0020088C">
        <w:rPr>
          <w:rFonts w:ascii="Consolas" w:hAnsi="Consolas" w:cs="Courier New"/>
          <w:color w:val="000000"/>
          <w:sz w:val="20"/>
          <w:szCs w:val="20"/>
        </w:rPr>
        <w:br/>
      </w:r>
      <w:r>
        <w:rPr>
          <w:rFonts w:ascii="Consolas" w:hAnsi="Consolas" w:cs="Courier New"/>
          <w:color w:val="000088"/>
          <w:sz w:val="20"/>
          <w:szCs w:val="20"/>
        </w:rPr>
        <w:t>valuation_ratios</w:t>
      </w:r>
    </w:p>
    <w:p w14:paraId="4A766950" w14:textId="77777777" w:rsidR="00495E6C" w:rsidRDefault="00495E6C" w:rsidP="00CB4C3C"/>
    <w:p w14:paraId="5C348190" w14:textId="77777777" w:rsidR="00495E6C" w:rsidRDefault="00495E6C" w:rsidP="00CB4C3C"/>
    <w:p w14:paraId="141FEF89" w14:textId="150EADB9" w:rsidR="00DB4CD0" w:rsidRDefault="00DB4CD0" w:rsidP="00CB4C3C">
      <w:r>
        <w:t>Cash Flow Analysis</w:t>
      </w:r>
    </w:p>
    <w:p w14:paraId="69F7BDED" w14:textId="6B12601D" w:rsidR="00DB4CD0" w:rsidRDefault="00DB4CD0" w:rsidP="00CB4C3C">
      <w:r>
        <w:t>Operating Cash Flow and Free Cash Flow</w:t>
      </w:r>
    </w:p>
    <w:p w14:paraId="44BF88D2" w14:textId="77777777" w:rsidR="00DB4CD0" w:rsidRDefault="00DB4CD0" w:rsidP="00CB4C3C"/>
    <w:p w14:paraId="6AE755B7" w14:textId="37261DE8" w:rsidR="00DB4CD0" w:rsidRDefault="00DB4CD0" w:rsidP="00CB4C3C">
      <w:r>
        <w:t>Dividend Analysis</w:t>
      </w:r>
    </w:p>
    <w:p w14:paraId="1D3C4390" w14:textId="47FE30F7" w:rsidR="00DB4CD0" w:rsidRDefault="00DB4CD0" w:rsidP="00CB4C3C">
      <w:r>
        <w:t>Dividend Yield and Dividend Payout Ratio</w:t>
      </w:r>
    </w:p>
    <w:p w14:paraId="6570306C" w14:textId="77777777" w:rsidR="00DB4CD0" w:rsidRDefault="00DB4CD0" w:rsidP="00CB4C3C"/>
    <w:p w14:paraId="0E54CA1C" w14:textId="6BF84720" w:rsidR="00DB4CD0" w:rsidRDefault="00DB4CD0" w:rsidP="00CB4C3C">
      <w:r>
        <w:t>Growth Analysis</w:t>
      </w:r>
    </w:p>
    <w:p w14:paraId="1D6E33CE" w14:textId="431CCBB3" w:rsidR="00DB4CD0" w:rsidRDefault="00DB4CD0" w:rsidP="00CB4C3C">
      <w:r>
        <w:t>Revenue Growth and Earnings Growth</w:t>
      </w:r>
    </w:p>
    <w:p w14:paraId="213ABE7A" w14:textId="77777777" w:rsidR="00CB4C3C" w:rsidRDefault="00CB4C3C" w:rsidP="00CB4C3C"/>
    <w:p w14:paraId="4ACB0A77" w14:textId="77777777" w:rsidR="00CB4C3C" w:rsidRDefault="00CB4C3C" w:rsidP="00CB4C3C"/>
    <w:p w14:paraId="183E39C0" w14:textId="77777777" w:rsidR="00CB4C3C" w:rsidRDefault="00CB4C3C" w:rsidP="00CB4C3C"/>
    <w:p w14:paraId="5D07B2E8" w14:textId="095B56F7" w:rsidR="00FF34D4" w:rsidRDefault="00000000">
      <w:pPr>
        <w:pStyle w:val="Heading3"/>
      </w:pPr>
      <w:r>
        <w:t>P/E Ratio</w:t>
      </w:r>
    </w:p>
    <w:bookmarkEnd w:id="0"/>
    <w:p w14:paraId="0B6759F5" w14:textId="77777777" w:rsidR="00FF34D4" w:rsidRDefault="00000000">
      <w:pPr>
        <w:pBdr>
          <w:top w:val="none" w:sz="4" w:space="0" w:color="000000"/>
          <w:left w:val="none" w:sz="4" w:space="0" w:color="000000"/>
          <w:bottom w:val="none" w:sz="4" w:space="0" w:color="000000"/>
          <w:right w:val="none" w:sz="4" w:space="0" w:color="000000"/>
        </w:pBdr>
        <w:rPr>
          <w:rFonts w:eastAsia="Skeena" w:cs="Skeena"/>
          <w:color w:val="000000"/>
          <w:szCs w:val="24"/>
        </w:rPr>
      </w:pPr>
      <w:r>
        <w:rPr>
          <w:rFonts w:eastAsia="Skeena" w:cs="Skeena"/>
          <w:color w:val="000000"/>
          <w:szCs w:val="24"/>
        </w:rPr>
        <w:t xml:space="preserve">The </w:t>
      </w:r>
      <w:r w:rsidRPr="00481E58">
        <w:rPr>
          <w:rFonts w:eastAsia="Skeena" w:cs="Skeena"/>
          <w:b/>
          <w:bCs/>
          <w:color w:val="000000"/>
          <w:szCs w:val="24"/>
        </w:rPr>
        <w:t>Price-to-Earnings (P/E) Ratio</w:t>
      </w:r>
      <w:r>
        <w:rPr>
          <w:rFonts w:eastAsia="Skeena" w:cs="Skeena"/>
          <w:color w:val="000000"/>
          <w:szCs w:val="24"/>
        </w:rPr>
        <w:t xml:space="preserve"> is a financial metric that measures a company's current share price relative to its per-share earnings. The formula for calculating the P/E Ratio is:</w:t>
      </w:r>
    </w:p>
    <w:p w14:paraId="1683FFB7" w14:textId="5F328473" w:rsidR="00125447" w:rsidRPr="005A434E" w:rsidRDefault="00125447">
      <w:pPr>
        <w:pBdr>
          <w:top w:val="none" w:sz="4" w:space="0" w:color="000000"/>
          <w:left w:val="none" w:sz="4" w:space="0" w:color="000000"/>
          <w:bottom w:val="none" w:sz="4" w:space="0" w:color="000000"/>
          <w:right w:val="none" w:sz="4" w:space="0" w:color="000000"/>
        </w:pBdr>
        <w:rPr>
          <w:rFonts w:cs="Skeena"/>
          <w:szCs w:val="24"/>
        </w:rPr>
      </w:pPr>
      <m:oMathPara>
        <m:oMath>
          <m:r>
            <w:rPr>
              <w:rFonts w:ascii="Cambria Math" w:hAnsi="Cambria Math" w:cs="Skeena"/>
              <w:szCs w:val="24"/>
            </w:rPr>
            <m:t xml:space="preserve">PE Ratio= </m:t>
          </m:r>
          <m:f>
            <m:fPr>
              <m:ctrlPr>
                <w:rPr>
                  <w:rFonts w:ascii="Cambria Math" w:hAnsi="Cambria Math" w:cs="Skeena"/>
                  <w:i/>
                  <w:szCs w:val="24"/>
                </w:rPr>
              </m:ctrlPr>
            </m:fPr>
            <m:num>
              <m:r>
                <w:rPr>
                  <w:rFonts w:ascii="Cambria Math" w:hAnsi="Cambria Math" w:cs="Skeena"/>
                  <w:szCs w:val="24"/>
                </w:rPr>
                <m:t>Market Price Per Share</m:t>
              </m:r>
            </m:num>
            <m:den>
              <m:r>
                <w:rPr>
                  <w:rFonts w:ascii="Cambria Math" w:hAnsi="Cambria Math" w:cs="Skeena"/>
                  <w:szCs w:val="24"/>
                </w:rPr>
                <m:t>Earnings Per Share (EPS)</m:t>
              </m:r>
            </m:den>
          </m:f>
        </m:oMath>
      </m:oMathPara>
    </w:p>
    <w:p w14:paraId="2A983F10" w14:textId="45852636" w:rsidR="005A434E" w:rsidRDefault="005A434E">
      <w:pPr>
        <w:pBdr>
          <w:top w:val="none" w:sz="4" w:space="0" w:color="000000"/>
          <w:left w:val="none" w:sz="4" w:space="0" w:color="000000"/>
          <w:bottom w:val="none" w:sz="4" w:space="0" w:color="000000"/>
          <w:right w:val="none" w:sz="4" w:space="0" w:color="000000"/>
        </w:pBdr>
        <w:rPr>
          <w:rFonts w:cs="Skeena"/>
          <w:szCs w:val="24"/>
        </w:rPr>
      </w:pPr>
      <w:r>
        <w:rPr>
          <w:rFonts w:cs="Skeena"/>
          <w:szCs w:val="24"/>
        </w:rPr>
        <w:t xml:space="preserve">where, </w:t>
      </w:r>
    </w:p>
    <w:p w14:paraId="79C28230" w14:textId="77777777" w:rsidR="00FF34D4" w:rsidRDefault="00000000">
      <w:pPr>
        <w:pStyle w:val="ListParagraph"/>
        <w:numPr>
          <w:ilvl w:val="0"/>
          <w:numId w:val="3"/>
        </w:numPr>
        <w:pBdr>
          <w:top w:val="none" w:sz="4" w:space="0" w:color="000000"/>
          <w:left w:val="none" w:sz="4" w:space="0" w:color="000000"/>
          <w:bottom w:val="none" w:sz="4" w:space="0" w:color="000000"/>
          <w:right w:val="none" w:sz="4" w:space="0" w:color="000000"/>
        </w:pBdr>
        <w:rPr>
          <w:rFonts w:cs="Skeena"/>
          <w:szCs w:val="24"/>
        </w:rPr>
      </w:pPr>
      <w:r>
        <w:rPr>
          <w:rFonts w:eastAsia="Skeena" w:cs="Skeena"/>
          <w:b/>
          <w:color w:val="000000"/>
          <w:szCs w:val="24"/>
        </w:rPr>
        <w:t>Market Price per Share</w:t>
      </w:r>
      <w:r>
        <w:rPr>
          <w:rFonts w:eastAsia="Skeena" w:cs="Skeena"/>
          <w:color w:val="000000"/>
          <w:szCs w:val="24"/>
        </w:rPr>
        <w:t>: The current market price of one share of the company's stock.</w:t>
      </w:r>
    </w:p>
    <w:p w14:paraId="36096C77" w14:textId="77777777" w:rsidR="00FF34D4" w:rsidRDefault="00000000">
      <w:pPr>
        <w:pStyle w:val="ListParagraph"/>
        <w:numPr>
          <w:ilvl w:val="0"/>
          <w:numId w:val="3"/>
        </w:numPr>
        <w:pBdr>
          <w:top w:val="none" w:sz="4" w:space="0" w:color="000000"/>
          <w:left w:val="none" w:sz="4" w:space="0" w:color="000000"/>
          <w:bottom w:val="none" w:sz="4" w:space="0" w:color="000000"/>
          <w:right w:val="none" w:sz="4" w:space="0" w:color="000000"/>
        </w:pBdr>
        <w:rPr>
          <w:rFonts w:cs="Skeena"/>
          <w:szCs w:val="24"/>
        </w:rPr>
      </w:pPr>
      <w:r>
        <w:rPr>
          <w:rFonts w:eastAsia="Skeena" w:cs="Skeena"/>
          <w:b/>
          <w:color w:val="000000"/>
          <w:szCs w:val="24"/>
        </w:rPr>
        <w:t>Earnings per Share (EPS)</w:t>
      </w:r>
      <w:r>
        <w:rPr>
          <w:rFonts w:eastAsia="Skeena" w:cs="Skeena"/>
          <w:color w:val="000000"/>
          <w:szCs w:val="24"/>
        </w:rPr>
        <w:t>: The company's earnings divided by the number of outstanding shares. EPS can be found in financial statements or calculated using net income and outstanding shares.</w:t>
      </w:r>
    </w:p>
    <w:p w14:paraId="2292E2FB" w14:textId="77777777" w:rsidR="00FF34D4" w:rsidRPr="00126BC0" w:rsidRDefault="00000000" w:rsidP="00126BC0">
      <w:pPr>
        <w:rPr>
          <w:b/>
          <w:bCs/>
        </w:rPr>
      </w:pPr>
      <w:r w:rsidRPr="00126BC0">
        <w:rPr>
          <w:b/>
          <w:bCs/>
        </w:rPr>
        <w:t>Interpretation</w:t>
      </w:r>
    </w:p>
    <w:p w14:paraId="781A712D" w14:textId="77777777" w:rsidR="00FF34D4" w:rsidRDefault="00000000">
      <w:pPr>
        <w:pStyle w:val="ListParagraph"/>
        <w:numPr>
          <w:ilvl w:val="0"/>
          <w:numId w:val="4"/>
        </w:numPr>
        <w:pBdr>
          <w:top w:val="none" w:sz="4" w:space="0" w:color="000000"/>
          <w:left w:val="none" w:sz="4" w:space="0" w:color="000000"/>
          <w:bottom w:val="none" w:sz="4" w:space="0" w:color="000000"/>
          <w:right w:val="none" w:sz="4" w:space="0" w:color="000000"/>
        </w:pBdr>
        <w:rPr>
          <w:rFonts w:cs="Skeena"/>
          <w:szCs w:val="24"/>
        </w:rPr>
      </w:pPr>
      <w:r>
        <w:rPr>
          <w:rFonts w:eastAsia="Skeena" w:cs="Skeena"/>
          <w:b/>
          <w:color w:val="000000"/>
          <w:szCs w:val="24"/>
        </w:rPr>
        <w:t>High P/E Ratio</w:t>
      </w:r>
      <w:r>
        <w:rPr>
          <w:rFonts w:eastAsia="Skeena" w:cs="Skeena"/>
          <w:color w:val="000000"/>
          <w:szCs w:val="24"/>
        </w:rPr>
        <w:t>: A high P/E ratio might indicate that the stock is overvalued, or investors are expecting high growth rates in the future.</w:t>
      </w:r>
    </w:p>
    <w:p w14:paraId="20835217" w14:textId="10E40720" w:rsidR="00FC247B" w:rsidRPr="00FC247B" w:rsidRDefault="00000000" w:rsidP="00FC247B">
      <w:pPr>
        <w:pStyle w:val="ListParagraph"/>
        <w:numPr>
          <w:ilvl w:val="0"/>
          <w:numId w:val="4"/>
        </w:numPr>
        <w:pBdr>
          <w:top w:val="none" w:sz="4" w:space="0" w:color="000000"/>
          <w:left w:val="none" w:sz="4" w:space="0" w:color="000000"/>
          <w:bottom w:val="none" w:sz="4" w:space="0" w:color="000000"/>
          <w:right w:val="none" w:sz="4" w:space="0" w:color="000000"/>
        </w:pBdr>
        <w:rPr>
          <w:rFonts w:cs="Skeena"/>
          <w:szCs w:val="24"/>
        </w:rPr>
      </w:pPr>
      <w:r>
        <w:rPr>
          <w:rFonts w:eastAsia="Skeena" w:cs="Skeena"/>
          <w:b/>
          <w:color w:val="000000"/>
          <w:szCs w:val="24"/>
        </w:rPr>
        <w:t>Low P/E Ratio</w:t>
      </w:r>
      <w:r>
        <w:rPr>
          <w:rFonts w:eastAsia="Skeena" w:cs="Skeena"/>
          <w:color w:val="000000"/>
          <w:szCs w:val="24"/>
        </w:rPr>
        <w:t>: A low P/E ratio might suggest that the stock is undervalued, or the company is experiencing difficulties. It could also indicate a mature company with stable earnings and slower growth prospects.</w:t>
      </w:r>
    </w:p>
    <w:p w14:paraId="7E560D20" w14:textId="77777777" w:rsidR="00FF34D4" w:rsidRDefault="00000000" w:rsidP="00125447">
      <w:pPr>
        <w:pStyle w:val="Heading4"/>
      </w:pPr>
      <w:r>
        <w:t>Python Code</w:t>
      </w:r>
    </w:p>
    <w:p w14:paraId="32F6FCC0" w14:textId="77777777" w:rsidR="00FC247B" w:rsidRPr="00FC247B" w:rsidRDefault="00FC247B">
      <w:pPr>
        <w:shd w:val="clear" w:color="auto" w:fill="F8F8FF"/>
        <w:rPr>
          <w:rFonts w:ascii="Consolas" w:hAnsi="Consolas"/>
          <w:sz w:val="20"/>
          <w:szCs w:val="18"/>
        </w:rPr>
      </w:pPr>
      <w:r w:rsidRPr="00FC247B">
        <w:rPr>
          <w:rFonts w:ascii="Consolas" w:hAnsi="Consolas" w:cs="Courier New"/>
          <w:color w:val="954121"/>
          <w:sz w:val="20"/>
          <w:szCs w:val="18"/>
        </w:rPr>
        <w:t>import</w:t>
      </w:r>
      <w:r w:rsidRPr="00FC247B">
        <w:rPr>
          <w:rFonts w:ascii="Consolas" w:hAnsi="Consolas" w:cs="Courier New"/>
          <w:color w:val="000000"/>
          <w:sz w:val="20"/>
          <w:szCs w:val="18"/>
        </w:rPr>
        <w:t xml:space="preserve"> yfinance </w:t>
      </w:r>
      <w:r w:rsidRPr="00FC247B">
        <w:rPr>
          <w:rFonts w:ascii="Consolas" w:hAnsi="Consolas" w:cs="Courier New"/>
          <w:color w:val="954121"/>
          <w:sz w:val="20"/>
          <w:szCs w:val="18"/>
        </w:rPr>
        <w:t>as</w:t>
      </w:r>
      <w:r w:rsidRPr="00FC247B">
        <w:rPr>
          <w:rFonts w:ascii="Consolas" w:hAnsi="Consolas" w:cs="Courier New"/>
          <w:color w:val="000000"/>
          <w:sz w:val="20"/>
          <w:szCs w:val="18"/>
        </w:rPr>
        <w:t xml:space="preserve"> yf</w:t>
      </w:r>
      <w:r w:rsidRPr="00FC247B">
        <w:rPr>
          <w:rFonts w:ascii="Consolas" w:hAnsi="Consolas" w:cs="Courier New"/>
          <w:color w:val="000000"/>
          <w:sz w:val="20"/>
          <w:szCs w:val="18"/>
        </w:rPr>
        <w:br/>
      </w:r>
      <w:r w:rsidRPr="00FC247B">
        <w:rPr>
          <w:rFonts w:ascii="Consolas" w:hAnsi="Consolas" w:cs="Courier New"/>
          <w:color w:val="954121"/>
          <w:sz w:val="20"/>
          <w:szCs w:val="18"/>
        </w:rPr>
        <w:t>import</w:t>
      </w:r>
      <w:r w:rsidRPr="00FC247B">
        <w:rPr>
          <w:rFonts w:ascii="Consolas" w:hAnsi="Consolas" w:cs="Courier New"/>
          <w:color w:val="000000"/>
          <w:sz w:val="20"/>
          <w:szCs w:val="18"/>
        </w:rPr>
        <w:t xml:space="preserve"> pandas </w:t>
      </w:r>
      <w:r w:rsidRPr="00FC247B">
        <w:rPr>
          <w:rFonts w:ascii="Consolas" w:hAnsi="Consolas" w:cs="Courier New"/>
          <w:color w:val="954121"/>
          <w:sz w:val="20"/>
          <w:szCs w:val="18"/>
        </w:rPr>
        <w:t>as</w:t>
      </w:r>
      <w:r w:rsidRPr="00FC247B">
        <w:rPr>
          <w:rFonts w:ascii="Consolas" w:hAnsi="Consolas" w:cs="Courier New"/>
          <w:color w:val="000000"/>
          <w:sz w:val="20"/>
          <w:szCs w:val="18"/>
        </w:rPr>
        <w:t xml:space="preserve"> pd</w:t>
      </w:r>
      <w:r w:rsidRPr="00FC247B">
        <w:rPr>
          <w:rFonts w:ascii="Consolas" w:hAnsi="Consolas" w:cs="Courier New"/>
          <w:color w:val="000000"/>
          <w:sz w:val="20"/>
          <w:szCs w:val="18"/>
        </w:rPr>
        <w:br/>
      </w:r>
      <w:r w:rsidRPr="00FC247B">
        <w:rPr>
          <w:rFonts w:ascii="Consolas" w:hAnsi="Consolas" w:cs="Courier New"/>
          <w:color w:val="954121"/>
          <w:sz w:val="20"/>
          <w:szCs w:val="18"/>
        </w:rPr>
        <w:t>from</w:t>
      </w:r>
      <w:r w:rsidRPr="00FC247B">
        <w:rPr>
          <w:rFonts w:ascii="Consolas" w:hAnsi="Consolas" w:cs="Courier New"/>
          <w:color w:val="000000"/>
          <w:sz w:val="20"/>
          <w:szCs w:val="18"/>
        </w:rPr>
        <w:t xml:space="preserve"> datetime </w:t>
      </w:r>
      <w:r w:rsidRPr="00FC247B">
        <w:rPr>
          <w:rFonts w:ascii="Consolas" w:hAnsi="Consolas" w:cs="Courier New"/>
          <w:color w:val="954121"/>
          <w:sz w:val="20"/>
          <w:szCs w:val="18"/>
        </w:rPr>
        <w:t>import</w:t>
      </w:r>
      <w:r w:rsidRPr="00FC247B">
        <w:rPr>
          <w:rFonts w:ascii="Consolas" w:hAnsi="Consolas" w:cs="Courier New"/>
          <w:color w:val="000000"/>
          <w:sz w:val="20"/>
          <w:szCs w:val="18"/>
        </w:rPr>
        <w:t xml:space="preserve"> datetime</w:t>
      </w:r>
      <w:r w:rsidRPr="00FC247B">
        <w:rPr>
          <w:rFonts w:ascii="Consolas" w:hAnsi="Consolas" w:cs="Courier New"/>
          <w:color w:val="000000"/>
          <w:sz w:val="20"/>
          <w:szCs w:val="18"/>
        </w:rPr>
        <w:br/>
      </w:r>
      <w:r w:rsidRPr="00FC247B">
        <w:rPr>
          <w:rFonts w:ascii="Consolas" w:hAnsi="Consolas" w:cs="Courier New"/>
          <w:color w:val="000000"/>
          <w:sz w:val="20"/>
          <w:szCs w:val="18"/>
        </w:rPr>
        <w:br/>
      </w:r>
      <w:r w:rsidRPr="00FC247B">
        <w:rPr>
          <w:rFonts w:ascii="Consolas" w:hAnsi="Consolas" w:cs="Courier New"/>
          <w:i/>
          <w:color w:val="408080"/>
          <w:sz w:val="20"/>
          <w:szCs w:val="18"/>
        </w:rPr>
        <w:t># Fetch Microsoft stock data for the past 5 years</w:t>
      </w:r>
      <w:r w:rsidRPr="00FC247B">
        <w:rPr>
          <w:rFonts w:ascii="Consolas" w:hAnsi="Consolas" w:cs="Courier New"/>
          <w:color w:val="000000"/>
          <w:sz w:val="20"/>
          <w:szCs w:val="18"/>
        </w:rPr>
        <w:br/>
        <w:t>msft = yf.Ticker(</w:t>
      </w:r>
      <w:r w:rsidRPr="00FC247B">
        <w:rPr>
          <w:rFonts w:ascii="Consolas" w:hAnsi="Consolas" w:cs="Courier New"/>
          <w:color w:val="219161"/>
          <w:sz w:val="20"/>
          <w:szCs w:val="18"/>
        </w:rPr>
        <w:t>"MSFT"</w:t>
      </w:r>
      <w:r w:rsidRPr="00FC247B">
        <w:rPr>
          <w:rFonts w:ascii="Consolas" w:hAnsi="Consolas" w:cs="Courier New"/>
          <w:color w:val="000000"/>
          <w:sz w:val="20"/>
          <w:szCs w:val="18"/>
        </w:rPr>
        <w:t>)</w:t>
      </w:r>
      <w:r w:rsidRPr="00FC247B">
        <w:rPr>
          <w:rFonts w:ascii="Consolas" w:hAnsi="Consolas" w:cs="Courier New"/>
          <w:color w:val="000000"/>
          <w:sz w:val="20"/>
          <w:szCs w:val="18"/>
        </w:rPr>
        <w:br/>
        <w:t>prices = msft.history(period=</w:t>
      </w:r>
      <w:r w:rsidRPr="00FC247B">
        <w:rPr>
          <w:rFonts w:ascii="Consolas" w:hAnsi="Consolas" w:cs="Courier New"/>
          <w:color w:val="219161"/>
          <w:sz w:val="20"/>
          <w:szCs w:val="18"/>
        </w:rPr>
        <w:t>"5y"</w:t>
      </w:r>
      <w:r w:rsidRPr="00FC247B">
        <w:rPr>
          <w:rFonts w:ascii="Consolas" w:hAnsi="Consolas" w:cs="Courier New"/>
          <w:color w:val="000000"/>
          <w:sz w:val="20"/>
          <w:szCs w:val="18"/>
        </w:rPr>
        <w:t>)</w:t>
      </w:r>
      <w:r w:rsidRPr="00FC247B">
        <w:rPr>
          <w:rFonts w:ascii="Consolas" w:hAnsi="Consolas" w:cs="Courier New"/>
          <w:color w:val="000000"/>
          <w:sz w:val="20"/>
          <w:szCs w:val="18"/>
        </w:rPr>
        <w:br/>
      </w:r>
      <w:r w:rsidRPr="00FC247B">
        <w:rPr>
          <w:rFonts w:ascii="Consolas" w:hAnsi="Consolas" w:cs="Courier New"/>
          <w:color w:val="000000"/>
          <w:sz w:val="20"/>
          <w:szCs w:val="18"/>
        </w:rPr>
        <w:br/>
      </w:r>
      <w:r w:rsidRPr="00FC247B">
        <w:rPr>
          <w:rFonts w:ascii="Consolas" w:hAnsi="Consolas" w:cs="Courier New"/>
          <w:i/>
          <w:color w:val="408080"/>
          <w:sz w:val="20"/>
          <w:szCs w:val="18"/>
        </w:rPr>
        <w:t># Fetch the quarterly earnings (net income) data from SEC filings or Yahoo Finance</w:t>
      </w:r>
      <w:r w:rsidRPr="00FC247B">
        <w:rPr>
          <w:rFonts w:ascii="Consolas" w:hAnsi="Consolas" w:cs="Courier New"/>
          <w:color w:val="000000"/>
          <w:sz w:val="20"/>
          <w:szCs w:val="18"/>
        </w:rPr>
        <w:br/>
      </w:r>
      <w:r w:rsidRPr="00FC247B">
        <w:rPr>
          <w:rFonts w:ascii="Consolas" w:hAnsi="Consolas" w:cs="Courier New"/>
          <w:color w:val="000000"/>
          <w:sz w:val="20"/>
          <w:szCs w:val="18"/>
        </w:rPr>
        <w:lastRenderedPageBreak/>
        <w:t>earnings = msft.earnings</w:t>
      </w:r>
      <w:r w:rsidRPr="00FC247B">
        <w:rPr>
          <w:rFonts w:ascii="Consolas" w:hAnsi="Consolas" w:cs="Courier New"/>
          <w:color w:val="000000"/>
          <w:sz w:val="20"/>
          <w:szCs w:val="18"/>
        </w:rPr>
        <w:br/>
      </w:r>
      <w:r w:rsidRPr="00FC247B">
        <w:rPr>
          <w:rFonts w:ascii="Consolas" w:hAnsi="Consolas" w:cs="Courier New"/>
          <w:color w:val="000000"/>
          <w:sz w:val="20"/>
          <w:szCs w:val="18"/>
        </w:rPr>
        <w:br/>
      </w:r>
      <w:r w:rsidRPr="00FC247B">
        <w:rPr>
          <w:rFonts w:ascii="Consolas" w:hAnsi="Consolas" w:cs="Courier New"/>
          <w:i/>
          <w:color w:val="408080"/>
          <w:sz w:val="20"/>
          <w:szCs w:val="18"/>
        </w:rPr>
        <w:t># Calculate annual EPS (Earnings per Share)</w:t>
      </w:r>
      <w:r w:rsidRPr="00FC247B">
        <w:rPr>
          <w:rFonts w:ascii="Consolas" w:hAnsi="Consolas" w:cs="Courier New"/>
          <w:color w:val="000000"/>
          <w:sz w:val="20"/>
          <w:szCs w:val="18"/>
        </w:rPr>
        <w:br/>
      </w:r>
      <w:r w:rsidRPr="00FC247B">
        <w:rPr>
          <w:rFonts w:ascii="Consolas" w:hAnsi="Consolas" w:cs="Courier New"/>
          <w:i/>
          <w:color w:val="408080"/>
          <w:sz w:val="20"/>
          <w:szCs w:val="18"/>
        </w:rPr>
        <w:t># Yahoo Finance gives annual earnings, we divide by number of shares to get EPS</w:t>
      </w:r>
      <w:r w:rsidRPr="00FC247B">
        <w:rPr>
          <w:rFonts w:ascii="Consolas" w:hAnsi="Consolas" w:cs="Courier New"/>
          <w:color w:val="000000"/>
          <w:sz w:val="20"/>
          <w:szCs w:val="18"/>
        </w:rPr>
        <w:br/>
        <w:t>annual_earnings = msft.financials.loc[</w:t>
      </w:r>
      <w:r w:rsidRPr="00FC247B">
        <w:rPr>
          <w:rFonts w:ascii="Consolas" w:hAnsi="Consolas" w:cs="Courier New"/>
          <w:color w:val="219161"/>
          <w:sz w:val="20"/>
          <w:szCs w:val="18"/>
        </w:rPr>
        <w:t>'Net Income'</w:t>
      </w:r>
      <w:r w:rsidRPr="00FC247B">
        <w:rPr>
          <w:rFonts w:ascii="Consolas" w:hAnsi="Consolas" w:cs="Courier New"/>
          <w:color w:val="000000"/>
          <w:sz w:val="20"/>
          <w:szCs w:val="18"/>
        </w:rPr>
        <w:t>]</w:t>
      </w:r>
      <w:r w:rsidRPr="00FC247B">
        <w:rPr>
          <w:rFonts w:ascii="Consolas" w:hAnsi="Consolas" w:cs="Courier New"/>
          <w:color w:val="000000"/>
          <w:sz w:val="20"/>
          <w:szCs w:val="18"/>
        </w:rPr>
        <w:br/>
        <w:t>shares_outstanding = msft.info[</w:t>
      </w:r>
      <w:r w:rsidRPr="00FC247B">
        <w:rPr>
          <w:rFonts w:ascii="Consolas" w:hAnsi="Consolas" w:cs="Courier New"/>
          <w:color w:val="219161"/>
          <w:sz w:val="20"/>
          <w:szCs w:val="18"/>
        </w:rPr>
        <w:t>'sharesOutstanding'</w:t>
      </w:r>
      <w:r w:rsidRPr="00FC247B">
        <w:rPr>
          <w:rFonts w:ascii="Consolas" w:hAnsi="Consolas" w:cs="Courier New"/>
          <w:color w:val="000000"/>
          <w:sz w:val="20"/>
          <w:szCs w:val="18"/>
        </w:rPr>
        <w:t>]</w:t>
      </w:r>
      <w:r w:rsidRPr="00FC247B">
        <w:rPr>
          <w:rFonts w:ascii="Consolas" w:hAnsi="Consolas" w:cs="Courier New"/>
          <w:color w:val="000000"/>
          <w:sz w:val="20"/>
          <w:szCs w:val="18"/>
        </w:rPr>
        <w:br/>
        <w:t>eps = annual_earnings / shares_outstanding</w:t>
      </w:r>
      <w:r w:rsidRPr="00FC247B">
        <w:rPr>
          <w:rFonts w:ascii="Consolas" w:hAnsi="Consolas" w:cs="Courier New"/>
          <w:color w:val="000000"/>
          <w:sz w:val="20"/>
          <w:szCs w:val="18"/>
        </w:rPr>
        <w:br/>
      </w:r>
      <w:r w:rsidRPr="00FC247B">
        <w:rPr>
          <w:rFonts w:ascii="Consolas" w:hAnsi="Consolas" w:cs="Courier New"/>
          <w:color w:val="000000"/>
          <w:sz w:val="20"/>
          <w:szCs w:val="18"/>
        </w:rPr>
        <w:br/>
      </w:r>
      <w:r w:rsidRPr="00FC247B">
        <w:rPr>
          <w:rFonts w:ascii="Consolas" w:hAnsi="Consolas" w:cs="Courier New"/>
          <w:i/>
          <w:color w:val="408080"/>
          <w:sz w:val="20"/>
          <w:szCs w:val="18"/>
        </w:rPr>
        <w:t># Prepare a DataFrame with the relevant data</w:t>
      </w:r>
      <w:r w:rsidRPr="00FC247B">
        <w:rPr>
          <w:rFonts w:ascii="Consolas" w:hAnsi="Consolas" w:cs="Courier New"/>
          <w:color w:val="000000"/>
          <w:sz w:val="20"/>
          <w:szCs w:val="18"/>
        </w:rPr>
        <w:br/>
        <w:t>pe_ratios = pd.DataFrame({</w:t>
      </w:r>
      <w:r w:rsidRPr="00FC247B">
        <w:rPr>
          <w:rFonts w:ascii="Consolas" w:hAnsi="Consolas" w:cs="Courier New"/>
          <w:color w:val="000000"/>
          <w:sz w:val="20"/>
          <w:szCs w:val="18"/>
        </w:rPr>
        <w:br/>
        <w:t xml:space="preserve">    </w:t>
      </w:r>
      <w:r w:rsidRPr="00FC247B">
        <w:rPr>
          <w:rFonts w:ascii="Consolas" w:hAnsi="Consolas" w:cs="Courier New"/>
          <w:color w:val="219161"/>
          <w:sz w:val="20"/>
          <w:szCs w:val="18"/>
        </w:rPr>
        <w:t>'Year'</w:t>
      </w:r>
      <w:r w:rsidRPr="00FC247B">
        <w:rPr>
          <w:rFonts w:ascii="Consolas" w:hAnsi="Consolas" w:cs="Courier New"/>
          <w:color w:val="000000"/>
          <w:sz w:val="20"/>
          <w:szCs w:val="18"/>
        </w:rPr>
        <w:t>: annual_earnings.index,</w:t>
      </w:r>
      <w:r w:rsidRPr="00FC247B">
        <w:rPr>
          <w:rFonts w:ascii="Consolas" w:hAnsi="Consolas" w:cs="Courier New"/>
          <w:color w:val="000000"/>
          <w:sz w:val="20"/>
          <w:szCs w:val="18"/>
        </w:rPr>
        <w:br/>
        <w:t xml:space="preserve">    </w:t>
      </w:r>
      <w:r w:rsidRPr="00FC247B">
        <w:rPr>
          <w:rFonts w:ascii="Consolas" w:hAnsi="Consolas" w:cs="Courier New"/>
          <w:color w:val="219161"/>
          <w:sz w:val="20"/>
          <w:szCs w:val="18"/>
        </w:rPr>
        <w:t>'Net Income'</w:t>
      </w:r>
      <w:r w:rsidRPr="00FC247B">
        <w:rPr>
          <w:rFonts w:ascii="Consolas" w:hAnsi="Consolas" w:cs="Courier New"/>
          <w:color w:val="000000"/>
          <w:sz w:val="20"/>
          <w:szCs w:val="18"/>
        </w:rPr>
        <w:t>: annual_earnings.values,</w:t>
      </w:r>
      <w:r w:rsidRPr="00FC247B">
        <w:rPr>
          <w:rFonts w:ascii="Consolas" w:hAnsi="Consolas" w:cs="Courier New"/>
          <w:color w:val="000000"/>
          <w:sz w:val="20"/>
          <w:szCs w:val="18"/>
        </w:rPr>
        <w:br/>
        <w:t xml:space="preserve">    </w:t>
      </w:r>
      <w:r w:rsidRPr="00FC247B">
        <w:rPr>
          <w:rFonts w:ascii="Consolas" w:hAnsi="Consolas" w:cs="Courier New"/>
          <w:color w:val="219161"/>
          <w:sz w:val="20"/>
          <w:szCs w:val="18"/>
        </w:rPr>
        <w:t>'Shares Outstanding'</w:t>
      </w:r>
      <w:r w:rsidRPr="00FC247B">
        <w:rPr>
          <w:rFonts w:ascii="Consolas" w:hAnsi="Consolas" w:cs="Courier New"/>
          <w:color w:val="000000"/>
          <w:sz w:val="20"/>
          <w:szCs w:val="18"/>
        </w:rPr>
        <w:t>: shares_outstanding,</w:t>
      </w:r>
      <w:r w:rsidRPr="00FC247B">
        <w:rPr>
          <w:rFonts w:ascii="Consolas" w:hAnsi="Consolas" w:cs="Courier New"/>
          <w:color w:val="000000"/>
          <w:sz w:val="20"/>
          <w:szCs w:val="18"/>
        </w:rPr>
        <w:br/>
        <w:t xml:space="preserve">    </w:t>
      </w:r>
      <w:r w:rsidRPr="00FC247B">
        <w:rPr>
          <w:rFonts w:ascii="Consolas" w:hAnsi="Consolas" w:cs="Courier New"/>
          <w:color w:val="219161"/>
          <w:sz w:val="20"/>
          <w:szCs w:val="18"/>
        </w:rPr>
        <w:t>'EPS'</w:t>
      </w:r>
      <w:r w:rsidRPr="00FC247B">
        <w:rPr>
          <w:rFonts w:ascii="Consolas" w:hAnsi="Consolas" w:cs="Courier New"/>
          <w:color w:val="000000"/>
          <w:sz w:val="20"/>
          <w:szCs w:val="18"/>
        </w:rPr>
        <w:t>: eps.values,</w:t>
      </w:r>
      <w:r w:rsidRPr="00FC247B">
        <w:rPr>
          <w:rFonts w:ascii="Consolas" w:hAnsi="Consolas" w:cs="Courier New"/>
          <w:color w:val="000000"/>
          <w:sz w:val="20"/>
          <w:szCs w:val="18"/>
        </w:rPr>
        <w:br/>
        <w:t xml:space="preserve">    </w:t>
      </w:r>
      <w:r w:rsidRPr="00FC247B">
        <w:rPr>
          <w:rFonts w:ascii="Consolas" w:hAnsi="Consolas" w:cs="Courier New"/>
          <w:color w:val="219161"/>
          <w:sz w:val="20"/>
          <w:szCs w:val="18"/>
        </w:rPr>
        <w:t>'Price per Share'</w:t>
      </w:r>
      <w:r w:rsidRPr="00FC247B">
        <w:rPr>
          <w:rFonts w:ascii="Consolas" w:hAnsi="Consolas" w:cs="Courier New"/>
          <w:color w:val="000000"/>
          <w:sz w:val="20"/>
          <w:szCs w:val="18"/>
        </w:rPr>
        <w:t>: prices[</w:t>
      </w:r>
      <w:r w:rsidRPr="00FC247B">
        <w:rPr>
          <w:rFonts w:ascii="Consolas" w:hAnsi="Consolas" w:cs="Courier New"/>
          <w:color w:val="219161"/>
          <w:sz w:val="20"/>
          <w:szCs w:val="18"/>
        </w:rPr>
        <w:t>'Close'</w:t>
      </w:r>
      <w:r w:rsidRPr="00FC247B">
        <w:rPr>
          <w:rFonts w:ascii="Consolas" w:hAnsi="Consolas" w:cs="Courier New"/>
          <w:color w:val="000000"/>
          <w:sz w:val="20"/>
          <w:szCs w:val="18"/>
        </w:rPr>
        <w:t>].resample(</w:t>
      </w:r>
      <w:r w:rsidRPr="00FC247B">
        <w:rPr>
          <w:rFonts w:ascii="Consolas" w:hAnsi="Consolas" w:cs="Courier New"/>
          <w:color w:val="219161"/>
          <w:sz w:val="20"/>
          <w:szCs w:val="18"/>
        </w:rPr>
        <w:t>'Y'</w:t>
      </w:r>
      <w:r w:rsidRPr="00FC247B">
        <w:rPr>
          <w:rFonts w:ascii="Consolas" w:hAnsi="Consolas" w:cs="Courier New"/>
          <w:color w:val="000000"/>
          <w:sz w:val="20"/>
          <w:szCs w:val="18"/>
        </w:rPr>
        <w:t xml:space="preserve">).last().values, </w:t>
      </w:r>
      <w:r w:rsidRPr="00FC247B">
        <w:rPr>
          <w:rFonts w:ascii="Consolas" w:hAnsi="Consolas" w:cs="Courier New"/>
          <w:i/>
          <w:color w:val="408080"/>
          <w:sz w:val="20"/>
          <w:szCs w:val="18"/>
        </w:rPr>
        <w:t># Get the last closing price of each year</w:t>
      </w:r>
      <w:r w:rsidRPr="00FC247B">
        <w:rPr>
          <w:rFonts w:ascii="Consolas" w:hAnsi="Consolas" w:cs="Courier New"/>
          <w:color w:val="000000"/>
          <w:sz w:val="20"/>
          <w:szCs w:val="18"/>
        </w:rPr>
        <w:br/>
        <w:t>})</w:t>
      </w:r>
      <w:r w:rsidRPr="00FC247B">
        <w:rPr>
          <w:rFonts w:ascii="Consolas" w:hAnsi="Consolas" w:cs="Courier New"/>
          <w:color w:val="000000"/>
          <w:sz w:val="20"/>
          <w:szCs w:val="18"/>
        </w:rPr>
        <w:br/>
      </w:r>
      <w:r w:rsidRPr="00FC247B">
        <w:rPr>
          <w:rFonts w:ascii="Consolas" w:hAnsi="Consolas" w:cs="Courier New"/>
          <w:color w:val="000000"/>
          <w:sz w:val="20"/>
          <w:szCs w:val="18"/>
        </w:rPr>
        <w:br/>
      </w:r>
      <w:r w:rsidRPr="00FC247B">
        <w:rPr>
          <w:rFonts w:ascii="Consolas" w:hAnsi="Consolas" w:cs="Courier New"/>
          <w:i/>
          <w:color w:val="408080"/>
          <w:sz w:val="20"/>
          <w:szCs w:val="18"/>
        </w:rPr>
        <w:t># Calculate the P/E Ratio</w:t>
      </w:r>
      <w:r w:rsidRPr="00FC247B">
        <w:rPr>
          <w:rFonts w:ascii="Consolas" w:hAnsi="Consolas" w:cs="Courier New"/>
          <w:color w:val="000000"/>
          <w:sz w:val="20"/>
          <w:szCs w:val="18"/>
        </w:rPr>
        <w:br/>
        <w:t>pe_ratios[</w:t>
      </w:r>
      <w:r w:rsidRPr="00FC247B">
        <w:rPr>
          <w:rFonts w:ascii="Consolas" w:hAnsi="Consolas" w:cs="Courier New"/>
          <w:color w:val="219161"/>
          <w:sz w:val="20"/>
          <w:szCs w:val="18"/>
        </w:rPr>
        <w:t>'P/E Ratio'</w:t>
      </w:r>
      <w:r w:rsidRPr="00FC247B">
        <w:rPr>
          <w:rFonts w:ascii="Consolas" w:hAnsi="Consolas" w:cs="Courier New"/>
          <w:color w:val="000000"/>
          <w:sz w:val="20"/>
          <w:szCs w:val="18"/>
        </w:rPr>
        <w:t>] = pe_ratios[</w:t>
      </w:r>
      <w:r w:rsidRPr="00FC247B">
        <w:rPr>
          <w:rFonts w:ascii="Consolas" w:hAnsi="Consolas" w:cs="Courier New"/>
          <w:color w:val="219161"/>
          <w:sz w:val="20"/>
          <w:szCs w:val="18"/>
        </w:rPr>
        <w:t>'Price per Share'</w:t>
      </w:r>
      <w:r w:rsidRPr="00FC247B">
        <w:rPr>
          <w:rFonts w:ascii="Consolas" w:hAnsi="Consolas" w:cs="Courier New"/>
          <w:color w:val="000000"/>
          <w:sz w:val="20"/>
          <w:szCs w:val="18"/>
        </w:rPr>
        <w:t>] / pe_ratios[</w:t>
      </w:r>
      <w:r w:rsidRPr="00FC247B">
        <w:rPr>
          <w:rFonts w:ascii="Consolas" w:hAnsi="Consolas" w:cs="Courier New"/>
          <w:color w:val="219161"/>
          <w:sz w:val="20"/>
          <w:szCs w:val="18"/>
        </w:rPr>
        <w:t>'EPS'</w:t>
      </w:r>
      <w:r w:rsidRPr="00FC247B">
        <w:rPr>
          <w:rFonts w:ascii="Consolas" w:hAnsi="Consolas" w:cs="Courier New"/>
          <w:color w:val="000000"/>
          <w:sz w:val="20"/>
          <w:szCs w:val="18"/>
        </w:rPr>
        <w:t>]</w:t>
      </w:r>
      <w:r w:rsidRPr="00FC247B">
        <w:rPr>
          <w:rFonts w:ascii="Consolas" w:hAnsi="Consolas" w:cs="Courier New"/>
          <w:color w:val="000000"/>
          <w:sz w:val="20"/>
          <w:szCs w:val="18"/>
        </w:rPr>
        <w:br/>
      </w:r>
      <w:r w:rsidRPr="00FC247B">
        <w:rPr>
          <w:rFonts w:ascii="Consolas" w:hAnsi="Consolas" w:cs="Courier New"/>
          <w:color w:val="000000"/>
          <w:sz w:val="20"/>
          <w:szCs w:val="18"/>
        </w:rPr>
        <w:br/>
      </w:r>
      <w:r w:rsidRPr="00FC247B">
        <w:rPr>
          <w:rFonts w:ascii="Consolas" w:hAnsi="Consolas" w:cs="Courier New"/>
          <w:i/>
          <w:color w:val="408080"/>
          <w:sz w:val="20"/>
          <w:szCs w:val="18"/>
        </w:rPr>
        <w:t># Display the P/E Ratios</w:t>
      </w:r>
      <w:r w:rsidRPr="00FC247B">
        <w:rPr>
          <w:rFonts w:ascii="Consolas" w:hAnsi="Consolas" w:cs="Courier New"/>
          <w:color w:val="000000"/>
          <w:sz w:val="20"/>
          <w:szCs w:val="18"/>
        </w:rPr>
        <w:br/>
      </w:r>
      <w:r w:rsidRPr="00FC247B">
        <w:rPr>
          <w:rFonts w:ascii="Consolas" w:hAnsi="Consolas" w:cs="Courier New"/>
          <w:color w:val="954121"/>
          <w:sz w:val="20"/>
          <w:szCs w:val="18"/>
        </w:rPr>
        <w:t>import</w:t>
      </w:r>
      <w:r w:rsidRPr="00FC247B">
        <w:rPr>
          <w:rFonts w:ascii="Consolas" w:hAnsi="Consolas" w:cs="Courier New"/>
          <w:color w:val="000000"/>
          <w:sz w:val="20"/>
          <w:szCs w:val="18"/>
        </w:rPr>
        <w:t xml:space="preserve"> ace_tools </w:t>
      </w:r>
      <w:r w:rsidRPr="00FC247B">
        <w:rPr>
          <w:rFonts w:ascii="Consolas" w:hAnsi="Consolas" w:cs="Courier New"/>
          <w:color w:val="954121"/>
          <w:sz w:val="20"/>
          <w:szCs w:val="18"/>
        </w:rPr>
        <w:t>as</w:t>
      </w:r>
      <w:r w:rsidRPr="00FC247B">
        <w:rPr>
          <w:rFonts w:ascii="Consolas" w:hAnsi="Consolas" w:cs="Courier New"/>
          <w:color w:val="000000"/>
          <w:sz w:val="20"/>
          <w:szCs w:val="18"/>
        </w:rPr>
        <w:t xml:space="preserve"> tools; tools.display_dataframe_to_user(name=</w:t>
      </w:r>
      <w:r w:rsidRPr="00FC247B">
        <w:rPr>
          <w:rFonts w:ascii="Consolas" w:hAnsi="Consolas" w:cs="Courier New"/>
          <w:color w:val="219161"/>
          <w:sz w:val="20"/>
          <w:szCs w:val="18"/>
        </w:rPr>
        <w:t>"Microsoft P/E Ratios Over 5 Years"</w:t>
      </w:r>
      <w:r w:rsidRPr="00FC247B">
        <w:rPr>
          <w:rFonts w:ascii="Consolas" w:hAnsi="Consolas" w:cs="Courier New"/>
          <w:color w:val="000000"/>
          <w:sz w:val="20"/>
          <w:szCs w:val="18"/>
        </w:rPr>
        <w:t>, dataframe=pe_ratios)</w:t>
      </w:r>
    </w:p>
    <w:p w14:paraId="217E877C" w14:textId="42C8F8A0" w:rsidR="00FC247B" w:rsidRPr="00FC247B" w:rsidRDefault="00FC247B" w:rsidP="00FC247B"/>
    <w:p w14:paraId="01663AC5" w14:textId="77777777" w:rsidR="00993759" w:rsidRPr="00993759" w:rsidRDefault="00000000" w:rsidP="00993759">
      <w:pPr>
        <w:rPr>
          <w:b/>
          <w:bCs/>
          <w:lang w:val="en-IN"/>
        </w:rPr>
      </w:pPr>
      <w:r w:rsidRPr="00993759">
        <w:t> </w:t>
      </w:r>
      <w:r w:rsidR="00993759" w:rsidRPr="00993759">
        <w:rPr>
          <w:b/>
          <w:bCs/>
          <w:lang w:val="en-IN"/>
        </w:rPr>
        <w:t>Explanation</w:t>
      </w:r>
    </w:p>
    <w:p w14:paraId="49E9413A" w14:textId="77777777" w:rsidR="00993759" w:rsidRPr="00993759" w:rsidRDefault="00993759" w:rsidP="00993759">
      <w:pPr>
        <w:numPr>
          <w:ilvl w:val="0"/>
          <w:numId w:val="6"/>
        </w:numPr>
        <w:rPr>
          <w:lang w:val="en-IN"/>
        </w:rPr>
      </w:pPr>
      <w:r w:rsidRPr="00993759">
        <w:rPr>
          <w:b/>
          <w:bCs/>
          <w:lang w:val="en-IN"/>
        </w:rPr>
        <w:t>Stock Price Data</w:t>
      </w:r>
      <w:r w:rsidRPr="00993759">
        <w:rPr>
          <w:lang w:val="en-IN"/>
        </w:rPr>
        <w:t>: The code uses yfinance to get historical price data for Microsoft for the last 5 years.</w:t>
      </w:r>
    </w:p>
    <w:p w14:paraId="1478279D" w14:textId="77777777" w:rsidR="00993759" w:rsidRPr="00993759" w:rsidRDefault="00993759" w:rsidP="00993759">
      <w:pPr>
        <w:numPr>
          <w:ilvl w:val="0"/>
          <w:numId w:val="6"/>
        </w:numPr>
        <w:rPr>
          <w:lang w:val="en-IN"/>
        </w:rPr>
      </w:pPr>
      <w:r w:rsidRPr="00993759">
        <w:rPr>
          <w:b/>
          <w:bCs/>
          <w:lang w:val="en-IN"/>
        </w:rPr>
        <w:t>Earnings Data</w:t>
      </w:r>
      <w:r w:rsidRPr="00993759">
        <w:rPr>
          <w:lang w:val="en-IN"/>
        </w:rPr>
        <w:t>: It fetches annual net income data and divides by the number of shares outstanding to calculate EPS.</w:t>
      </w:r>
    </w:p>
    <w:p w14:paraId="6094734C" w14:textId="77777777" w:rsidR="00993759" w:rsidRPr="00993759" w:rsidRDefault="00993759" w:rsidP="00993759">
      <w:pPr>
        <w:numPr>
          <w:ilvl w:val="0"/>
          <w:numId w:val="6"/>
        </w:numPr>
        <w:rPr>
          <w:lang w:val="en-IN"/>
        </w:rPr>
      </w:pPr>
      <w:r w:rsidRPr="00993759">
        <w:rPr>
          <w:b/>
          <w:bCs/>
          <w:lang w:val="en-IN"/>
        </w:rPr>
        <w:t>P/E Calculation</w:t>
      </w:r>
      <w:r w:rsidRPr="00993759">
        <w:rPr>
          <w:lang w:val="en-IN"/>
        </w:rPr>
        <w:t>: It calculates the P/E Ratio by dividing the closing stock price by the EPS for each year.</w:t>
      </w:r>
    </w:p>
    <w:p w14:paraId="3A180C77" w14:textId="77777777" w:rsidR="00993759" w:rsidRPr="00993759" w:rsidRDefault="00993759" w:rsidP="00993759">
      <w:pPr>
        <w:numPr>
          <w:ilvl w:val="0"/>
          <w:numId w:val="6"/>
        </w:numPr>
        <w:rPr>
          <w:lang w:val="en-IN"/>
        </w:rPr>
      </w:pPr>
      <w:r w:rsidRPr="00993759">
        <w:rPr>
          <w:b/>
          <w:bCs/>
          <w:lang w:val="en-IN"/>
        </w:rPr>
        <w:t>Output</w:t>
      </w:r>
      <w:r w:rsidRPr="00993759">
        <w:rPr>
          <w:lang w:val="en-IN"/>
        </w:rPr>
        <w:t>: The results are displayed in a DataFrame with columns for Year, Net Income, Shares Outstanding, EPS, Price per Share, and the P/E Ratio.</w:t>
      </w:r>
    </w:p>
    <w:p w14:paraId="47A3139C" w14:textId="77777777" w:rsidR="00993759" w:rsidRDefault="00993759" w:rsidP="00993759">
      <w:pPr>
        <w:rPr>
          <w:lang w:val="en-IN"/>
        </w:rPr>
      </w:pPr>
      <w:r w:rsidRPr="00993759">
        <w:rPr>
          <w:lang w:val="en-IN"/>
        </w:rPr>
        <w:t>To execute this code, ensure you have the yfinance package installed and access to relevant financial data for accuracy.</w:t>
      </w:r>
    </w:p>
    <w:p w14:paraId="21E762DD" w14:textId="5518A2F9" w:rsidR="003967EF" w:rsidRPr="003967EF" w:rsidRDefault="003967EF" w:rsidP="003967EF">
      <w:pPr>
        <w:pStyle w:val="Heading3"/>
      </w:pPr>
      <w:r w:rsidRPr="003967EF">
        <w:t>Dividend Yield</w:t>
      </w:r>
      <w:r>
        <w:t xml:space="preserve"> and Dividend Payout Ratio</w:t>
      </w:r>
    </w:p>
    <w:p w14:paraId="227A028F" w14:textId="2710C2DF" w:rsidR="003967EF" w:rsidRDefault="003967EF" w:rsidP="003967EF">
      <w:pPr>
        <w:pStyle w:val="ListParagraph"/>
        <w:numPr>
          <w:ilvl w:val="0"/>
          <w:numId w:val="9"/>
        </w:numPr>
        <w:rPr>
          <w:lang w:val="en-IN"/>
        </w:rPr>
      </w:pPr>
      <w:r w:rsidRPr="003967EF">
        <w:rPr>
          <w:lang w:val="en-IN"/>
        </w:rPr>
        <w:t xml:space="preserve">The </w:t>
      </w:r>
      <w:r w:rsidRPr="003967EF">
        <w:rPr>
          <w:b/>
          <w:bCs/>
          <w:lang w:val="en-IN"/>
        </w:rPr>
        <w:t>Dividend Yield</w:t>
      </w:r>
      <w:r w:rsidRPr="003967EF">
        <w:rPr>
          <w:lang w:val="en-IN"/>
        </w:rPr>
        <w:t xml:space="preserve"> measures how much a company pays out in dividends each year relative to its stock price. It is calculated using the following formula:</w:t>
      </w:r>
    </w:p>
    <w:p w14:paraId="3C5769D4" w14:textId="7D50C69A" w:rsidR="003967EF" w:rsidRPr="003967EF" w:rsidRDefault="003967EF" w:rsidP="003967EF">
      <w:pPr>
        <w:pStyle w:val="ListParagraph"/>
        <w:rPr>
          <w:lang w:val="en-IN"/>
        </w:rPr>
      </w:pPr>
      <m:oMathPara>
        <m:oMath>
          <m:r>
            <w:rPr>
              <w:rFonts w:ascii="Cambria Math" w:hAnsi="Cambria Math"/>
              <w:lang w:val="en-IN"/>
            </w:rPr>
            <m:t xml:space="preserve">Dividend Yield= </m:t>
          </m:r>
          <m:f>
            <m:fPr>
              <m:ctrlPr>
                <w:rPr>
                  <w:rFonts w:ascii="Cambria Math" w:hAnsi="Cambria Math"/>
                  <w:i/>
                  <w:lang w:val="en-IN"/>
                </w:rPr>
              </m:ctrlPr>
            </m:fPr>
            <m:num>
              <m:r>
                <w:rPr>
                  <w:rFonts w:ascii="Cambria Math" w:hAnsi="Cambria Math"/>
                  <w:lang w:val="en-IN"/>
                </w:rPr>
                <m:t>Annual Dividends Per Share</m:t>
              </m:r>
            </m:num>
            <m:den>
              <m:r>
                <w:rPr>
                  <w:rFonts w:ascii="Cambria Math" w:hAnsi="Cambria Math"/>
                  <w:lang w:val="en-IN"/>
                </w:rPr>
                <m:t>Market Price Per Share</m:t>
              </m:r>
            </m:den>
          </m:f>
        </m:oMath>
      </m:oMathPara>
    </w:p>
    <w:p w14:paraId="36358D47" w14:textId="344B5C44" w:rsidR="003967EF" w:rsidRPr="003967EF" w:rsidRDefault="003967EF" w:rsidP="003967EF">
      <w:pPr>
        <w:ind w:left="720"/>
        <w:rPr>
          <w:lang w:val="en-IN"/>
        </w:rPr>
      </w:pPr>
      <w:r w:rsidRPr="003967EF">
        <w:rPr>
          <w:lang w:val="en-IN"/>
        </w:rPr>
        <w:t xml:space="preserve">where, </w:t>
      </w:r>
    </w:p>
    <w:p w14:paraId="2B3B8FEF" w14:textId="77777777" w:rsidR="003967EF" w:rsidRPr="003967EF" w:rsidRDefault="003967EF" w:rsidP="003967EF">
      <w:pPr>
        <w:pStyle w:val="ListParagraph"/>
        <w:numPr>
          <w:ilvl w:val="1"/>
          <w:numId w:val="10"/>
        </w:numPr>
        <w:pBdr>
          <w:top w:val="none" w:sz="4" w:space="0" w:color="000000"/>
          <w:left w:val="none" w:sz="4" w:space="0" w:color="000000"/>
          <w:bottom w:val="none" w:sz="4" w:space="0" w:color="000000"/>
          <w:right w:val="none" w:sz="4" w:space="0" w:color="000000"/>
        </w:pBdr>
        <w:rPr>
          <w:rFonts w:eastAsia="Skeena" w:cs="Skeena"/>
          <w:b/>
          <w:color w:val="000000"/>
          <w:szCs w:val="24"/>
        </w:rPr>
      </w:pPr>
      <w:r w:rsidRPr="003967EF">
        <w:rPr>
          <w:rFonts w:eastAsia="Skeena" w:cs="Skeena"/>
          <w:b/>
          <w:color w:val="000000"/>
          <w:szCs w:val="24"/>
        </w:rPr>
        <w:t xml:space="preserve">Annual Dividends per Share: </w:t>
      </w:r>
      <w:r w:rsidRPr="003967EF">
        <w:rPr>
          <w:rFonts w:eastAsia="Skeena" w:cs="Skeena"/>
          <w:bCs/>
          <w:color w:val="000000"/>
          <w:szCs w:val="24"/>
        </w:rPr>
        <w:t>The total dividends paid per share over a year.</w:t>
      </w:r>
    </w:p>
    <w:p w14:paraId="270D931A" w14:textId="77777777" w:rsidR="003967EF" w:rsidRPr="003967EF" w:rsidRDefault="003967EF" w:rsidP="003967EF">
      <w:pPr>
        <w:pStyle w:val="ListParagraph"/>
        <w:numPr>
          <w:ilvl w:val="1"/>
          <w:numId w:val="10"/>
        </w:numPr>
        <w:pBdr>
          <w:top w:val="none" w:sz="4" w:space="0" w:color="000000"/>
          <w:left w:val="none" w:sz="4" w:space="0" w:color="000000"/>
          <w:bottom w:val="none" w:sz="4" w:space="0" w:color="000000"/>
          <w:right w:val="none" w:sz="4" w:space="0" w:color="000000"/>
        </w:pBdr>
        <w:rPr>
          <w:rFonts w:eastAsia="Skeena" w:cs="Skeena"/>
          <w:b/>
          <w:color w:val="000000"/>
          <w:szCs w:val="24"/>
        </w:rPr>
      </w:pPr>
      <w:r w:rsidRPr="003967EF">
        <w:rPr>
          <w:rFonts w:eastAsia="Skeena" w:cs="Skeena"/>
          <w:b/>
          <w:color w:val="000000"/>
          <w:szCs w:val="24"/>
        </w:rPr>
        <w:lastRenderedPageBreak/>
        <w:t xml:space="preserve">Market Price per Share: </w:t>
      </w:r>
      <w:r w:rsidRPr="003967EF">
        <w:rPr>
          <w:rFonts w:eastAsia="Skeena" w:cs="Skeena"/>
          <w:bCs/>
          <w:color w:val="000000"/>
          <w:szCs w:val="24"/>
        </w:rPr>
        <w:t>The current market price of one share of the company's stock.</w:t>
      </w:r>
    </w:p>
    <w:p w14:paraId="4ED106AA" w14:textId="09437B27" w:rsidR="003967EF" w:rsidRDefault="003967EF" w:rsidP="003967EF">
      <w:pPr>
        <w:pStyle w:val="ListParagraph"/>
        <w:numPr>
          <w:ilvl w:val="0"/>
          <w:numId w:val="9"/>
        </w:numPr>
        <w:rPr>
          <w:lang w:val="en-IN"/>
        </w:rPr>
      </w:pPr>
      <w:r w:rsidRPr="003967EF">
        <w:rPr>
          <w:lang w:val="en-IN"/>
        </w:rPr>
        <w:t xml:space="preserve">The </w:t>
      </w:r>
      <w:r w:rsidRPr="003967EF">
        <w:rPr>
          <w:b/>
          <w:bCs/>
          <w:lang w:val="en-IN"/>
        </w:rPr>
        <w:t>Dividend Payout Ratio</w:t>
      </w:r>
      <w:r w:rsidRPr="003967EF">
        <w:rPr>
          <w:lang w:val="en-IN"/>
        </w:rPr>
        <w:t>: This ratio shows the percentage of earnings distributed to shareholders in the form of dividends. It is calculated as:</w:t>
      </w:r>
    </w:p>
    <w:p w14:paraId="745C6D5F" w14:textId="5CF8E842" w:rsidR="00126BC0" w:rsidRPr="00126BC0" w:rsidRDefault="00126BC0" w:rsidP="00126BC0">
      <w:pPr>
        <w:rPr>
          <w:lang w:val="en-IN"/>
        </w:rPr>
      </w:pPr>
      <m:oMathPara>
        <m:oMath>
          <m:r>
            <w:rPr>
              <w:rFonts w:ascii="Cambria Math" w:hAnsi="Cambria Math"/>
              <w:lang w:val="en-IN"/>
            </w:rPr>
            <m:t xml:space="preserve">Divident Payout Ratio= </m:t>
          </m:r>
          <m:f>
            <m:fPr>
              <m:ctrlPr>
                <w:rPr>
                  <w:rFonts w:ascii="Cambria Math" w:hAnsi="Cambria Math"/>
                  <w:i/>
                  <w:lang w:val="en-IN"/>
                </w:rPr>
              </m:ctrlPr>
            </m:fPr>
            <m:num>
              <m:r>
                <w:rPr>
                  <w:rFonts w:ascii="Cambria Math" w:hAnsi="Cambria Math"/>
                  <w:lang w:val="en-IN"/>
                </w:rPr>
                <m:t>Total Dividends Paid</m:t>
              </m:r>
            </m:num>
            <m:den>
              <m:r>
                <w:rPr>
                  <w:rFonts w:ascii="Cambria Math" w:hAnsi="Cambria Math"/>
                  <w:lang w:val="en-IN"/>
                </w:rPr>
                <m:t>Net Income</m:t>
              </m:r>
            </m:den>
          </m:f>
        </m:oMath>
      </m:oMathPara>
    </w:p>
    <w:p w14:paraId="325046DC" w14:textId="59AB0AAF" w:rsidR="003967EF" w:rsidRPr="003967EF" w:rsidRDefault="003967EF" w:rsidP="003967EF">
      <w:pPr>
        <w:pStyle w:val="ListParagraph"/>
        <w:numPr>
          <w:ilvl w:val="0"/>
          <w:numId w:val="9"/>
        </w:numPr>
        <w:rPr>
          <w:lang w:val="en-IN"/>
        </w:rPr>
      </w:pPr>
      <w:r w:rsidRPr="003967EF">
        <w:rPr>
          <w:lang w:val="en-IN"/>
        </w:rPr>
        <w:t>where</w:t>
      </w:r>
    </w:p>
    <w:p w14:paraId="56B3F354" w14:textId="77777777" w:rsidR="003967EF" w:rsidRPr="003967EF" w:rsidRDefault="003967EF" w:rsidP="003967EF">
      <w:pPr>
        <w:pStyle w:val="ListParagraph"/>
        <w:numPr>
          <w:ilvl w:val="0"/>
          <w:numId w:val="9"/>
        </w:numPr>
        <w:rPr>
          <w:lang w:val="en-IN"/>
        </w:rPr>
      </w:pPr>
      <w:r w:rsidRPr="003967EF">
        <w:rPr>
          <w:b/>
          <w:bCs/>
          <w:lang w:val="en-IN"/>
        </w:rPr>
        <w:t>Total Dividends Paid</w:t>
      </w:r>
      <w:r w:rsidRPr="003967EF">
        <w:rPr>
          <w:lang w:val="en-IN"/>
        </w:rPr>
        <w:t>: The sum of all dividends paid to shareholders during the period.</w:t>
      </w:r>
    </w:p>
    <w:p w14:paraId="508ACD75" w14:textId="77777777" w:rsidR="003967EF" w:rsidRPr="003967EF" w:rsidRDefault="003967EF" w:rsidP="003967EF">
      <w:pPr>
        <w:pStyle w:val="ListParagraph"/>
        <w:numPr>
          <w:ilvl w:val="0"/>
          <w:numId w:val="9"/>
        </w:numPr>
        <w:rPr>
          <w:lang w:val="en-IN"/>
        </w:rPr>
      </w:pPr>
      <w:r w:rsidRPr="003967EF">
        <w:rPr>
          <w:b/>
          <w:bCs/>
          <w:lang w:val="en-IN"/>
        </w:rPr>
        <w:t>Net Income</w:t>
      </w:r>
      <w:r w:rsidRPr="003967EF">
        <w:rPr>
          <w:lang w:val="en-IN"/>
        </w:rPr>
        <w:t>: The company's total earnings (after taxes and expenses).</w:t>
      </w:r>
    </w:p>
    <w:p w14:paraId="77F8E994" w14:textId="77777777" w:rsidR="003967EF" w:rsidRPr="003967EF" w:rsidRDefault="003967EF" w:rsidP="003967EF">
      <w:pPr>
        <w:rPr>
          <w:b/>
          <w:bCs/>
          <w:lang w:val="en-IN"/>
        </w:rPr>
      </w:pPr>
      <w:r w:rsidRPr="003967EF">
        <w:rPr>
          <w:b/>
          <w:bCs/>
          <w:lang w:val="en-IN"/>
        </w:rPr>
        <w:t>Interpretation</w:t>
      </w:r>
    </w:p>
    <w:p w14:paraId="2325B812" w14:textId="77777777" w:rsidR="003967EF" w:rsidRPr="003967EF" w:rsidRDefault="003967EF" w:rsidP="003967EF">
      <w:pPr>
        <w:numPr>
          <w:ilvl w:val="0"/>
          <w:numId w:val="8"/>
        </w:numPr>
        <w:rPr>
          <w:lang w:val="en-IN"/>
        </w:rPr>
      </w:pPr>
      <w:r w:rsidRPr="003967EF">
        <w:rPr>
          <w:b/>
          <w:bCs/>
          <w:lang w:val="en-IN"/>
        </w:rPr>
        <w:t>Dividend Yield</w:t>
      </w:r>
      <w:r w:rsidRPr="003967EF">
        <w:rPr>
          <w:lang w:val="en-IN"/>
        </w:rPr>
        <w:t>:</w:t>
      </w:r>
    </w:p>
    <w:p w14:paraId="79135431" w14:textId="77777777" w:rsidR="003967EF" w:rsidRPr="003967EF" w:rsidRDefault="003967EF" w:rsidP="003967EF">
      <w:pPr>
        <w:numPr>
          <w:ilvl w:val="1"/>
          <w:numId w:val="8"/>
        </w:numPr>
        <w:rPr>
          <w:lang w:val="en-IN"/>
        </w:rPr>
      </w:pPr>
      <w:r w:rsidRPr="003967EF">
        <w:rPr>
          <w:lang w:val="en-IN"/>
        </w:rPr>
        <w:t xml:space="preserve">A </w:t>
      </w:r>
      <w:r w:rsidRPr="003967EF">
        <w:rPr>
          <w:b/>
          <w:bCs/>
          <w:lang w:val="en-IN"/>
        </w:rPr>
        <w:t>high dividend yield</w:t>
      </w:r>
      <w:r w:rsidRPr="003967EF">
        <w:rPr>
          <w:lang w:val="en-IN"/>
        </w:rPr>
        <w:t xml:space="preserve"> might indicate a good income stream but could also suggest that the stock price is depressed or the dividend is unsustainable.</w:t>
      </w:r>
    </w:p>
    <w:p w14:paraId="7591CAD7" w14:textId="77777777" w:rsidR="003967EF" w:rsidRPr="003967EF" w:rsidRDefault="003967EF" w:rsidP="003967EF">
      <w:pPr>
        <w:numPr>
          <w:ilvl w:val="1"/>
          <w:numId w:val="8"/>
        </w:numPr>
        <w:rPr>
          <w:lang w:val="en-IN"/>
        </w:rPr>
      </w:pPr>
      <w:r w:rsidRPr="003967EF">
        <w:rPr>
          <w:lang w:val="en-IN"/>
        </w:rPr>
        <w:t xml:space="preserve">A </w:t>
      </w:r>
      <w:r w:rsidRPr="003967EF">
        <w:rPr>
          <w:b/>
          <w:bCs/>
          <w:lang w:val="en-IN"/>
        </w:rPr>
        <w:t>low dividend yield</w:t>
      </w:r>
      <w:r w:rsidRPr="003967EF">
        <w:rPr>
          <w:lang w:val="en-IN"/>
        </w:rPr>
        <w:t xml:space="preserve"> might suggest a focus on reinvestment into the company rather than paying dividends.</w:t>
      </w:r>
    </w:p>
    <w:p w14:paraId="751FA1CC" w14:textId="77777777" w:rsidR="003967EF" w:rsidRPr="003967EF" w:rsidRDefault="003967EF" w:rsidP="003967EF">
      <w:pPr>
        <w:numPr>
          <w:ilvl w:val="0"/>
          <w:numId w:val="8"/>
        </w:numPr>
        <w:rPr>
          <w:lang w:val="en-IN"/>
        </w:rPr>
      </w:pPr>
      <w:r w:rsidRPr="003967EF">
        <w:rPr>
          <w:b/>
          <w:bCs/>
          <w:lang w:val="en-IN"/>
        </w:rPr>
        <w:t>Dividend Payout Ratio</w:t>
      </w:r>
      <w:r w:rsidRPr="003967EF">
        <w:rPr>
          <w:lang w:val="en-IN"/>
        </w:rPr>
        <w:t>:</w:t>
      </w:r>
    </w:p>
    <w:p w14:paraId="598F0D83" w14:textId="77777777" w:rsidR="003967EF" w:rsidRPr="003967EF" w:rsidRDefault="003967EF" w:rsidP="003967EF">
      <w:pPr>
        <w:numPr>
          <w:ilvl w:val="1"/>
          <w:numId w:val="8"/>
        </w:numPr>
        <w:rPr>
          <w:lang w:val="en-IN"/>
        </w:rPr>
      </w:pPr>
      <w:r w:rsidRPr="003967EF">
        <w:rPr>
          <w:lang w:val="en-IN"/>
        </w:rPr>
        <w:t xml:space="preserve">A </w:t>
      </w:r>
      <w:r w:rsidRPr="003967EF">
        <w:rPr>
          <w:b/>
          <w:bCs/>
          <w:lang w:val="en-IN"/>
        </w:rPr>
        <w:t>high payout ratio</w:t>
      </w:r>
      <w:r w:rsidRPr="003967EF">
        <w:rPr>
          <w:lang w:val="en-IN"/>
        </w:rPr>
        <w:t xml:space="preserve"> could indicate that the company is returning most of its earnings to shareholders, which may be unsustainable if earnings decline.</w:t>
      </w:r>
    </w:p>
    <w:p w14:paraId="600644E9" w14:textId="77777777" w:rsidR="003967EF" w:rsidRPr="003967EF" w:rsidRDefault="003967EF" w:rsidP="003967EF">
      <w:pPr>
        <w:numPr>
          <w:ilvl w:val="1"/>
          <w:numId w:val="8"/>
        </w:numPr>
        <w:rPr>
          <w:lang w:val="en-IN"/>
        </w:rPr>
      </w:pPr>
      <w:r w:rsidRPr="003967EF">
        <w:rPr>
          <w:lang w:val="en-IN"/>
        </w:rPr>
        <w:t xml:space="preserve">A </w:t>
      </w:r>
      <w:r w:rsidRPr="003967EF">
        <w:rPr>
          <w:b/>
          <w:bCs/>
          <w:lang w:val="en-IN"/>
        </w:rPr>
        <w:t>low payout ratio</w:t>
      </w:r>
      <w:r w:rsidRPr="003967EF">
        <w:rPr>
          <w:lang w:val="en-IN"/>
        </w:rPr>
        <w:t xml:space="preserve"> suggests that the company is retaining more earnings for growth or debt reduction.</w:t>
      </w:r>
    </w:p>
    <w:p w14:paraId="6A18D65F" w14:textId="539CFEAA" w:rsidR="003967EF" w:rsidRDefault="00126BC0" w:rsidP="002430D1">
      <w:pPr>
        <w:pStyle w:val="Heading4"/>
        <w:rPr>
          <w:lang w:val="en-IN"/>
        </w:rPr>
      </w:pPr>
      <w:r>
        <w:rPr>
          <w:lang w:val="en-IN"/>
        </w:rPr>
        <w:t>Python Code</w:t>
      </w:r>
    </w:p>
    <w:p w14:paraId="02FA7C67" w14:textId="77777777" w:rsidR="00126BC0" w:rsidRPr="00126BC0" w:rsidRDefault="00126BC0">
      <w:pPr>
        <w:shd w:val="clear" w:color="auto" w:fill="F8F8FF"/>
        <w:rPr>
          <w:rFonts w:ascii="Consolas" w:hAnsi="Consolas"/>
          <w:sz w:val="20"/>
          <w:szCs w:val="18"/>
        </w:rPr>
      </w:pPr>
      <w:r w:rsidRPr="00126BC0">
        <w:rPr>
          <w:rFonts w:ascii="Consolas" w:hAnsi="Consolas" w:cs="Courier New"/>
          <w:color w:val="954121"/>
          <w:sz w:val="20"/>
          <w:szCs w:val="18"/>
        </w:rPr>
        <w:t>import</w:t>
      </w:r>
      <w:r w:rsidRPr="00126BC0">
        <w:rPr>
          <w:rFonts w:ascii="Consolas" w:hAnsi="Consolas" w:cs="Courier New"/>
          <w:color w:val="000000"/>
          <w:sz w:val="20"/>
          <w:szCs w:val="18"/>
        </w:rPr>
        <w:t xml:space="preserve"> yfinance </w:t>
      </w:r>
      <w:r w:rsidRPr="00126BC0">
        <w:rPr>
          <w:rFonts w:ascii="Consolas" w:hAnsi="Consolas" w:cs="Courier New"/>
          <w:color w:val="954121"/>
          <w:sz w:val="20"/>
          <w:szCs w:val="18"/>
        </w:rPr>
        <w:t>as</w:t>
      </w:r>
      <w:r w:rsidRPr="00126BC0">
        <w:rPr>
          <w:rFonts w:ascii="Consolas" w:hAnsi="Consolas" w:cs="Courier New"/>
          <w:color w:val="000000"/>
          <w:sz w:val="20"/>
          <w:szCs w:val="18"/>
        </w:rPr>
        <w:t xml:space="preserve"> yf</w:t>
      </w:r>
      <w:r w:rsidRPr="00126BC0">
        <w:rPr>
          <w:rFonts w:ascii="Consolas" w:hAnsi="Consolas" w:cs="Courier New"/>
          <w:color w:val="000000"/>
          <w:sz w:val="20"/>
          <w:szCs w:val="18"/>
        </w:rPr>
        <w:br/>
      </w:r>
      <w:r w:rsidRPr="00126BC0">
        <w:rPr>
          <w:rFonts w:ascii="Consolas" w:hAnsi="Consolas" w:cs="Courier New"/>
          <w:color w:val="954121"/>
          <w:sz w:val="20"/>
          <w:szCs w:val="18"/>
        </w:rPr>
        <w:t>import</w:t>
      </w:r>
      <w:r w:rsidRPr="00126BC0">
        <w:rPr>
          <w:rFonts w:ascii="Consolas" w:hAnsi="Consolas" w:cs="Courier New"/>
          <w:color w:val="000000"/>
          <w:sz w:val="20"/>
          <w:szCs w:val="18"/>
        </w:rPr>
        <w:t xml:space="preserve"> pandas </w:t>
      </w:r>
      <w:r w:rsidRPr="00126BC0">
        <w:rPr>
          <w:rFonts w:ascii="Consolas" w:hAnsi="Consolas" w:cs="Courier New"/>
          <w:color w:val="954121"/>
          <w:sz w:val="20"/>
          <w:szCs w:val="18"/>
        </w:rPr>
        <w:t>as</w:t>
      </w:r>
      <w:r w:rsidRPr="00126BC0">
        <w:rPr>
          <w:rFonts w:ascii="Consolas" w:hAnsi="Consolas" w:cs="Courier New"/>
          <w:color w:val="000000"/>
          <w:sz w:val="20"/>
          <w:szCs w:val="18"/>
        </w:rPr>
        <w:t xml:space="preserve"> pd</w:t>
      </w:r>
      <w:r w:rsidRPr="00126BC0">
        <w:rPr>
          <w:rFonts w:ascii="Consolas" w:hAnsi="Consolas" w:cs="Courier New"/>
          <w:color w:val="000000"/>
          <w:sz w:val="20"/>
          <w:szCs w:val="18"/>
        </w:rPr>
        <w:br/>
      </w:r>
      <w:r w:rsidRPr="00126BC0">
        <w:rPr>
          <w:rFonts w:ascii="Consolas" w:hAnsi="Consolas" w:cs="Courier New"/>
          <w:color w:val="000000"/>
          <w:sz w:val="20"/>
          <w:szCs w:val="18"/>
        </w:rPr>
        <w:br/>
      </w:r>
      <w:r w:rsidRPr="00126BC0">
        <w:rPr>
          <w:rFonts w:ascii="Consolas" w:hAnsi="Consolas" w:cs="Courier New"/>
          <w:i/>
          <w:color w:val="408080"/>
          <w:sz w:val="20"/>
          <w:szCs w:val="18"/>
        </w:rPr>
        <w:t># Fetch Microsoft stock data and dividends data for the past 5 years</w:t>
      </w:r>
      <w:r w:rsidRPr="00126BC0">
        <w:rPr>
          <w:rFonts w:ascii="Consolas" w:hAnsi="Consolas" w:cs="Courier New"/>
          <w:color w:val="000000"/>
          <w:sz w:val="20"/>
          <w:szCs w:val="18"/>
        </w:rPr>
        <w:br/>
        <w:t>msft = yf.Ticker(</w:t>
      </w:r>
      <w:r w:rsidRPr="00126BC0">
        <w:rPr>
          <w:rFonts w:ascii="Consolas" w:hAnsi="Consolas" w:cs="Courier New"/>
          <w:color w:val="219161"/>
          <w:sz w:val="20"/>
          <w:szCs w:val="18"/>
        </w:rPr>
        <w:t>"MSFT"</w:t>
      </w:r>
      <w:r w:rsidRPr="00126BC0">
        <w:rPr>
          <w:rFonts w:ascii="Consolas" w:hAnsi="Consolas" w:cs="Courier New"/>
          <w:color w:val="000000"/>
          <w:sz w:val="20"/>
          <w:szCs w:val="18"/>
        </w:rPr>
        <w:t>)</w:t>
      </w:r>
      <w:r w:rsidRPr="00126BC0">
        <w:rPr>
          <w:rFonts w:ascii="Consolas" w:hAnsi="Consolas" w:cs="Courier New"/>
          <w:color w:val="000000"/>
          <w:sz w:val="20"/>
          <w:szCs w:val="18"/>
        </w:rPr>
        <w:br/>
        <w:t>prices = msft.history(period=</w:t>
      </w:r>
      <w:r w:rsidRPr="00126BC0">
        <w:rPr>
          <w:rFonts w:ascii="Consolas" w:hAnsi="Consolas" w:cs="Courier New"/>
          <w:color w:val="219161"/>
          <w:sz w:val="20"/>
          <w:szCs w:val="18"/>
        </w:rPr>
        <w:t>"5y"</w:t>
      </w:r>
      <w:r w:rsidRPr="00126BC0">
        <w:rPr>
          <w:rFonts w:ascii="Consolas" w:hAnsi="Consolas" w:cs="Courier New"/>
          <w:color w:val="000000"/>
          <w:sz w:val="20"/>
          <w:szCs w:val="18"/>
        </w:rPr>
        <w:t>)</w:t>
      </w:r>
      <w:r w:rsidRPr="00126BC0">
        <w:rPr>
          <w:rFonts w:ascii="Consolas" w:hAnsi="Consolas" w:cs="Courier New"/>
          <w:color w:val="000000"/>
          <w:sz w:val="20"/>
          <w:szCs w:val="18"/>
        </w:rPr>
        <w:br/>
        <w:t>dividends = msft.dividends</w:t>
      </w:r>
      <w:r w:rsidRPr="00126BC0">
        <w:rPr>
          <w:rFonts w:ascii="Consolas" w:hAnsi="Consolas" w:cs="Courier New"/>
          <w:color w:val="000000"/>
          <w:sz w:val="20"/>
          <w:szCs w:val="18"/>
        </w:rPr>
        <w:br/>
      </w:r>
      <w:r w:rsidRPr="00126BC0">
        <w:rPr>
          <w:rFonts w:ascii="Consolas" w:hAnsi="Consolas" w:cs="Courier New"/>
          <w:color w:val="000000"/>
          <w:sz w:val="20"/>
          <w:szCs w:val="18"/>
        </w:rPr>
        <w:br/>
      </w:r>
      <w:r w:rsidRPr="00126BC0">
        <w:rPr>
          <w:rFonts w:ascii="Consolas" w:hAnsi="Consolas" w:cs="Courier New"/>
          <w:i/>
          <w:color w:val="408080"/>
          <w:sz w:val="20"/>
          <w:szCs w:val="18"/>
        </w:rPr>
        <w:t># Fetch earnings (net income) data and shares outstanding</w:t>
      </w:r>
      <w:r w:rsidRPr="00126BC0">
        <w:rPr>
          <w:rFonts w:ascii="Consolas" w:hAnsi="Consolas" w:cs="Courier New"/>
          <w:color w:val="000000"/>
          <w:sz w:val="20"/>
          <w:szCs w:val="18"/>
        </w:rPr>
        <w:br/>
        <w:t>annual_earnings = msft.financials.loc[</w:t>
      </w:r>
      <w:r w:rsidRPr="00126BC0">
        <w:rPr>
          <w:rFonts w:ascii="Consolas" w:hAnsi="Consolas" w:cs="Courier New"/>
          <w:color w:val="219161"/>
          <w:sz w:val="20"/>
          <w:szCs w:val="18"/>
        </w:rPr>
        <w:t>'Net Income'</w:t>
      </w:r>
      <w:r w:rsidRPr="00126BC0">
        <w:rPr>
          <w:rFonts w:ascii="Consolas" w:hAnsi="Consolas" w:cs="Courier New"/>
          <w:color w:val="000000"/>
          <w:sz w:val="20"/>
          <w:szCs w:val="18"/>
        </w:rPr>
        <w:t>]</w:t>
      </w:r>
      <w:r w:rsidRPr="00126BC0">
        <w:rPr>
          <w:rFonts w:ascii="Consolas" w:hAnsi="Consolas" w:cs="Courier New"/>
          <w:color w:val="000000"/>
          <w:sz w:val="20"/>
          <w:szCs w:val="18"/>
        </w:rPr>
        <w:br/>
        <w:t>shares_outstanding = msft.info[</w:t>
      </w:r>
      <w:r w:rsidRPr="00126BC0">
        <w:rPr>
          <w:rFonts w:ascii="Consolas" w:hAnsi="Consolas" w:cs="Courier New"/>
          <w:color w:val="219161"/>
          <w:sz w:val="20"/>
          <w:szCs w:val="18"/>
        </w:rPr>
        <w:t>'sharesOutstanding'</w:t>
      </w:r>
      <w:r w:rsidRPr="00126BC0">
        <w:rPr>
          <w:rFonts w:ascii="Consolas" w:hAnsi="Consolas" w:cs="Courier New"/>
          <w:color w:val="000000"/>
          <w:sz w:val="20"/>
          <w:szCs w:val="18"/>
        </w:rPr>
        <w:t>]</w:t>
      </w:r>
      <w:r w:rsidRPr="00126BC0">
        <w:rPr>
          <w:rFonts w:ascii="Consolas" w:hAnsi="Consolas" w:cs="Courier New"/>
          <w:color w:val="000000"/>
          <w:sz w:val="20"/>
          <w:szCs w:val="18"/>
        </w:rPr>
        <w:br/>
      </w:r>
      <w:r w:rsidRPr="00126BC0">
        <w:rPr>
          <w:rFonts w:ascii="Consolas" w:hAnsi="Consolas" w:cs="Courier New"/>
          <w:color w:val="000000"/>
          <w:sz w:val="20"/>
          <w:szCs w:val="18"/>
        </w:rPr>
        <w:br/>
      </w:r>
      <w:r w:rsidRPr="00126BC0">
        <w:rPr>
          <w:rFonts w:ascii="Consolas" w:hAnsi="Consolas" w:cs="Courier New"/>
          <w:i/>
          <w:color w:val="408080"/>
          <w:sz w:val="20"/>
          <w:szCs w:val="18"/>
        </w:rPr>
        <w:t># Calculate Annual Dividends per Share</w:t>
      </w:r>
      <w:r w:rsidRPr="00126BC0">
        <w:rPr>
          <w:rFonts w:ascii="Consolas" w:hAnsi="Consolas" w:cs="Courier New"/>
          <w:color w:val="000000"/>
          <w:sz w:val="20"/>
          <w:szCs w:val="18"/>
        </w:rPr>
        <w:br/>
      </w:r>
      <w:r w:rsidRPr="00126BC0">
        <w:rPr>
          <w:rFonts w:ascii="Consolas" w:hAnsi="Consolas" w:cs="Courier New"/>
          <w:i/>
          <w:color w:val="408080"/>
          <w:sz w:val="20"/>
          <w:szCs w:val="18"/>
        </w:rPr>
        <w:t># Resample dividends to yearly and sum to get total annual dividends per share</w:t>
      </w:r>
      <w:r w:rsidRPr="00126BC0">
        <w:rPr>
          <w:rFonts w:ascii="Consolas" w:hAnsi="Consolas" w:cs="Courier New"/>
          <w:color w:val="000000"/>
          <w:sz w:val="20"/>
          <w:szCs w:val="18"/>
        </w:rPr>
        <w:br/>
        <w:t>annual_dividends_per_share = dividends.resample(</w:t>
      </w:r>
      <w:r w:rsidRPr="00126BC0">
        <w:rPr>
          <w:rFonts w:ascii="Consolas" w:hAnsi="Consolas" w:cs="Courier New"/>
          <w:color w:val="219161"/>
          <w:sz w:val="20"/>
          <w:szCs w:val="18"/>
        </w:rPr>
        <w:t>'Y'</w:t>
      </w:r>
      <w:r w:rsidRPr="00126BC0">
        <w:rPr>
          <w:rFonts w:ascii="Consolas" w:hAnsi="Consolas" w:cs="Courier New"/>
          <w:color w:val="000000"/>
          <w:sz w:val="20"/>
          <w:szCs w:val="18"/>
        </w:rPr>
        <w:t>).sum()</w:t>
      </w:r>
      <w:r w:rsidRPr="00126BC0">
        <w:rPr>
          <w:rFonts w:ascii="Consolas" w:hAnsi="Consolas" w:cs="Courier New"/>
          <w:color w:val="000000"/>
          <w:sz w:val="20"/>
          <w:szCs w:val="18"/>
        </w:rPr>
        <w:br/>
      </w:r>
      <w:r w:rsidRPr="00126BC0">
        <w:rPr>
          <w:rFonts w:ascii="Consolas" w:hAnsi="Consolas" w:cs="Courier New"/>
          <w:color w:val="000000"/>
          <w:sz w:val="20"/>
          <w:szCs w:val="18"/>
        </w:rPr>
        <w:br/>
      </w:r>
      <w:r w:rsidRPr="00126BC0">
        <w:rPr>
          <w:rFonts w:ascii="Consolas" w:hAnsi="Consolas" w:cs="Courier New"/>
          <w:i/>
          <w:color w:val="408080"/>
          <w:sz w:val="20"/>
          <w:szCs w:val="18"/>
        </w:rPr>
        <w:t># Calculate Dividend Yield</w:t>
      </w:r>
      <w:r w:rsidRPr="00126BC0">
        <w:rPr>
          <w:rFonts w:ascii="Consolas" w:hAnsi="Consolas" w:cs="Courier New"/>
          <w:color w:val="000000"/>
          <w:sz w:val="20"/>
          <w:szCs w:val="18"/>
        </w:rPr>
        <w:br/>
      </w:r>
      <w:r w:rsidRPr="00126BC0">
        <w:rPr>
          <w:rFonts w:ascii="Consolas" w:hAnsi="Consolas" w:cs="Courier New"/>
          <w:i/>
          <w:color w:val="408080"/>
          <w:sz w:val="20"/>
          <w:szCs w:val="18"/>
        </w:rPr>
        <w:t># Use the closing price of the last day of the year for the market price</w:t>
      </w:r>
      <w:r w:rsidRPr="00126BC0">
        <w:rPr>
          <w:rFonts w:ascii="Consolas" w:hAnsi="Consolas" w:cs="Courier New"/>
          <w:color w:val="000000"/>
          <w:sz w:val="20"/>
          <w:szCs w:val="18"/>
        </w:rPr>
        <w:br/>
        <w:t>prices_yearly = prices[</w:t>
      </w:r>
      <w:r w:rsidRPr="00126BC0">
        <w:rPr>
          <w:rFonts w:ascii="Consolas" w:hAnsi="Consolas" w:cs="Courier New"/>
          <w:color w:val="219161"/>
          <w:sz w:val="20"/>
          <w:szCs w:val="18"/>
        </w:rPr>
        <w:t>'Close'</w:t>
      </w:r>
      <w:r w:rsidRPr="00126BC0">
        <w:rPr>
          <w:rFonts w:ascii="Consolas" w:hAnsi="Consolas" w:cs="Courier New"/>
          <w:color w:val="000000"/>
          <w:sz w:val="20"/>
          <w:szCs w:val="18"/>
        </w:rPr>
        <w:t>].resample(</w:t>
      </w:r>
      <w:r w:rsidRPr="00126BC0">
        <w:rPr>
          <w:rFonts w:ascii="Consolas" w:hAnsi="Consolas" w:cs="Courier New"/>
          <w:color w:val="219161"/>
          <w:sz w:val="20"/>
          <w:szCs w:val="18"/>
        </w:rPr>
        <w:t>'Y'</w:t>
      </w:r>
      <w:r w:rsidRPr="00126BC0">
        <w:rPr>
          <w:rFonts w:ascii="Consolas" w:hAnsi="Consolas" w:cs="Courier New"/>
          <w:color w:val="000000"/>
          <w:sz w:val="20"/>
          <w:szCs w:val="18"/>
        </w:rPr>
        <w:t>).last()</w:t>
      </w:r>
      <w:r w:rsidRPr="00126BC0">
        <w:rPr>
          <w:rFonts w:ascii="Consolas" w:hAnsi="Consolas" w:cs="Courier New"/>
          <w:color w:val="000000"/>
          <w:sz w:val="20"/>
          <w:szCs w:val="18"/>
        </w:rPr>
        <w:br/>
        <w:t>dividend_yield = annual_dividends_per_share / prices_yearly</w:t>
      </w:r>
      <w:r w:rsidRPr="00126BC0">
        <w:rPr>
          <w:rFonts w:ascii="Consolas" w:hAnsi="Consolas" w:cs="Courier New"/>
          <w:color w:val="000000"/>
          <w:sz w:val="20"/>
          <w:szCs w:val="18"/>
        </w:rPr>
        <w:br/>
      </w:r>
      <w:r w:rsidRPr="00126BC0">
        <w:rPr>
          <w:rFonts w:ascii="Consolas" w:hAnsi="Consolas" w:cs="Courier New"/>
          <w:color w:val="000000"/>
          <w:sz w:val="20"/>
          <w:szCs w:val="18"/>
        </w:rPr>
        <w:br/>
      </w:r>
      <w:r w:rsidRPr="00126BC0">
        <w:rPr>
          <w:rFonts w:ascii="Consolas" w:hAnsi="Consolas" w:cs="Courier New"/>
          <w:i/>
          <w:color w:val="408080"/>
          <w:sz w:val="20"/>
          <w:szCs w:val="18"/>
        </w:rPr>
        <w:t># Calculate Total Dividends Paid and Dividend Payout Ratio</w:t>
      </w:r>
      <w:r w:rsidRPr="00126BC0">
        <w:rPr>
          <w:rFonts w:ascii="Consolas" w:hAnsi="Consolas" w:cs="Courier New"/>
          <w:color w:val="000000"/>
          <w:sz w:val="20"/>
          <w:szCs w:val="18"/>
        </w:rPr>
        <w:br/>
        <w:t>total_dividends_paid = annual_dividends_per_share * shares_outstanding</w:t>
      </w:r>
      <w:r w:rsidRPr="00126BC0">
        <w:rPr>
          <w:rFonts w:ascii="Consolas" w:hAnsi="Consolas" w:cs="Courier New"/>
          <w:color w:val="000000"/>
          <w:sz w:val="20"/>
          <w:szCs w:val="18"/>
        </w:rPr>
        <w:br/>
      </w:r>
      <w:r w:rsidRPr="00126BC0">
        <w:rPr>
          <w:rFonts w:ascii="Consolas" w:hAnsi="Consolas" w:cs="Courier New"/>
          <w:color w:val="000000"/>
          <w:sz w:val="20"/>
          <w:szCs w:val="18"/>
        </w:rPr>
        <w:lastRenderedPageBreak/>
        <w:t>dividend_payout_ratio = total_dividends_paid / annual_earnings</w:t>
      </w:r>
      <w:r w:rsidRPr="00126BC0">
        <w:rPr>
          <w:rFonts w:ascii="Consolas" w:hAnsi="Consolas" w:cs="Courier New"/>
          <w:color w:val="000000"/>
          <w:sz w:val="20"/>
          <w:szCs w:val="18"/>
        </w:rPr>
        <w:br/>
      </w:r>
      <w:r w:rsidRPr="00126BC0">
        <w:rPr>
          <w:rFonts w:ascii="Consolas" w:hAnsi="Consolas" w:cs="Courier New"/>
          <w:color w:val="000000"/>
          <w:sz w:val="20"/>
          <w:szCs w:val="18"/>
        </w:rPr>
        <w:br/>
      </w:r>
      <w:r w:rsidRPr="00126BC0">
        <w:rPr>
          <w:rFonts w:ascii="Consolas" w:hAnsi="Consolas" w:cs="Courier New"/>
          <w:i/>
          <w:color w:val="408080"/>
          <w:sz w:val="20"/>
          <w:szCs w:val="18"/>
        </w:rPr>
        <w:t># Prepare a DataFrame with the relevant data</w:t>
      </w:r>
      <w:r w:rsidRPr="00126BC0">
        <w:rPr>
          <w:rFonts w:ascii="Consolas" w:hAnsi="Consolas" w:cs="Courier New"/>
          <w:color w:val="000000"/>
          <w:sz w:val="20"/>
          <w:szCs w:val="18"/>
        </w:rPr>
        <w:br/>
        <w:t>dividend_data = pd.DataFrame({</w:t>
      </w:r>
      <w:r w:rsidRPr="00126BC0">
        <w:rPr>
          <w:rFonts w:ascii="Consolas" w:hAnsi="Consolas" w:cs="Courier New"/>
          <w:color w:val="000000"/>
          <w:sz w:val="20"/>
          <w:szCs w:val="18"/>
        </w:rPr>
        <w:br/>
        <w:t xml:space="preserve">    </w:t>
      </w:r>
      <w:r w:rsidRPr="00126BC0">
        <w:rPr>
          <w:rFonts w:ascii="Consolas" w:hAnsi="Consolas" w:cs="Courier New"/>
          <w:color w:val="219161"/>
          <w:sz w:val="20"/>
          <w:szCs w:val="18"/>
        </w:rPr>
        <w:t>'Year'</w:t>
      </w:r>
      <w:r w:rsidRPr="00126BC0">
        <w:rPr>
          <w:rFonts w:ascii="Consolas" w:hAnsi="Consolas" w:cs="Courier New"/>
          <w:color w:val="000000"/>
          <w:sz w:val="20"/>
          <w:szCs w:val="18"/>
        </w:rPr>
        <w:t>: annual_earnings.index.year,</w:t>
      </w:r>
      <w:r w:rsidRPr="00126BC0">
        <w:rPr>
          <w:rFonts w:ascii="Consolas" w:hAnsi="Consolas" w:cs="Courier New"/>
          <w:color w:val="000000"/>
          <w:sz w:val="20"/>
          <w:szCs w:val="18"/>
        </w:rPr>
        <w:br/>
        <w:t xml:space="preserve">    </w:t>
      </w:r>
      <w:r w:rsidRPr="00126BC0">
        <w:rPr>
          <w:rFonts w:ascii="Consolas" w:hAnsi="Consolas" w:cs="Courier New"/>
          <w:color w:val="219161"/>
          <w:sz w:val="20"/>
          <w:szCs w:val="18"/>
        </w:rPr>
        <w:t>'Net Income'</w:t>
      </w:r>
      <w:r w:rsidRPr="00126BC0">
        <w:rPr>
          <w:rFonts w:ascii="Consolas" w:hAnsi="Consolas" w:cs="Courier New"/>
          <w:color w:val="000000"/>
          <w:sz w:val="20"/>
          <w:szCs w:val="18"/>
        </w:rPr>
        <w:t>: annual_earnings.values,</w:t>
      </w:r>
      <w:r w:rsidRPr="00126BC0">
        <w:rPr>
          <w:rFonts w:ascii="Consolas" w:hAnsi="Consolas" w:cs="Courier New"/>
          <w:color w:val="000000"/>
          <w:sz w:val="20"/>
          <w:szCs w:val="18"/>
        </w:rPr>
        <w:br/>
        <w:t xml:space="preserve">    </w:t>
      </w:r>
      <w:r w:rsidRPr="00126BC0">
        <w:rPr>
          <w:rFonts w:ascii="Consolas" w:hAnsi="Consolas" w:cs="Courier New"/>
          <w:color w:val="219161"/>
          <w:sz w:val="20"/>
          <w:szCs w:val="18"/>
        </w:rPr>
        <w:t>'Total Dividends Paid'</w:t>
      </w:r>
      <w:r w:rsidRPr="00126BC0">
        <w:rPr>
          <w:rFonts w:ascii="Consolas" w:hAnsi="Consolas" w:cs="Courier New"/>
          <w:color w:val="000000"/>
          <w:sz w:val="20"/>
          <w:szCs w:val="18"/>
        </w:rPr>
        <w:t>: total_dividends_paid.values,</w:t>
      </w:r>
      <w:r w:rsidRPr="00126BC0">
        <w:rPr>
          <w:rFonts w:ascii="Consolas" w:hAnsi="Consolas" w:cs="Courier New"/>
          <w:color w:val="000000"/>
          <w:sz w:val="20"/>
          <w:szCs w:val="18"/>
        </w:rPr>
        <w:br/>
        <w:t xml:space="preserve">    </w:t>
      </w:r>
      <w:r w:rsidRPr="00126BC0">
        <w:rPr>
          <w:rFonts w:ascii="Consolas" w:hAnsi="Consolas" w:cs="Courier New"/>
          <w:color w:val="219161"/>
          <w:sz w:val="20"/>
          <w:szCs w:val="18"/>
        </w:rPr>
        <w:t>'Annual Dividends per Share'</w:t>
      </w:r>
      <w:r w:rsidRPr="00126BC0">
        <w:rPr>
          <w:rFonts w:ascii="Consolas" w:hAnsi="Consolas" w:cs="Courier New"/>
          <w:color w:val="000000"/>
          <w:sz w:val="20"/>
          <w:szCs w:val="18"/>
        </w:rPr>
        <w:t>: annual_dividends_per_share.values,</w:t>
      </w:r>
      <w:r w:rsidRPr="00126BC0">
        <w:rPr>
          <w:rFonts w:ascii="Consolas" w:hAnsi="Consolas" w:cs="Courier New"/>
          <w:color w:val="000000"/>
          <w:sz w:val="20"/>
          <w:szCs w:val="18"/>
        </w:rPr>
        <w:br/>
        <w:t xml:space="preserve">    </w:t>
      </w:r>
      <w:r w:rsidRPr="00126BC0">
        <w:rPr>
          <w:rFonts w:ascii="Consolas" w:hAnsi="Consolas" w:cs="Courier New"/>
          <w:color w:val="219161"/>
          <w:sz w:val="20"/>
          <w:szCs w:val="18"/>
        </w:rPr>
        <w:t>'Market Price per Share'</w:t>
      </w:r>
      <w:r w:rsidRPr="00126BC0">
        <w:rPr>
          <w:rFonts w:ascii="Consolas" w:hAnsi="Consolas" w:cs="Courier New"/>
          <w:color w:val="000000"/>
          <w:sz w:val="20"/>
          <w:szCs w:val="18"/>
        </w:rPr>
        <w:t>: prices_yearly.values,</w:t>
      </w:r>
      <w:r w:rsidRPr="00126BC0">
        <w:rPr>
          <w:rFonts w:ascii="Consolas" w:hAnsi="Consolas" w:cs="Courier New"/>
          <w:color w:val="000000"/>
          <w:sz w:val="20"/>
          <w:szCs w:val="18"/>
        </w:rPr>
        <w:br/>
        <w:t xml:space="preserve">    </w:t>
      </w:r>
      <w:r w:rsidRPr="00126BC0">
        <w:rPr>
          <w:rFonts w:ascii="Consolas" w:hAnsi="Consolas" w:cs="Courier New"/>
          <w:color w:val="219161"/>
          <w:sz w:val="20"/>
          <w:szCs w:val="18"/>
        </w:rPr>
        <w:t>'Dividend Yield'</w:t>
      </w:r>
      <w:r w:rsidRPr="00126BC0">
        <w:rPr>
          <w:rFonts w:ascii="Consolas" w:hAnsi="Consolas" w:cs="Courier New"/>
          <w:color w:val="000000"/>
          <w:sz w:val="20"/>
          <w:szCs w:val="18"/>
        </w:rPr>
        <w:t>: dividend_yield.values,</w:t>
      </w:r>
      <w:r w:rsidRPr="00126BC0">
        <w:rPr>
          <w:rFonts w:ascii="Consolas" w:hAnsi="Consolas" w:cs="Courier New"/>
          <w:color w:val="000000"/>
          <w:sz w:val="20"/>
          <w:szCs w:val="18"/>
        </w:rPr>
        <w:br/>
        <w:t xml:space="preserve">    </w:t>
      </w:r>
      <w:r w:rsidRPr="00126BC0">
        <w:rPr>
          <w:rFonts w:ascii="Consolas" w:hAnsi="Consolas" w:cs="Courier New"/>
          <w:color w:val="219161"/>
          <w:sz w:val="20"/>
          <w:szCs w:val="18"/>
        </w:rPr>
        <w:t>'Dividend Payout Ratio'</w:t>
      </w:r>
      <w:r w:rsidRPr="00126BC0">
        <w:rPr>
          <w:rFonts w:ascii="Consolas" w:hAnsi="Consolas" w:cs="Courier New"/>
          <w:color w:val="000000"/>
          <w:sz w:val="20"/>
          <w:szCs w:val="18"/>
        </w:rPr>
        <w:t>: dividend_payout_ratio.values,</w:t>
      </w:r>
      <w:r w:rsidRPr="00126BC0">
        <w:rPr>
          <w:rFonts w:ascii="Consolas" w:hAnsi="Consolas" w:cs="Courier New"/>
          <w:color w:val="000000"/>
          <w:sz w:val="20"/>
          <w:szCs w:val="18"/>
        </w:rPr>
        <w:br/>
        <w:t>})</w:t>
      </w:r>
      <w:r w:rsidRPr="00126BC0">
        <w:rPr>
          <w:rFonts w:ascii="Consolas" w:hAnsi="Consolas" w:cs="Courier New"/>
          <w:color w:val="000000"/>
          <w:sz w:val="20"/>
          <w:szCs w:val="18"/>
        </w:rPr>
        <w:br/>
      </w:r>
      <w:r w:rsidRPr="00126BC0">
        <w:rPr>
          <w:rFonts w:ascii="Consolas" w:hAnsi="Consolas" w:cs="Courier New"/>
          <w:color w:val="000000"/>
          <w:sz w:val="20"/>
          <w:szCs w:val="18"/>
        </w:rPr>
        <w:br/>
      </w:r>
      <w:r w:rsidRPr="00126BC0">
        <w:rPr>
          <w:rFonts w:ascii="Consolas" w:hAnsi="Consolas" w:cs="Courier New"/>
          <w:i/>
          <w:color w:val="408080"/>
          <w:sz w:val="20"/>
          <w:szCs w:val="18"/>
        </w:rPr>
        <w:t># Display the Dividend Yield and Dividend Payout Ratios</w:t>
      </w:r>
      <w:r w:rsidRPr="00126BC0">
        <w:rPr>
          <w:rFonts w:ascii="Consolas" w:hAnsi="Consolas" w:cs="Courier New"/>
          <w:color w:val="000000"/>
          <w:sz w:val="20"/>
          <w:szCs w:val="18"/>
        </w:rPr>
        <w:br/>
      </w:r>
      <w:r w:rsidRPr="00126BC0">
        <w:rPr>
          <w:rFonts w:ascii="Consolas" w:hAnsi="Consolas" w:cs="Courier New"/>
          <w:color w:val="954121"/>
          <w:sz w:val="20"/>
          <w:szCs w:val="18"/>
        </w:rPr>
        <w:t>import</w:t>
      </w:r>
      <w:r w:rsidRPr="00126BC0">
        <w:rPr>
          <w:rFonts w:ascii="Consolas" w:hAnsi="Consolas" w:cs="Courier New"/>
          <w:color w:val="000000"/>
          <w:sz w:val="20"/>
          <w:szCs w:val="18"/>
        </w:rPr>
        <w:t xml:space="preserve"> ace_tools </w:t>
      </w:r>
      <w:r w:rsidRPr="00126BC0">
        <w:rPr>
          <w:rFonts w:ascii="Consolas" w:hAnsi="Consolas" w:cs="Courier New"/>
          <w:color w:val="954121"/>
          <w:sz w:val="20"/>
          <w:szCs w:val="18"/>
        </w:rPr>
        <w:t>as</w:t>
      </w:r>
      <w:r w:rsidRPr="00126BC0">
        <w:rPr>
          <w:rFonts w:ascii="Consolas" w:hAnsi="Consolas" w:cs="Courier New"/>
          <w:color w:val="000000"/>
          <w:sz w:val="20"/>
          <w:szCs w:val="18"/>
        </w:rPr>
        <w:t xml:space="preserve"> tools; tools.display_dataframe_to_user(name=</w:t>
      </w:r>
      <w:r w:rsidRPr="00126BC0">
        <w:rPr>
          <w:rFonts w:ascii="Consolas" w:hAnsi="Consolas" w:cs="Courier New"/>
          <w:color w:val="219161"/>
          <w:sz w:val="20"/>
          <w:szCs w:val="18"/>
        </w:rPr>
        <w:t>"Microsoft Dividend Metrics Over 5 Years"</w:t>
      </w:r>
      <w:r w:rsidRPr="00126BC0">
        <w:rPr>
          <w:rFonts w:ascii="Consolas" w:hAnsi="Consolas" w:cs="Courier New"/>
          <w:color w:val="000000"/>
          <w:sz w:val="20"/>
          <w:szCs w:val="18"/>
        </w:rPr>
        <w:t>, dataframe=dividend_data)</w:t>
      </w:r>
    </w:p>
    <w:p w14:paraId="3B8F6D33" w14:textId="726E0D20" w:rsidR="00126BC0" w:rsidRDefault="00126BC0" w:rsidP="00126BC0">
      <w:pPr>
        <w:rPr>
          <w:lang w:val="en-IN"/>
        </w:rPr>
      </w:pPr>
    </w:p>
    <w:p w14:paraId="0A3279FD" w14:textId="77777777" w:rsidR="003967EF" w:rsidRPr="00993759" w:rsidRDefault="003967EF" w:rsidP="00993759">
      <w:pPr>
        <w:rPr>
          <w:lang w:val="en-IN"/>
        </w:rPr>
      </w:pPr>
    </w:p>
    <w:p w14:paraId="5848492F" w14:textId="56343477" w:rsidR="00FF34D4" w:rsidRDefault="00FF34D4" w:rsidP="00993759"/>
    <w:p w14:paraId="682C6364" w14:textId="77777777" w:rsidR="00FF34D4" w:rsidRDefault="00000000" w:rsidP="00993759">
      <w:r w:rsidRPr="00993759">
        <w:t> </w:t>
      </w:r>
    </w:p>
    <w:p w14:paraId="09EDF2EF" w14:textId="77777777" w:rsidR="00FF34D4" w:rsidRDefault="00FF34D4"/>
    <w:sectPr w:rsidR="00FF34D4">
      <w:headerReference w:type="default" r:id="rId8"/>
      <w:footerReference w:type="default" r:id="rId9"/>
      <w:pgSz w:w="11906" w:h="16838"/>
      <w:pgMar w:top="720" w:right="720" w:bottom="720" w:left="720" w:header="1134" w:footer="1134" w:gutter="0"/>
      <w:cols w:space="17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F7FAC5" w14:textId="77777777" w:rsidR="007D346F" w:rsidRDefault="007D346F">
      <w:pPr>
        <w:spacing w:after="0" w:line="240" w:lineRule="auto"/>
      </w:pPr>
      <w:r>
        <w:separator/>
      </w:r>
    </w:p>
  </w:endnote>
  <w:endnote w:type="continuationSeparator" w:id="0">
    <w:p w14:paraId="29D3312F" w14:textId="77777777" w:rsidR="007D346F" w:rsidRDefault="007D3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 Pro">
    <w:panose1 w:val="02040503050201020203"/>
    <w:charset w:val="00"/>
    <w:family w:val="roman"/>
    <w:notTrueType/>
    <w:pitch w:val="variable"/>
    <w:sig w:usb0="E00002AF" w:usb1="5000E07B"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Devanagari">
    <w:altName w:val="Segoe UI"/>
    <w:charset w:val="00"/>
    <w:family w:val="auto"/>
    <w:pitch w:val="default"/>
  </w:font>
  <w:font w:name="Skeena">
    <w:charset w:val="00"/>
    <w:family w:val="auto"/>
    <w:pitch w:val="variable"/>
    <w:sig w:usb0="80000003" w:usb1="00000001" w:usb2="00000000" w:usb3="00000000" w:csb0="00000001" w:csb1="00000000"/>
  </w:font>
  <w:font w:name="Calibri">
    <w:panose1 w:val="020F0502020204030204"/>
    <w:charset w:val="00"/>
    <w:family w:val="swiss"/>
    <w:pitch w:val="variable"/>
    <w:sig w:usb0="E4002EFF" w:usb1="C200247B" w:usb2="00000009" w:usb3="00000000" w:csb0="000001FF" w:csb1="00000000"/>
  </w:font>
  <w:font w:name="Source Han Sans CN">
    <w:charset w:val="00"/>
    <w:family w:val="auto"/>
    <w:pitch w:val="default"/>
  </w:font>
  <w:font w:name="Arial">
    <w:panose1 w:val="020B0604020202020204"/>
    <w:charset w:val="00"/>
    <w:family w:val="swiss"/>
    <w:pitch w:val="variable"/>
    <w:sig w:usb0="E0002EFF" w:usb1="C000785B" w:usb2="00000009" w:usb3="00000000" w:csb0="000001FF" w:csb1="00000000"/>
  </w:font>
  <w:font w:name="OpenSymbol">
    <w:altName w:val="Calibri"/>
    <w:charset w:val="00"/>
    <w:family w:val="auto"/>
    <w:pitch w:val="default"/>
  </w:font>
  <w:font w:name="Liberation Sans">
    <w:altName w:val="Arial"/>
    <w:charset w:val="00"/>
    <w:family w:val="auto"/>
    <w:pitch w:val="default"/>
  </w:font>
  <w:font w:name="Courier 10 Pitch">
    <w:panose1 w:val="00000000000000000000"/>
    <w:charset w:val="00"/>
    <w:family w:val="modern"/>
    <w:notTrueType/>
    <w:pitch w:val="variable"/>
    <w:sig w:usb0="A000002F" w:usb1="4000004A" w:usb2="00000000" w:usb3="00000000" w:csb0="00000111" w:csb1="00000000"/>
  </w:font>
  <w:font w:name="Liberation Mono">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D069A9" w14:textId="77777777" w:rsidR="00FF34D4" w:rsidRDefault="00000000">
    <w:pPr>
      <w:numPr>
        <w:ilvl w:val="0"/>
        <w:numId w:val="1"/>
      </w:numPr>
      <w:rPr>
        <w:sz w:val="20"/>
        <w:szCs w:val="20"/>
      </w:rPr>
    </w:pPr>
    <w:r>
      <w:rPr>
        <w:sz w:val="20"/>
        <w:szCs w:val="20"/>
      </w:rPr>
      <w:t>Author: Manish Bhobe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Page </w:t>
    </w:r>
    <w:r>
      <w:rPr>
        <w:sz w:val="20"/>
        <w:szCs w:val="20"/>
      </w:rPr>
      <w:fldChar w:fldCharType="begin"/>
    </w:r>
    <w:r>
      <w:rPr>
        <w:sz w:val="20"/>
        <w:szCs w:val="20"/>
      </w:rPr>
      <w:instrText xml:space="preserve"> PAGE </w:instrText>
    </w:r>
    <w:r>
      <w:rPr>
        <w:sz w:val="20"/>
        <w:szCs w:val="20"/>
      </w:rPr>
      <w:fldChar w:fldCharType="separate"/>
    </w:r>
    <w:r>
      <w:rPr>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xml:space="preserve"> NUMPAGES </w:instrText>
    </w:r>
    <w:r>
      <w:rPr>
        <w:sz w:val="20"/>
        <w:szCs w:val="20"/>
      </w:rPr>
      <w:fldChar w:fldCharType="separate"/>
    </w:r>
    <w:r>
      <w:rPr>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000E32" w14:textId="77777777" w:rsidR="007D346F" w:rsidRDefault="007D346F">
      <w:pPr>
        <w:spacing w:after="0" w:line="240" w:lineRule="auto"/>
      </w:pPr>
      <w:r>
        <w:separator/>
      </w:r>
    </w:p>
  </w:footnote>
  <w:footnote w:type="continuationSeparator" w:id="0">
    <w:p w14:paraId="7D998EBC" w14:textId="77777777" w:rsidR="007D346F" w:rsidRDefault="007D34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1C07A" w14:textId="77777777" w:rsidR="00FF34D4" w:rsidRDefault="00FF34D4">
    <w:pPr>
      <w:numPr>
        <w:ilvl w:val="0"/>
        <w:numId w:val="1"/>
      </w:num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F08A4"/>
    <w:multiLevelType w:val="multilevel"/>
    <w:tmpl w:val="3BFED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C6D22"/>
    <w:multiLevelType w:val="hybridMultilevel"/>
    <w:tmpl w:val="7E6C76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764173"/>
    <w:multiLevelType w:val="multilevel"/>
    <w:tmpl w:val="3BC210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B739D3"/>
    <w:multiLevelType w:val="multilevel"/>
    <w:tmpl w:val="0DE8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C0032"/>
    <w:multiLevelType w:val="hybridMultilevel"/>
    <w:tmpl w:val="70EEF8A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FD28DC"/>
    <w:multiLevelType w:val="multilevel"/>
    <w:tmpl w:val="511AA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28322A"/>
    <w:multiLevelType w:val="multilevel"/>
    <w:tmpl w:val="5F244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5B2D8D"/>
    <w:multiLevelType w:val="multilevel"/>
    <w:tmpl w:val="7D26B39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321A5C83"/>
    <w:multiLevelType w:val="multilevel"/>
    <w:tmpl w:val="95103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8152F8"/>
    <w:multiLevelType w:val="multilevel"/>
    <w:tmpl w:val="602CC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5046B9"/>
    <w:multiLevelType w:val="multilevel"/>
    <w:tmpl w:val="CD8AA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9E0A1E"/>
    <w:multiLevelType w:val="multilevel"/>
    <w:tmpl w:val="ABB23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BF72D6"/>
    <w:multiLevelType w:val="multilevel"/>
    <w:tmpl w:val="82C40CB4"/>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13" w15:restartNumberingAfterBreak="0">
    <w:nsid w:val="5A3F5F22"/>
    <w:multiLevelType w:val="hybridMultilevel"/>
    <w:tmpl w:val="D96A6D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B476B47"/>
    <w:multiLevelType w:val="multilevel"/>
    <w:tmpl w:val="88FA6B2E"/>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15" w15:restartNumberingAfterBreak="0">
    <w:nsid w:val="686F3915"/>
    <w:multiLevelType w:val="multilevel"/>
    <w:tmpl w:val="50568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762FC7"/>
    <w:multiLevelType w:val="multilevel"/>
    <w:tmpl w:val="56241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0A1B74"/>
    <w:multiLevelType w:val="multilevel"/>
    <w:tmpl w:val="BB38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C61A8B"/>
    <w:multiLevelType w:val="multilevel"/>
    <w:tmpl w:val="E4AE7B88"/>
    <w:lvl w:ilvl="0">
      <w:start w:val="1"/>
      <w:numFmt w:val="none"/>
      <w:pStyle w:val="Heading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9" w15:restartNumberingAfterBreak="0">
    <w:nsid w:val="7275483E"/>
    <w:multiLevelType w:val="multilevel"/>
    <w:tmpl w:val="5F302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284390"/>
    <w:multiLevelType w:val="hybridMultilevel"/>
    <w:tmpl w:val="02164C0E"/>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5F75E09"/>
    <w:multiLevelType w:val="multilevel"/>
    <w:tmpl w:val="8A042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0B383C"/>
    <w:multiLevelType w:val="multilevel"/>
    <w:tmpl w:val="2EEC9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0776B9"/>
    <w:multiLevelType w:val="multilevel"/>
    <w:tmpl w:val="E0A2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728634">
    <w:abstractNumId w:val="18"/>
  </w:num>
  <w:num w:numId="2" w16cid:durableId="1980576139">
    <w:abstractNumId w:val="7"/>
  </w:num>
  <w:num w:numId="3" w16cid:durableId="629558302">
    <w:abstractNumId w:val="14"/>
  </w:num>
  <w:num w:numId="4" w16cid:durableId="1404137997">
    <w:abstractNumId w:val="12"/>
  </w:num>
  <w:num w:numId="5" w16cid:durableId="615019663">
    <w:abstractNumId w:val="13"/>
  </w:num>
  <w:num w:numId="6" w16cid:durableId="663583111">
    <w:abstractNumId w:val="10"/>
  </w:num>
  <w:num w:numId="7" w16cid:durableId="88738392">
    <w:abstractNumId w:val="6"/>
  </w:num>
  <w:num w:numId="8" w16cid:durableId="57173836">
    <w:abstractNumId w:val="19"/>
  </w:num>
  <w:num w:numId="9" w16cid:durableId="26495081">
    <w:abstractNumId w:val="4"/>
  </w:num>
  <w:num w:numId="10" w16cid:durableId="985814558">
    <w:abstractNumId w:val="20"/>
  </w:num>
  <w:num w:numId="11" w16cid:durableId="1936283288">
    <w:abstractNumId w:val="17"/>
  </w:num>
  <w:num w:numId="12" w16cid:durableId="791558007">
    <w:abstractNumId w:val="1"/>
  </w:num>
  <w:num w:numId="13" w16cid:durableId="642082998">
    <w:abstractNumId w:val="16"/>
  </w:num>
  <w:num w:numId="14" w16cid:durableId="159320835">
    <w:abstractNumId w:val="15"/>
  </w:num>
  <w:num w:numId="15" w16cid:durableId="1654286640">
    <w:abstractNumId w:val="3"/>
  </w:num>
  <w:num w:numId="16" w16cid:durableId="1301181486">
    <w:abstractNumId w:val="23"/>
  </w:num>
  <w:num w:numId="17" w16cid:durableId="2062246106">
    <w:abstractNumId w:val="2"/>
  </w:num>
  <w:num w:numId="18" w16cid:durableId="715354709">
    <w:abstractNumId w:val="11"/>
  </w:num>
  <w:num w:numId="19" w16cid:durableId="2056073">
    <w:abstractNumId w:val="22"/>
  </w:num>
  <w:num w:numId="20" w16cid:durableId="1598560613">
    <w:abstractNumId w:val="9"/>
  </w:num>
  <w:num w:numId="21" w16cid:durableId="1776972410">
    <w:abstractNumId w:val="5"/>
  </w:num>
  <w:num w:numId="22" w16cid:durableId="1370765130">
    <w:abstractNumId w:val="0"/>
  </w:num>
  <w:num w:numId="23" w16cid:durableId="1760635964">
    <w:abstractNumId w:val="21"/>
  </w:num>
  <w:num w:numId="24" w16cid:durableId="8175038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643"/>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4D4"/>
    <w:rsid w:val="00042127"/>
    <w:rsid w:val="000B5086"/>
    <w:rsid w:val="00125447"/>
    <w:rsid w:val="00126BC0"/>
    <w:rsid w:val="00140A8E"/>
    <w:rsid w:val="00171676"/>
    <w:rsid w:val="0020088C"/>
    <w:rsid w:val="002430D1"/>
    <w:rsid w:val="003967EF"/>
    <w:rsid w:val="004228B4"/>
    <w:rsid w:val="00451ACC"/>
    <w:rsid w:val="0046260E"/>
    <w:rsid w:val="00463035"/>
    <w:rsid w:val="00481E58"/>
    <w:rsid w:val="00495E6C"/>
    <w:rsid w:val="005A434E"/>
    <w:rsid w:val="005F7A62"/>
    <w:rsid w:val="00603A4F"/>
    <w:rsid w:val="00643F3A"/>
    <w:rsid w:val="006A313E"/>
    <w:rsid w:val="006B67FF"/>
    <w:rsid w:val="006E05CA"/>
    <w:rsid w:val="00745055"/>
    <w:rsid w:val="0076204B"/>
    <w:rsid w:val="007D346F"/>
    <w:rsid w:val="007D78D6"/>
    <w:rsid w:val="00976092"/>
    <w:rsid w:val="00993759"/>
    <w:rsid w:val="00A05565"/>
    <w:rsid w:val="00AA6131"/>
    <w:rsid w:val="00CB4C3C"/>
    <w:rsid w:val="00CD6408"/>
    <w:rsid w:val="00D46044"/>
    <w:rsid w:val="00DB4CD0"/>
    <w:rsid w:val="00E01260"/>
    <w:rsid w:val="00E30FE6"/>
    <w:rsid w:val="00F55C7B"/>
    <w:rsid w:val="00F77845"/>
    <w:rsid w:val="00FC247B"/>
    <w:rsid w:val="00FF3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FBD1D"/>
  <w15:docId w15:val="{20F32795-8B66-4983-B8F9-6B54849D4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inion Pro" w:eastAsia="Tahoma" w:hAnsi="Minion Pro" w:cs="Droid Sans Devanagari"/>
        <w:sz w:val="24"/>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0"/>
      </w:tabs>
      <w:spacing w:before="80" w:after="80" w:line="264" w:lineRule="auto"/>
    </w:pPr>
    <w:rPr>
      <w:rFonts w:ascii="Skeena" w:eastAsia="Calibri" w:hAnsi="Skeena" w:cstheme="minorBidi"/>
      <w:spacing w:val="10"/>
      <w:szCs w:val="22"/>
      <w:lang w:val="en-US" w:eastAsia="en-US" w:bidi="ar-SA"/>
    </w:rPr>
  </w:style>
  <w:style w:type="paragraph" w:styleId="Heading1">
    <w:name w:val="heading 1"/>
    <w:basedOn w:val="Heading"/>
    <w:autoRedefine/>
    <w:uiPriority w:val="9"/>
    <w:qFormat/>
    <w:rsid w:val="00126BC0"/>
    <w:pPr>
      <w:numPr>
        <w:numId w:val="1"/>
      </w:numPr>
      <w:spacing w:before="200" w:after="80"/>
      <w:contextualSpacing/>
      <w:outlineLvl w:val="0"/>
    </w:pPr>
    <w:rPr>
      <w:rFonts w:ascii="Calibri" w:hAnsi="Calibri"/>
      <w:bCs/>
      <w:color w:val="007DC5"/>
      <w:sz w:val="36"/>
      <w:szCs w:val="36"/>
    </w:rPr>
  </w:style>
  <w:style w:type="paragraph" w:styleId="Heading2">
    <w:name w:val="heading 2"/>
    <w:basedOn w:val="Heading"/>
    <w:autoRedefine/>
    <w:uiPriority w:val="9"/>
    <w:unhideWhenUsed/>
    <w:qFormat/>
    <w:rsid w:val="00126BC0"/>
    <w:pPr>
      <w:spacing w:before="200" w:after="80"/>
      <w:contextualSpacing/>
      <w:outlineLvl w:val="1"/>
    </w:pPr>
    <w:rPr>
      <w:rFonts w:ascii="Calibri" w:hAnsi="Calibri"/>
      <w:bCs/>
      <w:color w:val="7159B1"/>
      <w:sz w:val="32"/>
      <w:szCs w:val="32"/>
    </w:rPr>
  </w:style>
  <w:style w:type="paragraph" w:styleId="Heading3">
    <w:name w:val="heading 3"/>
    <w:basedOn w:val="Heading"/>
    <w:autoRedefine/>
    <w:uiPriority w:val="9"/>
    <w:unhideWhenUsed/>
    <w:qFormat/>
    <w:rsid w:val="00126BC0"/>
    <w:pPr>
      <w:spacing w:before="200" w:after="80"/>
      <w:contextualSpacing/>
      <w:outlineLvl w:val="2"/>
    </w:pPr>
    <w:rPr>
      <w:rFonts w:ascii="Calibri" w:hAnsi="Calibri"/>
      <w:bCs/>
      <w:color w:val="0093B0"/>
    </w:rPr>
  </w:style>
  <w:style w:type="paragraph" w:styleId="Heading4">
    <w:name w:val="heading 4"/>
    <w:basedOn w:val="Heading"/>
    <w:autoRedefine/>
    <w:uiPriority w:val="9"/>
    <w:unhideWhenUsed/>
    <w:qFormat/>
    <w:rsid w:val="00126BC0"/>
    <w:pPr>
      <w:keepNext w:val="0"/>
      <w:spacing w:before="200" w:after="80"/>
      <w:contextualSpacing/>
      <w:outlineLvl w:val="3"/>
    </w:pPr>
    <w:rPr>
      <w:rFonts w:ascii="Calibri" w:hAnsi="Calibri"/>
      <w:bCs/>
      <w:iCs/>
      <w:color w:val="CB336B"/>
      <w:szCs w:val="26"/>
    </w:rPr>
  </w:style>
  <w:style w:type="paragraph" w:styleId="Heading5">
    <w:name w:val="heading 5"/>
    <w:basedOn w:val="Normal"/>
    <w:uiPriority w:val="9"/>
    <w:unhideWhenUsed/>
    <w:pPr>
      <w:keepNext/>
      <w:keepLines/>
      <w:spacing w:before="320" w:after="200"/>
      <w:outlineLvl w:val="4"/>
    </w:pPr>
    <w:rPr>
      <w:rFonts w:ascii="Arial" w:eastAsia="Arial" w:hAnsi="Arial" w:cs="Arial"/>
      <w:b/>
      <w:bCs/>
      <w:szCs w:val="24"/>
    </w:rPr>
  </w:style>
  <w:style w:type="paragraph" w:styleId="Heading6">
    <w:name w:val="heading 6"/>
    <w:basedOn w:val="Normal"/>
    <w:uiPriority w:val="9"/>
    <w:unhideWhenUsed/>
    <w:qFormat/>
    <w:pPr>
      <w:keepNext/>
      <w:keepLines/>
      <w:spacing w:before="320" w:after="200"/>
      <w:outlineLvl w:val="5"/>
    </w:pPr>
    <w:rPr>
      <w:rFonts w:ascii="Arial" w:eastAsia="Arial" w:hAnsi="Arial" w:cs="Arial"/>
      <w:b/>
      <w:bCs/>
      <w:sz w:val="22"/>
    </w:rPr>
  </w:style>
  <w:style w:type="paragraph" w:styleId="Heading7">
    <w:name w:val="heading 7"/>
    <w:basedOn w:val="Normal"/>
    <w:uiPriority w:val="9"/>
    <w:unhideWhenUsed/>
    <w:qFormat/>
    <w:pPr>
      <w:keepNext/>
      <w:keepLines/>
      <w:spacing w:before="320" w:after="200"/>
      <w:outlineLvl w:val="6"/>
    </w:pPr>
    <w:rPr>
      <w:rFonts w:ascii="Arial" w:eastAsia="Arial" w:hAnsi="Arial" w:cs="Arial"/>
      <w:b/>
      <w:bCs/>
      <w:i/>
      <w:iCs/>
      <w:sz w:val="22"/>
    </w:rPr>
  </w:style>
  <w:style w:type="paragraph" w:styleId="Heading8">
    <w:name w:val="heading 8"/>
    <w:basedOn w:val="Normal"/>
    <w:uiPriority w:val="9"/>
    <w:unhideWhenUsed/>
    <w:qFormat/>
    <w:pPr>
      <w:keepNext/>
      <w:keepLines/>
      <w:spacing w:before="320" w:after="200"/>
      <w:outlineLvl w:val="7"/>
    </w:pPr>
    <w:rPr>
      <w:rFonts w:ascii="Arial" w:eastAsia="Arial" w:hAnsi="Arial" w:cs="Arial"/>
      <w:i/>
      <w:iCs/>
      <w:sz w:val="22"/>
    </w:rPr>
  </w:style>
  <w:style w:type="paragraph" w:styleId="Heading9">
    <w:name w:val="heading 9"/>
    <w:basedOn w:val="Normal"/>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Pr>
      <w:i/>
      <w:iCs/>
      <w:color w:val="0AD6FF" w:themeColor="accent1" w:themeShade="BF"/>
    </w:rPr>
  </w:style>
  <w:style w:type="character" w:styleId="IntenseReference">
    <w:name w:val="Intense Reference"/>
    <w:basedOn w:val="DefaultParagraphFont"/>
    <w:uiPriority w:val="32"/>
    <w:qFormat/>
    <w:rPr>
      <w:b/>
      <w:bCs/>
      <w:smallCaps/>
      <w:color w:val="0AD6FF"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styleId="FollowedHyperlink">
    <w:name w:val="FollowedHyperlink"/>
    <w:basedOn w:val="DefaultParagraphFont"/>
    <w:uiPriority w:val="99"/>
    <w:semiHidden/>
    <w:unhideWhenUsed/>
    <w:rPr>
      <w:color w:val="005B9C" w:themeColor="followedHyperlink"/>
      <w:u w:val="single"/>
    </w:rPr>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qFormat/>
    <w:rPr>
      <w:rFonts w:ascii="Arial" w:eastAsia="Arial" w:hAnsi="Arial" w:cs="Arial"/>
      <w:b/>
      <w:bCs/>
      <w:sz w:val="24"/>
      <w:szCs w:val="24"/>
    </w:rPr>
  </w:style>
  <w:style w:type="character" w:customStyle="1" w:styleId="Heading6Char">
    <w:name w:val="Heading 6 Char"/>
    <w:basedOn w:val="DefaultParagraphFont"/>
    <w:uiPriority w:val="9"/>
    <w:qFormat/>
    <w:rPr>
      <w:rFonts w:ascii="Arial" w:eastAsia="Arial" w:hAnsi="Arial" w:cs="Arial"/>
      <w:b/>
      <w:bCs/>
      <w:sz w:val="22"/>
      <w:szCs w:val="22"/>
    </w:rPr>
  </w:style>
  <w:style w:type="character" w:customStyle="1" w:styleId="Heading7Char">
    <w:name w:val="Heading 7 Char"/>
    <w:basedOn w:val="DefaultParagraphFont"/>
    <w:uiPriority w:val="9"/>
    <w:qFormat/>
    <w:rPr>
      <w:rFonts w:ascii="Arial" w:eastAsia="Arial" w:hAnsi="Arial" w:cs="Arial"/>
      <w:b/>
      <w:bCs/>
      <w:i/>
      <w:iCs/>
      <w:sz w:val="22"/>
      <w:szCs w:val="22"/>
    </w:rPr>
  </w:style>
  <w:style w:type="character" w:customStyle="1" w:styleId="Heading8Char">
    <w:name w:val="Heading 8 Char"/>
    <w:basedOn w:val="DefaultParagraphFont"/>
    <w:uiPriority w:val="9"/>
    <w:qFormat/>
    <w:rPr>
      <w:rFonts w:ascii="Arial" w:eastAsia="Arial" w:hAnsi="Arial" w:cs="Arial"/>
      <w:i/>
      <w:iCs/>
      <w:sz w:val="22"/>
      <w:szCs w:val="22"/>
    </w:rPr>
  </w:style>
  <w:style w:type="character" w:customStyle="1" w:styleId="Heading9Char">
    <w:name w:val="Heading 9 Char"/>
    <w:basedOn w:val="DefaultParagraphFont"/>
    <w:uiPriority w:val="9"/>
    <w:qFormat/>
    <w:rPr>
      <w:rFonts w:ascii="Arial" w:eastAsia="Arial" w:hAnsi="Arial" w:cs="Arial"/>
      <w:i/>
      <w:iCs/>
      <w:sz w:val="21"/>
      <w:szCs w:val="21"/>
    </w:rPr>
  </w:style>
  <w:style w:type="character" w:customStyle="1" w:styleId="TitleChar">
    <w:name w:val="Title Char"/>
    <w:basedOn w:val="DefaultParagraphFont"/>
    <w:uiPriority w:val="10"/>
    <w:qFormat/>
    <w:rPr>
      <w:sz w:val="48"/>
      <w:szCs w:val="48"/>
    </w:rPr>
  </w:style>
  <w:style w:type="character" w:customStyle="1" w:styleId="SubtitleChar">
    <w:name w:val="Subtitle Char"/>
    <w:basedOn w:val="DefaultParagraphFont"/>
    <w:uiPriority w:val="11"/>
    <w:qFormat/>
    <w:rPr>
      <w:sz w:val="24"/>
      <w:szCs w:val="24"/>
    </w:rPr>
  </w:style>
  <w:style w:type="character" w:customStyle="1" w:styleId="QuoteChar">
    <w:name w:val="Quote Char"/>
    <w:uiPriority w:val="29"/>
    <w:qFormat/>
    <w:rPr>
      <w:i/>
    </w:rPr>
  </w:style>
  <w:style w:type="character" w:customStyle="1" w:styleId="IntenseQuoteChar">
    <w:name w:val="Intense Quote Char"/>
    <w:uiPriority w:val="30"/>
    <w:qFormat/>
    <w:rPr>
      <w:i/>
    </w:rPr>
  </w:style>
  <w:style w:type="character" w:customStyle="1" w:styleId="HeaderChar">
    <w:name w:val="Header Char"/>
    <w:basedOn w:val="DefaultParagraphFont"/>
    <w:uiPriority w:val="99"/>
    <w:qFormat/>
  </w:style>
  <w:style w:type="character" w:customStyle="1" w:styleId="FooterChar">
    <w:name w:val="Footer Char"/>
    <w:basedOn w:val="DefaultParagraphFont"/>
    <w:uiPriority w:val="99"/>
    <w:qFormat/>
  </w:style>
  <w:style w:type="character" w:customStyle="1" w:styleId="CaptionChar">
    <w:name w:val="Caption Char"/>
    <w:uiPriority w:val="99"/>
    <w:qFormat/>
  </w:style>
  <w:style w:type="character" w:customStyle="1" w:styleId="FootnoteTextChar">
    <w:name w:val="Footnote Text Char"/>
    <w:uiPriority w:val="99"/>
    <w:qFormat/>
    <w:rPr>
      <w:sz w:val="18"/>
    </w:rPr>
  </w:style>
  <w:style w:type="character" w:customStyle="1" w:styleId="EndnoteTextChar">
    <w:name w:val="Endnote Text Char"/>
    <w:uiPriority w:val="99"/>
    <w:qFormat/>
    <w:rPr>
      <w:sz w:val="20"/>
    </w:rPr>
  </w:style>
  <w:style w:type="character" w:customStyle="1" w:styleId="NumberingSymbols">
    <w:name w:val="Numbering Symbols"/>
    <w:qFormat/>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rPr>
      <w:color w:val="000080"/>
      <w:u w:val="single"/>
    </w:rPr>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Source Han Sans CN" w:hAnsi="Liberation Sans" w:cs="Droid Sans Devanagari"/>
      <w:sz w:val="28"/>
      <w:szCs w:val="28"/>
    </w:rPr>
  </w:style>
  <w:style w:type="paragraph" w:styleId="BodyText">
    <w:name w:val="Body Text"/>
    <w:basedOn w:val="Normal"/>
    <w:pPr>
      <w:spacing w:before="11" w:after="11" w:line="276" w:lineRule="auto"/>
    </w:pPr>
  </w:style>
  <w:style w:type="paragraph" w:styleId="List">
    <w:name w:val="List"/>
    <w:basedOn w:val="BodyText"/>
    <w:rPr>
      <w:rFonts w:ascii="Minion Pro" w:hAnsi="Minion Pro" w:cs="Droid Sans Devanagari"/>
    </w:rPr>
  </w:style>
  <w:style w:type="paragraph" w:styleId="Caption">
    <w:name w:val="caption"/>
    <w:basedOn w:val="Normal"/>
    <w:qFormat/>
    <w:pPr>
      <w:suppressLineNumbers/>
      <w:spacing w:before="120" w:after="120"/>
    </w:pPr>
    <w:rPr>
      <w:rFonts w:ascii="Minion Pro" w:hAnsi="Minion Pro" w:cs="Droid Sans Devanagari"/>
      <w:i/>
      <w:iCs/>
      <w:szCs w:val="24"/>
    </w:rPr>
  </w:style>
  <w:style w:type="paragraph" w:customStyle="1" w:styleId="Index">
    <w:name w:val="Index"/>
    <w:basedOn w:val="Normal"/>
    <w:qFormat/>
    <w:pPr>
      <w:suppressLineNumbers/>
    </w:pPr>
    <w:rPr>
      <w:rFonts w:ascii="Minion Pro" w:hAnsi="Minion Pro" w:cs="Droid Sans Devanagari"/>
    </w:rPr>
  </w:style>
  <w:style w:type="paragraph" w:styleId="ListParagraph">
    <w:name w:val="List Paragraph"/>
    <w:basedOn w:val="Normal"/>
    <w:uiPriority w:val="34"/>
    <w:qFormat/>
    <w:pPr>
      <w:spacing w:before="0" w:after="0"/>
      <w:ind w:left="720"/>
      <w:contextualSpacing/>
    </w:pPr>
  </w:style>
  <w:style w:type="paragraph" w:styleId="NoSpacing">
    <w:name w:val="No Spacing"/>
    <w:uiPriority w:val="1"/>
    <w:qFormat/>
  </w:style>
  <w:style w:type="paragraph" w:styleId="Quote">
    <w:name w:val="Quote"/>
    <w:basedOn w:val="Normal"/>
    <w:uiPriority w:val="29"/>
    <w:qFormat/>
    <w:pPr>
      <w:ind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pPr>
    <w:rPr>
      <w:i/>
    </w:rPr>
  </w:style>
  <w:style w:type="paragraph" w:styleId="EndnoteText">
    <w:name w:val="endnote text"/>
    <w:basedOn w:val="Normal"/>
    <w:uiPriority w:val="99"/>
    <w:semiHidden/>
    <w:unhideWhenUsed/>
    <w:pPr>
      <w:spacing w:before="0" w:after="0" w:line="240" w:lineRule="auto"/>
    </w:pPr>
    <w:rPr>
      <w:sz w:val="20"/>
    </w:rPr>
  </w:style>
  <w:style w:type="paragraph" w:styleId="TOC1">
    <w:name w:val="toc 1"/>
    <w:basedOn w:val="Normal"/>
    <w:uiPriority w:val="39"/>
    <w:unhideWhenUsed/>
    <w:pPr>
      <w:spacing w:before="0" w:after="57"/>
    </w:pPr>
  </w:style>
  <w:style w:type="paragraph" w:styleId="TOC2">
    <w:name w:val="toc 2"/>
    <w:basedOn w:val="Normal"/>
    <w:uiPriority w:val="39"/>
    <w:unhideWhenUsed/>
    <w:pPr>
      <w:spacing w:before="0" w:after="57"/>
      <w:ind w:left="283"/>
    </w:pPr>
  </w:style>
  <w:style w:type="paragraph" w:styleId="TOC3">
    <w:name w:val="toc 3"/>
    <w:basedOn w:val="Normal"/>
    <w:uiPriority w:val="39"/>
    <w:unhideWhenUsed/>
    <w:pPr>
      <w:spacing w:before="0" w:after="57"/>
      <w:ind w:left="567"/>
    </w:pPr>
  </w:style>
  <w:style w:type="paragraph" w:styleId="TOC4">
    <w:name w:val="toc 4"/>
    <w:basedOn w:val="Normal"/>
    <w:uiPriority w:val="39"/>
    <w:unhideWhenUsed/>
    <w:pPr>
      <w:spacing w:before="0" w:after="57"/>
      <w:ind w:left="850"/>
    </w:pPr>
  </w:style>
  <w:style w:type="paragraph" w:styleId="TOC5">
    <w:name w:val="toc 5"/>
    <w:basedOn w:val="Normal"/>
    <w:uiPriority w:val="39"/>
    <w:unhideWhenUsed/>
    <w:pPr>
      <w:spacing w:before="0" w:after="57"/>
      <w:ind w:left="1134"/>
    </w:pPr>
  </w:style>
  <w:style w:type="paragraph" w:styleId="TOC6">
    <w:name w:val="toc 6"/>
    <w:basedOn w:val="Normal"/>
    <w:uiPriority w:val="39"/>
    <w:unhideWhenUsed/>
    <w:pPr>
      <w:spacing w:before="0" w:after="57"/>
      <w:ind w:left="1417"/>
    </w:pPr>
  </w:style>
  <w:style w:type="paragraph" w:styleId="TOC7">
    <w:name w:val="toc 7"/>
    <w:basedOn w:val="Normal"/>
    <w:uiPriority w:val="39"/>
    <w:unhideWhenUsed/>
    <w:pPr>
      <w:spacing w:before="0" w:after="57"/>
      <w:ind w:left="1701"/>
    </w:pPr>
  </w:style>
  <w:style w:type="paragraph" w:styleId="TOC8">
    <w:name w:val="toc 8"/>
    <w:basedOn w:val="Normal"/>
    <w:uiPriority w:val="39"/>
    <w:unhideWhenUsed/>
    <w:pPr>
      <w:spacing w:before="0" w:after="57"/>
      <w:ind w:left="1984"/>
    </w:pPr>
  </w:style>
  <w:style w:type="paragraph" w:styleId="TOC9">
    <w:name w:val="toc 9"/>
    <w:basedOn w:val="Normal"/>
    <w:uiPriority w:val="39"/>
    <w:unhideWhenUsed/>
    <w:pPr>
      <w:spacing w:before="0" w:after="57"/>
      <w:ind w:left="2268"/>
    </w:pPr>
  </w:style>
  <w:style w:type="paragraph" w:styleId="IndexHeading">
    <w:name w:val="index heading"/>
    <w:basedOn w:val="Heading"/>
  </w:style>
  <w:style w:type="paragraph" w:styleId="TOCHeading">
    <w:name w:val="TOC Heading"/>
    <w:uiPriority w:val="39"/>
    <w:unhideWhenUsed/>
  </w:style>
  <w:style w:type="paragraph" w:styleId="TableofFigures">
    <w:name w:val="table of figures"/>
    <w:basedOn w:val="Normal"/>
    <w:uiPriority w:val="99"/>
    <w:unhideWhenUsed/>
    <w:qFormat/>
    <w:pPr>
      <w:spacing w:before="0" w:after="0"/>
    </w:pPr>
  </w:style>
  <w:style w:type="paragraph" w:customStyle="1" w:styleId="PreformattedText">
    <w:name w:val="Preformatted Text"/>
    <w:basedOn w:val="Normal"/>
    <w:qFormat/>
    <w:pPr>
      <w:spacing w:before="11" w:after="0"/>
    </w:pPr>
    <w:rPr>
      <w:rFonts w:ascii="Courier 10 Pitch" w:eastAsia="Liberation Mono" w:hAnsi="Courier 10 Pitch" w:cs="Liberation Mono"/>
      <w:color w:val="0000FF"/>
      <w:sz w:val="22"/>
      <w:szCs w:val="20"/>
    </w:rPr>
  </w:style>
  <w:style w:type="paragraph" w:styleId="Title">
    <w:name w:val="Title"/>
    <w:basedOn w:val="Heading"/>
    <w:uiPriority w:val="10"/>
    <w:qFormat/>
    <w:pPr>
      <w:jc w:val="center"/>
    </w:pPr>
    <w:rPr>
      <w:rFonts w:ascii="Calibri Light" w:hAnsi="Calibri Light"/>
      <w:bCs/>
      <w:sz w:val="56"/>
      <w:szCs w:val="56"/>
    </w:rPr>
  </w:style>
  <w:style w:type="paragraph" w:styleId="Subtitle">
    <w:name w:val="Subtitle"/>
    <w:basedOn w:val="Heading"/>
    <w:uiPriority w:val="11"/>
    <w:qFormat/>
    <w:pPr>
      <w:spacing w:before="60"/>
      <w:jc w:val="center"/>
    </w:pPr>
    <w:rPr>
      <w:rFonts w:ascii="Calibri Light" w:hAnsi="Calibri Light"/>
      <w:sz w:val="48"/>
      <w:szCs w:val="36"/>
    </w:rPr>
  </w:style>
  <w:style w:type="paragraph" w:styleId="FootnoteText">
    <w:name w:val="footnote text"/>
    <w:basedOn w:val="Normal"/>
    <w:pPr>
      <w:suppressLineNumbers/>
      <w:ind w:left="340" w:hanging="340"/>
    </w:pPr>
    <w:rPr>
      <w:sz w:val="20"/>
      <w:szCs w:val="20"/>
    </w:r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style>
  <w:style w:type="paragraph" w:styleId="Footer">
    <w:name w:val="footer"/>
    <w:basedOn w:val="HeaderandFoote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ridTable1Light-Accent1">
    <w:name w:val="Grid Table 1 Light Accent 1"/>
    <w:basedOn w:val="TableNormal"/>
    <w:uiPriority w:val="99"/>
    <w:tblPr>
      <w:tblStyleRowBandSize w:val="1"/>
      <w:tblStyleColBandSize w:val="1"/>
      <w:tblBorders>
        <w:top w:val="single" w:sz="4" w:space="0" w:color="C0F4FF" w:themeColor="accent1" w:themeTint="67"/>
        <w:left w:val="single" w:sz="4" w:space="0" w:color="C0F4FF" w:themeColor="accent1" w:themeTint="67"/>
        <w:bottom w:val="single" w:sz="4" w:space="0" w:color="C0F4FF" w:themeColor="accent1" w:themeTint="67"/>
        <w:right w:val="single" w:sz="4" w:space="0" w:color="C0F4FF" w:themeColor="accent1" w:themeTint="67"/>
        <w:insideH w:val="single" w:sz="4" w:space="0" w:color="C0F4FF" w:themeColor="accent1" w:themeTint="67"/>
        <w:insideV w:val="single" w:sz="4" w:space="0" w:color="C0F4FF" w:themeColor="accent1" w:themeTint="67"/>
      </w:tblBorders>
      <w:tblCellMar>
        <w:left w:w="0" w:type="dxa"/>
        <w:right w:w="0" w:type="dxa"/>
      </w:tblCellMar>
    </w:tblPr>
    <w:tblStylePr w:type="firstRow">
      <w:rPr>
        <w:b/>
        <w:color w:val="404040"/>
      </w:rPr>
      <w:tblPr/>
      <w:tcPr>
        <w:tcBorders>
          <w:bottom w:val="single" w:sz="12" w:space="0" w:color="64E6FF" w:themeColor="accent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64E6FF" w:themeColor="accent1"/>
          <w:left w:val="single" w:sz="4" w:space="0" w:color="64E6FF" w:themeColor="accent1"/>
          <w:bottom w:val="single" w:sz="4" w:space="0" w:color="64E6FF" w:themeColor="accent1"/>
          <w:right w:val="single" w:sz="4" w:space="0" w:color="64E6FF" w:themeColor="accent1"/>
        </w:tcBorders>
      </w:tcPr>
    </w:tblStylePr>
  </w:style>
  <w:style w:type="table" w:styleId="GridTable1Light-Accent2">
    <w:name w:val="Grid Table 1 Light Accent 2"/>
    <w:basedOn w:val="TableNormal"/>
    <w:uiPriority w:val="99"/>
    <w:tblPr>
      <w:tblStyleRowBandSize w:val="1"/>
      <w:tblStyleColBandSize w:val="1"/>
      <w:tblBorders>
        <w:top w:val="single" w:sz="4" w:space="0" w:color="80D0FF" w:themeColor="accent2" w:themeTint="67"/>
        <w:left w:val="single" w:sz="4" w:space="0" w:color="80D0FF" w:themeColor="accent2" w:themeTint="67"/>
        <w:bottom w:val="single" w:sz="4" w:space="0" w:color="80D0FF" w:themeColor="accent2" w:themeTint="67"/>
        <w:right w:val="single" w:sz="4" w:space="0" w:color="80D0FF" w:themeColor="accent2" w:themeTint="67"/>
        <w:insideH w:val="single" w:sz="4" w:space="0" w:color="80D0FF" w:themeColor="accent2" w:themeTint="67"/>
        <w:insideV w:val="single" w:sz="4" w:space="0" w:color="80D0FF" w:themeColor="accent2" w:themeTint="67"/>
      </w:tblBorders>
      <w:tblCellMar>
        <w:left w:w="0" w:type="dxa"/>
        <w:right w:w="0" w:type="dxa"/>
      </w:tblCellMar>
    </w:tblPr>
    <w:tblStylePr w:type="firstRow">
      <w:rPr>
        <w:b/>
        <w:color w:val="404040"/>
      </w:rPr>
      <w:tblPr/>
      <w:tcPr>
        <w:tcBorders>
          <w:bottom w:val="single" w:sz="12" w:space="0" w:color="007DC5" w:themeColor="accent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007DC5" w:themeColor="accent2"/>
          <w:left w:val="single" w:sz="4" w:space="0" w:color="007DC5" w:themeColor="accent2"/>
          <w:bottom w:val="single" w:sz="4" w:space="0" w:color="007DC5" w:themeColor="accent2"/>
          <w:right w:val="single" w:sz="4" w:space="0" w:color="007DC5" w:themeColor="accent2"/>
        </w:tcBorders>
      </w:tcPr>
    </w:tblStylePr>
  </w:style>
  <w:style w:type="table" w:styleId="GridTable1Light-Accent3">
    <w:name w:val="Grid Table 1 Light Accent 3"/>
    <w:basedOn w:val="TableNormal"/>
    <w:uiPriority w:val="99"/>
    <w:tblPr>
      <w:tblStyleRowBandSize w:val="1"/>
      <w:tblStyleColBandSize w:val="1"/>
      <w:tblBorders>
        <w:top w:val="single" w:sz="4" w:space="0" w:color="B19FE2" w:themeColor="accent3" w:themeTint="67"/>
        <w:left w:val="single" w:sz="4" w:space="0" w:color="B19FE2" w:themeColor="accent3" w:themeTint="67"/>
        <w:bottom w:val="single" w:sz="4" w:space="0" w:color="B19FE2" w:themeColor="accent3" w:themeTint="67"/>
        <w:right w:val="single" w:sz="4" w:space="0" w:color="B19FE2" w:themeColor="accent3" w:themeTint="67"/>
        <w:insideH w:val="single" w:sz="4" w:space="0" w:color="B19FE2" w:themeColor="accent3" w:themeTint="67"/>
        <w:insideV w:val="single" w:sz="4" w:space="0" w:color="B19FE2" w:themeColor="accent3" w:themeTint="67"/>
      </w:tblBorders>
      <w:tblCellMar>
        <w:left w:w="0" w:type="dxa"/>
        <w:right w:w="0" w:type="dxa"/>
      </w:tblCellMar>
    </w:tblPr>
    <w:tblStylePr w:type="firstRow">
      <w:rPr>
        <w:b/>
        <w:color w:val="404040"/>
      </w:rPr>
      <w:tblPr/>
      <w:tcPr>
        <w:tcBorders>
          <w:bottom w:val="single" w:sz="12" w:space="0" w:color="4D2F9E" w:themeColor="accent3"/>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4D2F9E" w:themeColor="accent3"/>
          <w:left w:val="single" w:sz="4" w:space="0" w:color="4D2F9E" w:themeColor="accent3"/>
          <w:bottom w:val="single" w:sz="4" w:space="0" w:color="4D2F9E" w:themeColor="accent3"/>
          <w:right w:val="single" w:sz="4" w:space="0" w:color="4D2F9E" w:themeColor="accent3"/>
        </w:tcBorders>
      </w:tcPr>
    </w:tblStylePr>
  </w:style>
  <w:style w:type="table" w:styleId="GridTable1Light-Accent4">
    <w:name w:val="Grid Table 1 Light Accent 4"/>
    <w:basedOn w:val="TableNormal"/>
    <w:uiPriority w:val="99"/>
    <w:tblPr>
      <w:tblStyleRowBandSize w:val="1"/>
      <w:tblStyleColBandSize w:val="1"/>
      <w:tblBorders>
        <w:top w:val="single" w:sz="4" w:space="0" w:color="FF7DAC" w:themeColor="accent4" w:themeTint="67"/>
        <w:left w:val="single" w:sz="4" w:space="0" w:color="FF7DAC" w:themeColor="accent4" w:themeTint="67"/>
        <w:bottom w:val="single" w:sz="4" w:space="0" w:color="FF7DAC" w:themeColor="accent4" w:themeTint="67"/>
        <w:right w:val="single" w:sz="4" w:space="0" w:color="FF7DAC" w:themeColor="accent4" w:themeTint="67"/>
        <w:insideH w:val="single" w:sz="4" w:space="0" w:color="FF7DAC" w:themeColor="accent4" w:themeTint="67"/>
        <w:insideV w:val="single" w:sz="4" w:space="0" w:color="FF7DAC" w:themeColor="accent4" w:themeTint="67"/>
      </w:tblBorders>
      <w:tblCellMar>
        <w:left w:w="0" w:type="dxa"/>
        <w:right w:w="0" w:type="dxa"/>
      </w:tblCellMar>
    </w:tblPr>
    <w:tblStylePr w:type="firstRow">
      <w:rPr>
        <w:b/>
        <w:color w:val="404040"/>
      </w:rPr>
      <w:tblPr/>
      <w:tcPr>
        <w:tcBorders>
          <w:bottom w:val="single" w:sz="12" w:space="0" w:color="BE0046" w:themeColor="accent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BE0046" w:themeColor="accent4"/>
          <w:left w:val="single" w:sz="4" w:space="0" w:color="BE0046" w:themeColor="accent4"/>
          <w:bottom w:val="single" w:sz="4" w:space="0" w:color="BE0046" w:themeColor="accent4"/>
          <w:right w:val="single" w:sz="4" w:space="0" w:color="BE0046" w:themeColor="accent4"/>
        </w:tcBorders>
      </w:tcPr>
    </w:tblStylePr>
  </w:style>
  <w:style w:type="table" w:styleId="GridTable1Light-Accent5">
    <w:name w:val="Grid Table 1 Light Accent 5"/>
    <w:basedOn w:val="TableNormal"/>
    <w:uiPriority w:val="99"/>
    <w:tblPr>
      <w:tblStyleRowBandSize w:val="1"/>
      <w:tblStyleColBandSize w:val="1"/>
      <w:tblBorders>
        <w:top w:val="single" w:sz="4" w:space="0" w:color="FFB58F" w:themeColor="accent5" w:themeTint="67"/>
        <w:left w:val="single" w:sz="4" w:space="0" w:color="FFB58F" w:themeColor="accent5" w:themeTint="67"/>
        <w:bottom w:val="single" w:sz="4" w:space="0" w:color="FFB58F" w:themeColor="accent5" w:themeTint="67"/>
        <w:right w:val="single" w:sz="4" w:space="0" w:color="FFB58F" w:themeColor="accent5" w:themeTint="67"/>
        <w:insideH w:val="single" w:sz="4" w:space="0" w:color="FFB58F" w:themeColor="accent5" w:themeTint="67"/>
        <w:insideV w:val="single" w:sz="4" w:space="0" w:color="FFB58F" w:themeColor="accent5" w:themeTint="67"/>
      </w:tblBorders>
      <w:tblCellMar>
        <w:left w:w="0" w:type="dxa"/>
        <w:right w:w="0" w:type="dxa"/>
      </w:tblCellMar>
    </w:tblPr>
    <w:tblStylePr w:type="firstRow">
      <w:rPr>
        <w:b/>
        <w:color w:val="404040"/>
      </w:rPr>
      <w:tblPr/>
      <w:tcPr>
        <w:tcBorders>
          <w:bottom w:val="single" w:sz="12" w:space="0" w:color="EB5000" w:themeColor="accent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EB5000" w:themeColor="accent5"/>
          <w:left w:val="single" w:sz="4" w:space="0" w:color="EB5000" w:themeColor="accent5"/>
          <w:bottom w:val="single" w:sz="4" w:space="0" w:color="EB5000" w:themeColor="accent5"/>
          <w:right w:val="single" w:sz="4" w:space="0" w:color="EB5000" w:themeColor="accent5"/>
        </w:tcBorders>
      </w:tcPr>
    </w:tblStylePr>
  </w:style>
  <w:style w:type="table" w:styleId="GridTable1Light-Accent6">
    <w:name w:val="Grid Table 1 Light Accent 6"/>
    <w:basedOn w:val="TableNormal"/>
    <w:uiPriority w:val="99"/>
    <w:tblPr>
      <w:tblStyleRowBandSize w:val="1"/>
      <w:tblStyleColBandSize w:val="1"/>
      <w:tblBorders>
        <w:top w:val="single" w:sz="4" w:space="0" w:color="FFF498" w:themeColor="accent6" w:themeTint="67"/>
        <w:left w:val="single" w:sz="4" w:space="0" w:color="FFF498" w:themeColor="accent6" w:themeTint="67"/>
        <w:bottom w:val="single" w:sz="4" w:space="0" w:color="FFF498" w:themeColor="accent6" w:themeTint="67"/>
        <w:right w:val="single" w:sz="4" w:space="0" w:color="FFF498" w:themeColor="accent6" w:themeTint="67"/>
        <w:insideH w:val="single" w:sz="4" w:space="0" w:color="FFF498" w:themeColor="accent6" w:themeTint="67"/>
        <w:insideV w:val="single" w:sz="4" w:space="0" w:color="FFF498" w:themeColor="accent6" w:themeTint="67"/>
      </w:tblBorders>
      <w:tblCellMar>
        <w:left w:w="0" w:type="dxa"/>
        <w:right w:w="0" w:type="dxa"/>
      </w:tblCellMar>
    </w:tblPr>
    <w:tblStylePr w:type="firstRow">
      <w:rPr>
        <w:b/>
        <w:color w:val="404040"/>
      </w:rPr>
      <w:tblPr/>
      <w:tcPr>
        <w:tcBorders>
          <w:bottom w:val="single" w:sz="12" w:space="0" w:color="FFE600" w:themeColor="accent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FFE600" w:themeColor="accent6"/>
          <w:left w:val="single" w:sz="4" w:space="0" w:color="FFE600" w:themeColor="accent6"/>
          <w:bottom w:val="single" w:sz="4" w:space="0" w:color="FFE600" w:themeColor="accent6"/>
          <w:right w:val="single" w:sz="4" w:space="0" w:color="FFE600" w:themeColor="accent6"/>
        </w:tcBorders>
      </w:tcPr>
    </w:tblStylePr>
  </w:style>
  <w:style w:type="table" w:styleId="GridTable2-Accent1">
    <w:name w:val="Grid Table 2 Accent 1"/>
    <w:basedOn w:val="TableNormal"/>
    <w:uiPriority w:val="99"/>
    <w:tblPr>
      <w:tblStyleRowBandSize w:val="1"/>
      <w:tblStyleColBandSize w:val="1"/>
      <w:tblBorders>
        <w:bottom w:val="single" w:sz="4" w:space="0" w:color="70E7FF" w:themeColor="accent1" w:themeTint="EA"/>
        <w:insideH w:val="single" w:sz="4" w:space="0" w:color="70E7FF" w:themeColor="accent1" w:themeTint="EA"/>
        <w:insideV w:val="single" w:sz="4" w:space="0" w:color="70E7FF" w:themeColor="accent1" w:themeTint="EA"/>
      </w:tblBorders>
      <w:tblCellMar>
        <w:left w:w="0" w:type="dxa"/>
        <w:right w:w="0" w:type="dxa"/>
      </w:tblCellMar>
    </w:tblPr>
    <w:tblStylePr w:type="firstRow">
      <w:rPr>
        <w:b/>
        <w:color w:val="404040"/>
      </w:rPr>
      <w:tblPr/>
      <w:tcPr>
        <w:tcBorders>
          <w:top w:val="none" w:sz="4" w:space="0" w:color="000000"/>
          <w:left w:val="none" w:sz="4" w:space="0" w:color="000000"/>
          <w:bottom w:val="single" w:sz="12" w:space="0" w:color="64E6FF" w:themeColor="accent1"/>
          <w:right w:val="none" w:sz="4" w:space="0" w:color="000000"/>
        </w:tcBorders>
        <w:shd w:val="clear" w:color="FFFFFF" w:fill="auto"/>
      </w:tcPr>
    </w:tblStylePr>
    <w:tblStylePr w:type="lastRow">
      <w:rPr>
        <w:b/>
        <w:color w:val="404040"/>
      </w:rPr>
      <w:tblPr/>
      <w:tcPr>
        <w:tcBorders>
          <w:top w:val="single" w:sz="4" w:space="0" w:color="64E6FF" w:themeColor="accent1"/>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DFF9FF" w:fill="DFF9FF" w:themeFill="accent1" w:themeFillTint="34"/>
      </w:tcPr>
    </w:tblStylePr>
    <w:tblStylePr w:type="band1Horz">
      <w:rPr>
        <w:color w:val="404040"/>
        <w:sz w:val="22"/>
      </w:rPr>
      <w:tblPr/>
      <w:tcPr>
        <w:shd w:val="clear" w:color="DFF9FF" w:fill="DFF9FF"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45BAFF" w:themeColor="accent2" w:themeTint="97"/>
        <w:insideH w:val="single" w:sz="4" w:space="0" w:color="45BAFF" w:themeColor="accent2" w:themeTint="97"/>
        <w:insideV w:val="single" w:sz="4" w:space="0" w:color="45BAFF" w:themeColor="accent2" w:themeTint="97"/>
      </w:tblBorders>
      <w:tblCellMar>
        <w:left w:w="0" w:type="dxa"/>
        <w:right w:w="0" w:type="dxa"/>
      </w:tblCellMar>
    </w:tblPr>
    <w:tblStylePr w:type="firstRow">
      <w:rPr>
        <w:b/>
        <w:color w:val="404040"/>
      </w:rPr>
      <w:tblPr/>
      <w:tcPr>
        <w:tcBorders>
          <w:top w:val="none" w:sz="4" w:space="0" w:color="000000"/>
          <w:left w:val="none" w:sz="4" w:space="0" w:color="000000"/>
          <w:bottom w:val="single" w:sz="12" w:space="0" w:color="007DC5" w:themeColor="accent2"/>
          <w:right w:val="none" w:sz="4" w:space="0" w:color="000000"/>
        </w:tcBorders>
        <w:shd w:val="clear" w:color="FFFFFF" w:fill="auto"/>
      </w:tcPr>
    </w:tblStylePr>
    <w:tblStylePr w:type="lastRow">
      <w:rPr>
        <w:b/>
        <w:color w:val="404040"/>
      </w:rPr>
      <w:tblPr/>
      <w:tcPr>
        <w:tcBorders>
          <w:top w:val="single" w:sz="4" w:space="0" w:color="007DC5" w:themeColor="accent2"/>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C1E8FF" w:fill="C1E8FF" w:themeFill="accent2" w:themeFillTint="32"/>
      </w:tcPr>
    </w:tblStylePr>
    <w:tblStylePr w:type="band1Horz">
      <w:rPr>
        <w:color w:val="404040"/>
        <w:sz w:val="22"/>
      </w:rPr>
      <w:tblPr/>
      <w:tcPr>
        <w:shd w:val="clear" w:color="C1E8FF" w:fill="C1E8FF"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4D2F9E" w:themeColor="accent3" w:themeTint="FE"/>
        <w:insideH w:val="single" w:sz="4" w:space="0" w:color="4D2F9E" w:themeColor="accent3" w:themeTint="FE"/>
        <w:insideV w:val="single" w:sz="4" w:space="0" w:color="4D2F9E" w:themeColor="accent3" w:themeTint="FE"/>
      </w:tblBorders>
      <w:tblCellMar>
        <w:left w:w="0" w:type="dxa"/>
        <w:right w:w="0" w:type="dxa"/>
      </w:tblCellMar>
    </w:tblPr>
    <w:tblStylePr w:type="firstRow">
      <w:rPr>
        <w:b/>
        <w:color w:val="404040"/>
      </w:rPr>
      <w:tblPr/>
      <w:tcPr>
        <w:tcBorders>
          <w:top w:val="none" w:sz="4" w:space="0" w:color="000000"/>
          <w:left w:val="none" w:sz="4" w:space="0" w:color="000000"/>
          <w:bottom w:val="single" w:sz="12" w:space="0" w:color="4D2F9E" w:themeColor="accent3"/>
          <w:right w:val="none" w:sz="4" w:space="0" w:color="000000"/>
        </w:tcBorders>
        <w:shd w:val="clear" w:color="FFFFFF" w:fill="auto"/>
      </w:tcPr>
    </w:tblStylePr>
    <w:tblStylePr w:type="lastRow">
      <w:rPr>
        <w:b/>
        <w:color w:val="404040"/>
      </w:rPr>
      <w:tblPr/>
      <w:tcPr>
        <w:tcBorders>
          <w:top w:val="single" w:sz="4" w:space="0" w:color="4D2F9E" w:themeColor="accent3"/>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D7CEF0" w:fill="D7CEF0" w:themeFill="accent3" w:themeFillTint="34"/>
      </w:tcPr>
    </w:tblStylePr>
    <w:tblStylePr w:type="band1Horz">
      <w:rPr>
        <w:color w:val="404040"/>
        <w:sz w:val="22"/>
      </w:rPr>
      <w:tblPr/>
      <w:tcPr>
        <w:shd w:val="clear" w:color="D7CEF0" w:fill="D7CEF0"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3D84" w:themeColor="accent4" w:themeTint="9A"/>
        <w:insideH w:val="single" w:sz="4" w:space="0" w:color="FF3D84" w:themeColor="accent4" w:themeTint="9A"/>
        <w:insideV w:val="single" w:sz="4" w:space="0" w:color="FF3D84" w:themeColor="accent4" w:themeTint="9A"/>
      </w:tblBorders>
      <w:tblCellMar>
        <w:left w:w="0" w:type="dxa"/>
        <w:right w:w="0" w:type="dxa"/>
      </w:tblCellMar>
    </w:tblPr>
    <w:tblStylePr w:type="firstRow">
      <w:rPr>
        <w:b/>
        <w:color w:val="404040"/>
      </w:rPr>
      <w:tblPr/>
      <w:tcPr>
        <w:tcBorders>
          <w:top w:val="none" w:sz="4" w:space="0" w:color="000000"/>
          <w:left w:val="none" w:sz="4" w:space="0" w:color="000000"/>
          <w:bottom w:val="single" w:sz="12" w:space="0" w:color="BE0046" w:themeColor="accent4"/>
          <w:right w:val="none" w:sz="4" w:space="0" w:color="000000"/>
        </w:tcBorders>
        <w:shd w:val="clear" w:color="FFFFFF" w:fill="auto"/>
      </w:tcPr>
    </w:tblStylePr>
    <w:tblStylePr w:type="lastRow">
      <w:rPr>
        <w:b/>
        <w:color w:val="404040"/>
      </w:rPr>
      <w:tblPr/>
      <w:tcPr>
        <w:tcBorders>
          <w:top w:val="single" w:sz="4" w:space="0" w:color="BE0046" w:themeColor="accent4"/>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FFBDD5" w:fill="FFBDD5" w:themeFill="accent4" w:themeFillTint="34"/>
      </w:tcPr>
    </w:tblStylePr>
    <w:tblStylePr w:type="band1Horz">
      <w:rPr>
        <w:color w:val="404040"/>
        <w:sz w:val="22"/>
      </w:rPr>
      <w:tblPr/>
      <w:tcPr>
        <w:shd w:val="clear" w:color="FFBDD5" w:fill="FFBDD5"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EB5000" w:themeColor="accent5"/>
        <w:insideH w:val="single" w:sz="4" w:space="0" w:color="EB5000" w:themeColor="accent5"/>
        <w:insideV w:val="single" w:sz="4" w:space="0" w:color="EB5000" w:themeColor="accent5"/>
      </w:tblBorders>
      <w:tblCellMar>
        <w:left w:w="0" w:type="dxa"/>
        <w:right w:w="0" w:type="dxa"/>
      </w:tblCellMar>
    </w:tblPr>
    <w:tblStylePr w:type="firstRow">
      <w:rPr>
        <w:b/>
        <w:color w:val="404040"/>
      </w:rPr>
      <w:tblPr/>
      <w:tcPr>
        <w:tcBorders>
          <w:top w:val="none" w:sz="4" w:space="0" w:color="000000"/>
          <w:left w:val="none" w:sz="4" w:space="0" w:color="000000"/>
          <w:bottom w:val="single" w:sz="12" w:space="0" w:color="EB5000" w:themeColor="accent5"/>
          <w:right w:val="none" w:sz="4" w:space="0" w:color="000000"/>
        </w:tcBorders>
        <w:shd w:val="clear" w:color="FFFFFF" w:fill="auto"/>
      </w:tcPr>
    </w:tblStylePr>
    <w:tblStylePr w:type="lastRow">
      <w:rPr>
        <w:b/>
        <w:color w:val="404040"/>
      </w:rPr>
      <w:tblPr/>
      <w:tcPr>
        <w:tcBorders>
          <w:top w:val="single" w:sz="4" w:space="0" w:color="EB5000"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FFD9C6" w:fill="FFD9C6" w:themeFill="accent5" w:themeFillTint="34"/>
      </w:tcPr>
    </w:tblStylePr>
    <w:tblStylePr w:type="band1Horz">
      <w:rPr>
        <w:color w:val="404040"/>
        <w:sz w:val="22"/>
      </w:rPr>
      <w:tblPr/>
      <w:tcPr>
        <w:shd w:val="clear" w:color="FFD9C6" w:fill="FFD9C6"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FFE600" w:themeColor="accent6"/>
        <w:insideH w:val="single" w:sz="4" w:space="0" w:color="FFE600" w:themeColor="accent6"/>
        <w:insideV w:val="single" w:sz="4" w:space="0" w:color="FFE600" w:themeColor="accent6"/>
      </w:tblBorders>
      <w:tblCellMar>
        <w:left w:w="0" w:type="dxa"/>
        <w:right w:w="0" w:type="dxa"/>
      </w:tblCellMar>
    </w:tblPr>
    <w:tblStylePr w:type="firstRow">
      <w:rPr>
        <w:b/>
        <w:color w:val="404040"/>
      </w:rPr>
      <w:tblPr/>
      <w:tcPr>
        <w:tcBorders>
          <w:top w:val="none" w:sz="4" w:space="0" w:color="000000"/>
          <w:left w:val="none" w:sz="4" w:space="0" w:color="000000"/>
          <w:bottom w:val="single" w:sz="12" w:space="0" w:color="FFE600" w:themeColor="accent6"/>
          <w:right w:val="none" w:sz="4" w:space="0" w:color="000000"/>
        </w:tcBorders>
        <w:shd w:val="clear" w:color="FFFFFF" w:fill="auto"/>
      </w:tcPr>
    </w:tblStylePr>
    <w:tblStylePr w:type="lastRow">
      <w:rPr>
        <w:b/>
        <w:color w:val="404040"/>
      </w:rPr>
      <w:tblPr/>
      <w:tcPr>
        <w:tcBorders>
          <w:top w:val="single" w:sz="4" w:space="0" w:color="FFE600"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FFF9CB" w:fill="FFF9CB" w:themeFill="accent6" w:themeFillTint="34"/>
      </w:tcPr>
    </w:tblStylePr>
    <w:tblStylePr w:type="band1Horz">
      <w:rPr>
        <w:color w:val="404040"/>
        <w:sz w:val="22"/>
      </w:rPr>
      <w:tblPr/>
      <w:tcPr>
        <w:shd w:val="clear" w:color="FFF9CB" w:fill="FFF9CB" w:themeFill="accent6" w:themeFillTint="34"/>
      </w:tcPr>
    </w:tblStylePr>
  </w:style>
  <w:style w:type="table" w:styleId="GridTable3-Accent1">
    <w:name w:val="Grid Table 3 Accent 1"/>
    <w:basedOn w:val="TableNormal"/>
    <w:uiPriority w:val="99"/>
    <w:tblPr>
      <w:tblStyleRowBandSize w:val="1"/>
      <w:tblStyleColBandSize w:val="1"/>
      <w:tblBorders>
        <w:bottom w:val="single" w:sz="4" w:space="0" w:color="70E7FF" w:themeColor="accent1" w:themeTint="EA"/>
        <w:insideH w:val="single" w:sz="4" w:space="0" w:color="70E7FF" w:themeColor="accent1" w:themeTint="EA"/>
        <w:insideV w:val="single" w:sz="4" w:space="0" w:color="70E7FF" w:themeColor="accent1" w:themeTint="EA"/>
      </w:tblBorders>
      <w:tblCellMar>
        <w:left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DFF9FF" w:fill="DFF9FF" w:themeFill="accent1" w:themeFillTint="34"/>
      </w:tcPr>
    </w:tblStylePr>
    <w:tblStylePr w:type="band1Horz">
      <w:rPr>
        <w:color w:val="404040"/>
        <w:sz w:val="22"/>
      </w:rPr>
      <w:tblPr/>
      <w:tcPr>
        <w:shd w:val="clear" w:color="DFF9FF" w:fill="DFF9FF"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45BAFF" w:themeColor="accent2" w:themeTint="97"/>
        <w:insideH w:val="single" w:sz="4" w:space="0" w:color="45BAFF" w:themeColor="accent2" w:themeTint="97"/>
        <w:insideV w:val="single" w:sz="4" w:space="0" w:color="45BAFF" w:themeColor="accent2" w:themeTint="97"/>
      </w:tblBorders>
      <w:tblCellMar>
        <w:left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C1E8FF" w:fill="C1E8FF" w:themeFill="accent2" w:themeFillTint="32"/>
      </w:tcPr>
    </w:tblStylePr>
    <w:tblStylePr w:type="band1Horz">
      <w:rPr>
        <w:color w:val="404040"/>
        <w:sz w:val="22"/>
      </w:rPr>
      <w:tblPr/>
      <w:tcPr>
        <w:shd w:val="clear" w:color="C1E8FF" w:fill="C1E8FF"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4D2F9E" w:themeColor="accent3" w:themeTint="FE"/>
        <w:insideH w:val="single" w:sz="4" w:space="0" w:color="4D2F9E" w:themeColor="accent3" w:themeTint="FE"/>
        <w:insideV w:val="single" w:sz="4" w:space="0" w:color="4D2F9E" w:themeColor="accent3" w:themeTint="FE"/>
      </w:tblBorders>
      <w:tblCellMar>
        <w:left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D7CEF0" w:fill="D7CEF0" w:themeFill="accent3" w:themeFillTint="34"/>
      </w:tcPr>
    </w:tblStylePr>
    <w:tblStylePr w:type="band1Horz">
      <w:rPr>
        <w:color w:val="404040"/>
        <w:sz w:val="22"/>
      </w:rPr>
      <w:tblPr/>
      <w:tcPr>
        <w:shd w:val="clear" w:color="D7CEF0" w:fill="D7CEF0"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3D84" w:themeColor="accent4" w:themeTint="9A"/>
        <w:insideH w:val="single" w:sz="4" w:space="0" w:color="FF3D84" w:themeColor="accent4" w:themeTint="9A"/>
        <w:insideV w:val="single" w:sz="4" w:space="0" w:color="FF3D84" w:themeColor="accent4" w:themeTint="9A"/>
      </w:tblBorders>
      <w:tblCellMar>
        <w:left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FFBDD5" w:fill="FFBDD5" w:themeFill="accent4" w:themeFillTint="34"/>
      </w:tcPr>
    </w:tblStylePr>
    <w:tblStylePr w:type="band1Horz">
      <w:rPr>
        <w:color w:val="404040"/>
        <w:sz w:val="22"/>
      </w:rPr>
      <w:tblPr/>
      <w:tcPr>
        <w:shd w:val="clear" w:color="FFBDD5" w:fill="FFBDD5"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EB5000" w:themeColor="accent5"/>
        <w:insideH w:val="single" w:sz="4" w:space="0" w:color="EB5000" w:themeColor="accent5"/>
        <w:insideV w:val="single" w:sz="4" w:space="0" w:color="EB5000" w:themeColor="accent5"/>
      </w:tblBorders>
      <w:tblCellMar>
        <w:left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FFD9C6" w:fill="FFD9C6" w:themeFill="accent5" w:themeFillTint="34"/>
      </w:tcPr>
    </w:tblStylePr>
    <w:tblStylePr w:type="band1Horz">
      <w:rPr>
        <w:color w:val="404040"/>
        <w:sz w:val="22"/>
      </w:rPr>
      <w:tblPr/>
      <w:tcPr>
        <w:shd w:val="clear" w:color="FFD9C6" w:fill="FFD9C6"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FFE600" w:themeColor="accent6"/>
        <w:insideH w:val="single" w:sz="4" w:space="0" w:color="FFE600" w:themeColor="accent6"/>
        <w:insideV w:val="single" w:sz="4" w:space="0" w:color="FFE600" w:themeColor="accent6"/>
      </w:tblBorders>
      <w:tblCellMar>
        <w:left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FFF9CB" w:fill="FFF9CB" w:themeFill="accent6" w:themeFillTint="34"/>
      </w:tcPr>
    </w:tblStylePr>
    <w:tblStylePr w:type="band1Horz">
      <w:rPr>
        <w:color w:val="404040"/>
        <w:sz w:val="22"/>
      </w:rPr>
      <w:tblPr/>
      <w:tcPr>
        <w:shd w:val="clear" w:color="FFF9CB" w:fill="FFF9CB" w:themeFill="accent6" w:themeFillTint="34"/>
      </w:tcPr>
    </w:tblStylePr>
  </w:style>
  <w:style w:type="table" w:styleId="GridTable4-Accent1">
    <w:name w:val="Grid Table 4 Accent 1"/>
    <w:basedOn w:val="TableNormal"/>
    <w:uiPriority w:val="59"/>
    <w:tblPr>
      <w:tblStyleRowBandSize w:val="1"/>
      <w:tblStyleColBandSize w:val="1"/>
      <w:tblBorders>
        <w:top w:val="single" w:sz="4" w:space="0" w:color="A7F0FF" w:themeColor="accent1" w:themeTint="90"/>
        <w:left w:val="single" w:sz="4" w:space="0" w:color="A7F0FF" w:themeColor="accent1" w:themeTint="90"/>
        <w:bottom w:val="single" w:sz="4" w:space="0" w:color="A7F0FF" w:themeColor="accent1" w:themeTint="90"/>
        <w:right w:val="single" w:sz="4" w:space="0" w:color="A7F0FF" w:themeColor="accent1" w:themeTint="90"/>
        <w:insideH w:val="single" w:sz="4" w:space="0" w:color="A7F0FF" w:themeColor="accent1" w:themeTint="90"/>
        <w:insideV w:val="single" w:sz="4" w:space="0" w:color="A7F0FF" w:themeColor="accent1" w:themeTint="90"/>
      </w:tblBorders>
      <w:tblCellMar>
        <w:left w:w="0" w:type="dxa"/>
        <w:right w:w="0" w:type="dxa"/>
      </w:tblCellMar>
    </w:tblPr>
    <w:tblStylePr w:type="firstRow">
      <w:rPr>
        <w:b/>
        <w:color w:val="FFFFFF"/>
        <w:sz w:val="22"/>
      </w:rPr>
      <w:tblPr/>
      <w:tcPr>
        <w:tcBorders>
          <w:top w:val="single" w:sz="4" w:space="0" w:color="64E6FF" w:themeColor="accent1"/>
          <w:left w:val="single" w:sz="4" w:space="0" w:color="64E6FF" w:themeColor="accent1"/>
          <w:bottom w:val="single" w:sz="4" w:space="0" w:color="64E6FF" w:themeColor="accent1"/>
          <w:right w:val="single" w:sz="4" w:space="0" w:color="64E6FF" w:themeColor="accent1"/>
        </w:tcBorders>
        <w:shd w:val="clear" w:color="70E7FF" w:fill="70E7FF" w:themeFill="accent1" w:themeFillTint="EA"/>
      </w:tcPr>
    </w:tblStylePr>
    <w:tblStylePr w:type="lastRow">
      <w:rPr>
        <w:b/>
        <w:color w:val="404040"/>
      </w:rPr>
      <w:tblPr/>
      <w:tcPr>
        <w:tcBorders>
          <w:top w:val="single" w:sz="4" w:space="0" w:color="64E6FF" w:themeColor="accent1"/>
        </w:tcBorders>
      </w:tcPr>
    </w:tblStylePr>
    <w:tblStylePr w:type="firstCol">
      <w:rPr>
        <w:b/>
        <w:color w:val="404040"/>
      </w:rPr>
    </w:tblStylePr>
    <w:tblStylePr w:type="lastCol">
      <w:rPr>
        <w:b/>
        <w:color w:val="404040"/>
      </w:rPr>
    </w:tblStylePr>
    <w:tblStylePr w:type="band1Vert">
      <w:rPr>
        <w:color w:val="404040"/>
        <w:sz w:val="22"/>
      </w:rPr>
      <w:tblPr/>
      <w:tcPr>
        <w:shd w:val="clear" w:color="E0F9FF" w:fill="E0F9FF" w:themeFill="accent1" w:themeFillTint="32"/>
      </w:tcPr>
    </w:tblStylePr>
    <w:tblStylePr w:type="band1Horz">
      <w:rPr>
        <w:color w:val="404040"/>
        <w:sz w:val="22"/>
      </w:rPr>
      <w:tblPr/>
      <w:tcPr>
        <w:shd w:val="clear" w:color="E0F9FF" w:fill="E0F9FF"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4EBDFF" w:themeColor="accent2" w:themeTint="90"/>
        <w:left w:val="single" w:sz="4" w:space="0" w:color="4EBDFF" w:themeColor="accent2" w:themeTint="90"/>
        <w:bottom w:val="single" w:sz="4" w:space="0" w:color="4EBDFF" w:themeColor="accent2" w:themeTint="90"/>
        <w:right w:val="single" w:sz="4" w:space="0" w:color="4EBDFF" w:themeColor="accent2" w:themeTint="90"/>
        <w:insideH w:val="single" w:sz="4" w:space="0" w:color="4EBDFF" w:themeColor="accent2" w:themeTint="90"/>
        <w:insideV w:val="single" w:sz="4" w:space="0" w:color="4EBDFF" w:themeColor="accent2" w:themeTint="90"/>
      </w:tblBorders>
      <w:tblCellMar>
        <w:left w:w="0" w:type="dxa"/>
        <w:right w:w="0" w:type="dxa"/>
      </w:tblCellMar>
    </w:tblPr>
    <w:tblStylePr w:type="firstRow">
      <w:rPr>
        <w:b/>
        <w:color w:val="FFFFFF"/>
        <w:sz w:val="22"/>
      </w:rPr>
      <w:tblPr/>
      <w:tcPr>
        <w:tcBorders>
          <w:top w:val="single" w:sz="4" w:space="0" w:color="007DC5" w:themeColor="accent2"/>
          <w:left w:val="single" w:sz="4" w:space="0" w:color="007DC5" w:themeColor="accent2"/>
          <w:bottom w:val="single" w:sz="4" w:space="0" w:color="007DC5" w:themeColor="accent2"/>
          <w:right w:val="single" w:sz="4" w:space="0" w:color="007DC5" w:themeColor="accent2"/>
        </w:tcBorders>
        <w:shd w:val="clear" w:color="45BAFF" w:fill="45BAFF" w:themeFill="accent2" w:themeFillTint="97"/>
      </w:tcPr>
    </w:tblStylePr>
    <w:tblStylePr w:type="lastRow">
      <w:rPr>
        <w:b/>
        <w:color w:val="404040"/>
      </w:rPr>
      <w:tblPr/>
      <w:tcPr>
        <w:tcBorders>
          <w:top w:val="single" w:sz="4" w:space="0" w:color="007DC5" w:themeColor="accent2"/>
        </w:tcBorders>
      </w:tcPr>
    </w:tblStylePr>
    <w:tblStylePr w:type="firstCol">
      <w:rPr>
        <w:b/>
        <w:color w:val="404040"/>
      </w:rPr>
    </w:tblStylePr>
    <w:tblStylePr w:type="lastCol">
      <w:rPr>
        <w:b/>
        <w:color w:val="404040"/>
      </w:rPr>
    </w:tblStylePr>
    <w:tblStylePr w:type="band1Vert">
      <w:rPr>
        <w:color w:val="404040"/>
        <w:sz w:val="22"/>
      </w:rPr>
      <w:tblPr/>
      <w:tcPr>
        <w:shd w:val="clear" w:color="C1E8FF" w:fill="C1E8FF" w:themeFill="accent2" w:themeFillTint="32"/>
      </w:tcPr>
    </w:tblStylePr>
    <w:tblStylePr w:type="band1Horz">
      <w:rPr>
        <w:color w:val="404040"/>
        <w:sz w:val="22"/>
      </w:rPr>
      <w:tblPr/>
      <w:tcPr>
        <w:shd w:val="clear" w:color="C1E8FF" w:fill="C1E8FF"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937AD7" w:themeColor="accent3" w:themeTint="90"/>
        <w:left w:val="single" w:sz="4" w:space="0" w:color="937AD7" w:themeColor="accent3" w:themeTint="90"/>
        <w:bottom w:val="single" w:sz="4" w:space="0" w:color="937AD7" w:themeColor="accent3" w:themeTint="90"/>
        <w:right w:val="single" w:sz="4" w:space="0" w:color="937AD7" w:themeColor="accent3" w:themeTint="90"/>
        <w:insideH w:val="single" w:sz="4" w:space="0" w:color="937AD7" w:themeColor="accent3" w:themeTint="90"/>
        <w:insideV w:val="single" w:sz="4" w:space="0" w:color="937AD7" w:themeColor="accent3" w:themeTint="90"/>
      </w:tblBorders>
      <w:tblCellMar>
        <w:left w:w="0" w:type="dxa"/>
        <w:right w:w="0" w:type="dxa"/>
      </w:tblCellMar>
    </w:tblPr>
    <w:tblStylePr w:type="firstRow">
      <w:rPr>
        <w:b/>
        <w:color w:val="FFFFFF"/>
        <w:sz w:val="22"/>
      </w:rPr>
      <w:tblPr/>
      <w:tcPr>
        <w:tcBorders>
          <w:top w:val="single" w:sz="4" w:space="0" w:color="4D2F9E" w:themeColor="accent3"/>
          <w:left w:val="single" w:sz="4" w:space="0" w:color="4D2F9E" w:themeColor="accent3"/>
          <w:bottom w:val="single" w:sz="4" w:space="0" w:color="4D2F9E" w:themeColor="accent3"/>
          <w:right w:val="single" w:sz="4" w:space="0" w:color="4D2F9E" w:themeColor="accent3"/>
        </w:tcBorders>
        <w:shd w:val="clear" w:color="4D2F9E" w:fill="4D2F9E" w:themeFill="accent3" w:themeFillTint="FE"/>
      </w:tcPr>
    </w:tblStylePr>
    <w:tblStylePr w:type="lastRow">
      <w:rPr>
        <w:b/>
        <w:color w:val="404040"/>
      </w:rPr>
      <w:tblPr/>
      <w:tcPr>
        <w:tcBorders>
          <w:top w:val="single" w:sz="4" w:space="0" w:color="4D2F9E" w:themeColor="accent3"/>
        </w:tcBorders>
      </w:tcPr>
    </w:tblStylePr>
    <w:tblStylePr w:type="firstCol">
      <w:rPr>
        <w:b/>
        <w:color w:val="404040"/>
      </w:rPr>
    </w:tblStylePr>
    <w:tblStylePr w:type="lastCol">
      <w:rPr>
        <w:b/>
        <w:color w:val="404040"/>
      </w:rPr>
    </w:tblStylePr>
    <w:tblStylePr w:type="band1Vert">
      <w:rPr>
        <w:color w:val="404040"/>
        <w:sz w:val="22"/>
      </w:rPr>
      <w:tblPr/>
      <w:tcPr>
        <w:shd w:val="clear" w:color="D7CEF0" w:fill="D7CEF0" w:themeFill="accent3" w:themeFillTint="34"/>
      </w:tcPr>
    </w:tblStylePr>
    <w:tblStylePr w:type="band1Horz">
      <w:rPr>
        <w:color w:val="404040"/>
        <w:sz w:val="22"/>
      </w:rPr>
      <w:tblPr/>
      <w:tcPr>
        <w:shd w:val="clear" w:color="D7CEF0" w:fill="D7CEF0"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4A8C" w:themeColor="accent4" w:themeTint="90"/>
        <w:left w:val="single" w:sz="4" w:space="0" w:color="FF4A8C" w:themeColor="accent4" w:themeTint="90"/>
        <w:bottom w:val="single" w:sz="4" w:space="0" w:color="FF4A8C" w:themeColor="accent4" w:themeTint="90"/>
        <w:right w:val="single" w:sz="4" w:space="0" w:color="FF4A8C" w:themeColor="accent4" w:themeTint="90"/>
        <w:insideH w:val="single" w:sz="4" w:space="0" w:color="FF4A8C" w:themeColor="accent4" w:themeTint="90"/>
        <w:insideV w:val="single" w:sz="4" w:space="0" w:color="FF4A8C" w:themeColor="accent4" w:themeTint="90"/>
      </w:tblBorders>
      <w:tblCellMar>
        <w:left w:w="0" w:type="dxa"/>
        <w:right w:w="0" w:type="dxa"/>
      </w:tblCellMar>
    </w:tblPr>
    <w:tblStylePr w:type="firstRow">
      <w:rPr>
        <w:b/>
        <w:color w:val="FFFFFF"/>
        <w:sz w:val="22"/>
      </w:rPr>
      <w:tblPr/>
      <w:tcPr>
        <w:tcBorders>
          <w:top w:val="single" w:sz="4" w:space="0" w:color="BE0046" w:themeColor="accent4"/>
          <w:left w:val="single" w:sz="4" w:space="0" w:color="BE0046" w:themeColor="accent4"/>
          <w:bottom w:val="single" w:sz="4" w:space="0" w:color="BE0046" w:themeColor="accent4"/>
          <w:right w:val="single" w:sz="4" w:space="0" w:color="BE0046" w:themeColor="accent4"/>
        </w:tcBorders>
        <w:shd w:val="clear" w:color="FF3D84" w:fill="FF3D84" w:themeFill="accent4" w:themeFillTint="9A"/>
      </w:tcPr>
    </w:tblStylePr>
    <w:tblStylePr w:type="lastRow">
      <w:rPr>
        <w:b/>
        <w:color w:val="404040"/>
      </w:rPr>
      <w:tblPr/>
      <w:tcPr>
        <w:tcBorders>
          <w:top w:val="single" w:sz="4" w:space="0" w:color="BE0046" w:themeColor="accent4"/>
        </w:tcBorders>
      </w:tcPr>
    </w:tblStylePr>
    <w:tblStylePr w:type="firstCol">
      <w:rPr>
        <w:b/>
        <w:color w:val="404040"/>
      </w:rPr>
    </w:tblStylePr>
    <w:tblStylePr w:type="lastCol">
      <w:rPr>
        <w:b/>
        <w:color w:val="404040"/>
      </w:rPr>
    </w:tblStylePr>
    <w:tblStylePr w:type="band1Vert">
      <w:rPr>
        <w:color w:val="404040"/>
        <w:sz w:val="22"/>
      </w:rPr>
      <w:tblPr/>
      <w:tcPr>
        <w:shd w:val="clear" w:color="FFBDD5" w:fill="FFBDD5" w:themeFill="accent4" w:themeFillTint="34"/>
      </w:tcPr>
    </w:tblStylePr>
    <w:tblStylePr w:type="band1Horz">
      <w:rPr>
        <w:color w:val="404040"/>
        <w:sz w:val="22"/>
      </w:rPr>
      <w:tblPr/>
      <w:tcPr>
        <w:shd w:val="clear" w:color="FFBDD5" w:fill="FFBDD5"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FF9863" w:themeColor="accent5" w:themeTint="90"/>
        <w:left w:val="single" w:sz="4" w:space="0" w:color="FF9863" w:themeColor="accent5" w:themeTint="90"/>
        <w:bottom w:val="single" w:sz="4" w:space="0" w:color="FF9863" w:themeColor="accent5" w:themeTint="90"/>
        <w:right w:val="single" w:sz="4" w:space="0" w:color="FF9863" w:themeColor="accent5" w:themeTint="90"/>
        <w:insideH w:val="single" w:sz="4" w:space="0" w:color="FF9863" w:themeColor="accent5" w:themeTint="90"/>
        <w:insideV w:val="single" w:sz="4" w:space="0" w:color="FF9863" w:themeColor="accent5" w:themeTint="90"/>
      </w:tblBorders>
      <w:tblCellMar>
        <w:left w:w="0" w:type="dxa"/>
        <w:right w:w="0" w:type="dxa"/>
      </w:tblCellMar>
    </w:tblPr>
    <w:tblStylePr w:type="firstRow">
      <w:rPr>
        <w:b/>
        <w:color w:val="FFFFFF"/>
        <w:sz w:val="22"/>
      </w:rPr>
      <w:tblPr/>
      <w:tcPr>
        <w:tcBorders>
          <w:top w:val="single" w:sz="4" w:space="0" w:color="EB5000" w:themeColor="accent5"/>
          <w:left w:val="single" w:sz="4" w:space="0" w:color="EB5000" w:themeColor="accent5"/>
          <w:bottom w:val="single" w:sz="4" w:space="0" w:color="EB5000" w:themeColor="accent5"/>
          <w:right w:val="single" w:sz="4" w:space="0" w:color="EB5000" w:themeColor="accent5"/>
        </w:tcBorders>
        <w:shd w:val="clear" w:color="EB5000" w:fill="EB5000" w:themeFill="accent5"/>
      </w:tcPr>
    </w:tblStylePr>
    <w:tblStylePr w:type="lastRow">
      <w:rPr>
        <w:b/>
        <w:color w:val="404040"/>
      </w:rPr>
      <w:tblPr/>
      <w:tcPr>
        <w:tcBorders>
          <w:top w:val="single" w:sz="4" w:space="0" w:color="EB5000" w:themeColor="accent5"/>
        </w:tcBorders>
      </w:tcPr>
    </w:tblStylePr>
    <w:tblStylePr w:type="firstCol">
      <w:rPr>
        <w:b/>
        <w:color w:val="404040"/>
      </w:rPr>
    </w:tblStylePr>
    <w:tblStylePr w:type="lastCol">
      <w:rPr>
        <w:b/>
        <w:color w:val="404040"/>
      </w:rPr>
    </w:tblStylePr>
    <w:tblStylePr w:type="band1Vert">
      <w:rPr>
        <w:color w:val="404040"/>
        <w:sz w:val="22"/>
      </w:rPr>
      <w:tblPr/>
      <w:tcPr>
        <w:shd w:val="clear" w:color="FFD9C6" w:fill="FFD9C6" w:themeFill="accent5" w:themeFillTint="34"/>
      </w:tcPr>
    </w:tblStylePr>
    <w:tblStylePr w:type="band1Horz">
      <w:rPr>
        <w:color w:val="404040"/>
        <w:sz w:val="22"/>
      </w:rPr>
      <w:tblPr/>
      <w:tcPr>
        <w:shd w:val="clear" w:color="FFD9C6" w:fill="FFD9C6"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FFF06F" w:themeColor="accent6" w:themeTint="90"/>
        <w:left w:val="single" w:sz="4" w:space="0" w:color="FFF06F" w:themeColor="accent6" w:themeTint="90"/>
        <w:bottom w:val="single" w:sz="4" w:space="0" w:color="FFF06F" w:themeColor="accent6" w:themeTint="90"/>
        <w:right w:val="single" w:sz="4" w:space="0" w:color="FFF06F" w:themeColor="accent6" w:themeTint="90"/>
        <w:insideH w:val="single" w:sz="4" w:space="0" w:color="FFF06F" w:themeColor="accent6" w:themeTint="90"/>
        <w:insideV w:val="single" w:sz="4" w:space="0" w:color="FFF06F" w:themeColor="accent6" w:themeTint="90"/>
      </w:tblBorders>
      <w:tblCellMar>
        <w:left w:w="0" w:type="dxa"/>
        <w:right w:w="0" w:type="dxa"/>
      </w:tblCellMar>
    </w:tblPr>
    <w:tblStylePr w:type="firstRow">
      <w:rPr>
        <w:b/>
        <w:color w:val="FFFFFF"/>
        <w:sz w:val="22"/>
      </w:rPr>
      <w:tblPr/>
      <w:tcPr>
        <w:tcBorders>
          <w:top w:val="single" w:sz="4" w:space="0" w:color="FFE600" w:themeColor="accent6"/>
          <w:left w:val="single" w:sz="4" w:space="0" w:color="FFE600" w:themeColor="accent6"/>
          <w:bottom w:val="single" w:sz="4" w:space="0" w:color="FFE600" w:themeColor="accent6"/>
          <w:right w:val="single" w:sz="4" w:space="0" w:color="FFE600" w:themeColor="accent6"/>
        </w:tcBorders>
        <w:shd w:val="clear" w:color="FFE600" w:fill="FFE600" w:themeFill="accent6"/>
      </w:tcPr>
    </w:tblStylePr>
    <w:tblStylePr w:type="lastRow">
      <w:rPr>
        <w:b/>
        <w:color w:val="404040"/>
      </w:rPr>
      <w:tblPr/>
      <w:tcPr>
        <w:tcBorders>
          <w:top w:val="single" w:sz="4" w:space="0" w:color="FFE600" w:themeColor="accent6"/>
        </w:tcBorders>
      </w:tcPr>
    </w:tblStylePr>
    <w:tblStylePr w:type="firstCol">
      <w:rPr>
        <w:b/>
        <w:color w:val="404040"/>
      </w:rPr>
    </w:tblStylePr>
    <w:tblStylePr w:type="lastCol">
      <w:rPr>
        <w:b/>
        <w:color w:val="404040"/>
      </w:rPr>
    </w:tblStylePr>
    <w:tblStylePr w:type="band1Vert">
      <w:rPr>
        <w:color w:val="404040"/>
        <w:sz w:val="22"/>
      </w:rPr>
      <w:tblPr/>
      <w:tcPr>
        <w:shd w:val="clear" w:color="FFF9CB" w:fill="FFF9CB" w:themeFill="accent6" w:themeFillTint="34"/>
      </w:tcPr>
    </w:tblStylePr>
    <w:tblStylePr w:type="band1Horz">
      <w:rPr>
        <w:color w:val="404040"/>
        <w:sz w:val="22"/>
      </w:rPr>
      <w:tblPr/>
      <w:tcPr>
        <w:shd w:val="clear" w:color="FFF9CB" w:fill="FFF9CB" w:themeFill="accent6" w:themeFillTint="34"/>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left w:w="0" w:type="dxa"/>
        <w:right w:w="0" w:type="dxa"/>
      </w:tblCellMar>
    </w:tblPr>
    <w:tblStylePr w:type="firstRow">
      <w:rPr>
        <w:b/>
        <w:color w:val="FFFFFF"/>
        <w:sz w:val="22"/>
      </w:rPr>
      <w:tblPr/>
      <w:tcPr>
        <w:shd w:val="clear" w:color="007DC5" w:fill="007DC5" w:themeFill="accent2"/>
      </w:tcPr>
    </w:tblStylePr>
    <w:tblStylePr w:type="lastRow">
      <w:rPr>
        <w:b/>
        <w:color w:val="FFFFFF"/>
        <w:sz w:val="22"/>
      </w:rPr>
      <w:tblPr/>
      <w:tcPr>
        <w:tcBorders>
          <w:top w:val="single" w:sz="4" w:space="0" w:color="FFFFFF" w:themeColor="light1"/>
        </w:tcBorders>
        <w:shd w:val="clear" w:color="007DC5" w:fill="007DC5" w:themeFill="accent2"/>
      </w:tcPr>
    </w:tblStylePr>
    <w:tblStylePr w:type="firstCol">
      <w:rPr>
        <w:b/>
        <w:color w:val="FFFFFF"/>
        <w:sz w:val="22"/>
      </w:rPr>
      <w:tblPr/>
      <w:tcPr>
        <w:shd w:val="clear" w:color="007DC5" w:fill="007DC5" w:themeFill="accent2"/>
      </w:tcPr>
    </w:tblStylePr>
    <w:tblStylePr w:type="lastCol">
      <w:rPr>
        <w:b/>
        <w:color w:val="FFFFFF"/>
        <w:sz w:val="22"/>
      </w:rPr>
      <w:tblPr/>
      <w:tcPr>
        <w:shd w:val="clear" w:color="007DC5" w:fill="007DC5" w:themeFill="accent2"/>
      </w:tcPr>
    </w:tblStylePr>
    <w:tblStylePr w:type="band1Vert">
      <w:tblPr/>
      <w:tcPr>
        <w:shd w:val="clear" w:color="6FCAFF" w:fill="6FCAFF" w:themeFill="accent2" w:themeFillTint="75"/>
      </w:tcPr>
    </w:tblStylePr>
    <w:tblStylePr w:type="band1Horz">
      <w:tblPr/>
      <w:tcPr>
        <w:shd w:val="clear" w:color="6FCAFF" w:fill="6FCAFF"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left w:w="0" w:type="dxa"/>
        <w:right w:w="0" w:type="dxa"/>
      </w:tblCellMar>
    </w:tblPr>
    <w:tblStylePr w:type="firstRow">
      <w:rPr>
        <w:b/>
        <w:color w:val="FFFFFF"/>
        <w:sz w:val="22"/>
      </w:rPr>
      <w:tblPr/>
      <w:tcPr>
        <w:shd w:val="clear" w:color="4D2F9E" w:fill="4D2F9E" w:themeFill="accent3"/>
      </w:tcPr>
    </w:tblStylePr>
    <w:tblStylePr w:type="lastRow">
      <w:rPr>
        <w:b/>
        <w:color w:val="FFFFFF"/>
        <w:sz w:val="22"/>
      </w:rPr>
      <w:tblPr/>
      <w:tcPr>
        <w:tcBorders>
          <w:top w:val="single" w:sz="4" w:space="0" w:color="FFFFFF" w:themeColor="light1"/>
        </w:tcBorders>
        <w:shd w:val="clear" w:color="4D2F9E" w:fill="4D2F9E" w:themeFill="accent3"/>
      </w:tcPr>
    </w:tblStylePr>
    <w:tblStylePr w:type="firstCol">
      <w:rPr>
        <w:b/>
        <w:color w:val="FFFFFF"/>
        <w:sz w:val="22"/>
      </w:rPr>
      <w:tblPr/>
      <w:tcPr>
        <w:shd w:val="clear" w:color="4D2F9E" w:fill="4D2F9E" w:themeFill="accent3"/>
      </w:tcPr>
    </w:tblStylePr>
    <w:tblStylePr w:type="lastCol">
      <w:rPr>
        <w:b/>
        <w:color w:val="FFFFFF"/>
        <w:sz w:val="22"/>
      </w:rPr>
      <w:tblPr/>
      <w:tcPr>
        <w:shd w:val="clear" w:color="4D2F9E" w:fill="4D2F9E" w:themeFill="accent3"/>
      </w:tcPr>
    </w:tblStylePr>
    <w:tblStylePr w:type="band1Vert">
      <w:tblPr/>
      <w:tcPr>
        <w:shd w:val="clear" w:color="A793DF" w:fill="A793DF" w:themeFill="accent3" w:themeFillTint="75"/>
      </w:tcPr>
    </w:tblStylePr>
    <w:tblStylePr w:type="band1Horz">
      <w:tblPr/>
      <w:tcPr>
        <w:shd w:val="clear" w:color="A793DF" w:fill="A793DF" w:themeFill="accent3"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left w:w="0" w:type="dxa"/>
        <w:right w:w="0" w:type="dxa"/>
      </w:tblCellMar>
    </w:tblPr>
    <w:tblStylePr w:type="firstRow">
      <w:rPr>
        <w:b/>
        <w:color w:val="FFFFFF"/>
        <w:sz w:val="22"/>
      </w:rPr>
      <w:tblPr/>
      <w:tcPr>
        <w:shd w:val="clear" w:color="EB5000" w:fill="EB5000" w:themeFill="accent5"/>
      </w:tcPr>
    </w:tblStylePr>
    <w:tblStylePr w:type="lastRow">
      <w:rPr>
        <w:b/>
        <w:color w:val="FFFFFF"/>
        <w:sz w:val="22"/>
      </w:rPr>
      <w:tblPr/>
      <w:tcPr>
        <w:tcBorders>
          <w:top w:val="single" w:sz="4" w:space="0" w:color="FFFFFF" w:themeColor="light1"/>
        </w:tcBorders>
        <w:shd w:val="clear" w:color="EB5000" w:fill="EB5000" w:themeFill="accent5"/>
      </w:tcPr>
    </w:tblStylePr>
    <w:tblStylePr w:type="firstCol">
      <w:rPr>
        <w:b/>
        <w:color w:val="FFFFFF"/>
        <w:sz w:val="22"/>
      </w:rPr>
      <w:tblPr/>
      <w:tcPr>
        <w:shd w:val="clear" w:color="EB5000" w:fill="EB5000" w:themeFill="accent5"/>
      </w:tcPr>
    </w:tblStylePr>
    <w:tblStylePr w:type="lastCol">
      <w:rPr>
        <w:b/>
        <w:color w:val="FFFFFF"/>
        <w:sz w:val="22"/>
      </w:rPr>
      <w:tblPr/>
      <w:tcPr>
        <w:shd w:val="clear" w:color="EB5000" w:fill="EB5000" w:themeFill="accent5"/>
      </w:tcPr>
    </w:tblStylePr>
    <w:tblStylePr w:type="band1Vert">
      <w:tblPr/>
      <w:tcPr>
        <w:shd w:val="clear" w:color="FFAB80" w:fill="FFAB80" w:themeFill="accent5" w:themeFillTint="75"/>
      </w:tcPr>
    </w:tblStylePr>
    <w:tblStylePr w:type="band1Horz">
      <w:tblPr/>
      <w:tcPr>
        <w:shd w:val="clear" w:color="FFAB80" w:fill="FFAB80"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left w:w="0" w:type="dxa"/>
        <w:right w:w="0" w:type="dxa"/>
      </w:tblCellMar>
    </w:tblPr>
    <w:tblStylePr w:type="firstRow">
      <w:rPr>
        <w:b/>
        <w:color w:val="FFFFFF"/>
        <w:sz w:val="22"/>
      </w:rPr>
      <w:tblPr/>
      <w:tcPr>
        <w:shd w:val="clear" w:color="FFE600" w:fill="FFE600" w:themeFill="accent6"/>
      </w:tcPr>
    </w:tblStylePr>
    <w:tblStylePr w:type="lastRow">
      <w:rPr>
        <w:b/>
        <w:color w:val="FFFFFF"/>
        <w:sz w:val="22"/>
      </w:rPr>
      <w:tblPr/>
      <w:tcPr>
        <w:tcBorders>
          <w:top w:val="single" w:sz="4" w:space="0" w:color="FFFFFF" w:themeColor="light1"/>
        </w:tcBorders>
        <w:shd w:val="clear" w:color="FFE600" w:fill="FFE600" w:themeFill="accent6"/>
      </w:tcPr>
    </w:tblStylePr>
    <w:tblStylePr w:type="firstCol">
      <w:rPr>
        <w:b/>
        <w:color w:val="FFFFFF"/>
        <w:sz w:val="22"/>
      </w:rPr>
      <w:tblPr/>
      <w:tcPr>
        <w:shd w:val="clear" w:color="FFE600" w:fill="FFE600" w:themeFill="accent6"/>
      </w:tcPr>
    </w:tblStylePr>
    <w:tblStylePr w:type="lastCol">
      <w:rPr>
        <w:b/>
        <w:color w:val="FFFFFF"/>
        <w:sz w:val="22"/>
      </w:rPr>
      <w:tblPr/>
      <w:tcPr>
        <w:shd w:val="clear" w:color="FFE600" w:fill="FFE600" w:themeFill="accent6"/>
      </w:tcPr>
    </w:tblStylePr>
    <w:tblStylePr w:type="band1Vert">
      <w:tblPr/>
      <w:tcPr>
        <w:shd w:val="clear" w:color="FFF38A" w:fill="FFF38A" w:themeFill="accent6" w:themeFillTint="75"/>
      </w:tcPr>
    </w:tblStylePr>
    <w:tblStylePr w:type="band1Horz">
      <w:tblPr/>
      <w:tcPr>
        <w:shd w:val="clear" w:color="FFF38A" w:fill="FFF38A" w:themeFill="accent6" w:themeFillTint="75"/>
      </w:tcPr>
    </w:tblStylePr>
  </w:style>
  <w:style w:type="table" w:styleId="GridTable6Colorful-Accent1">
    <w:name w:val="Grid Table 6 Colorful Accent 1"/>
    <w:basedOn w:val="TableNormal"/>
    <w:uiPriority w:val="99"/>
    <w:tblPr>
      <w:tblStyleRowBandSize w:val="1"/>
      <w:tblStyleColBandSize w:val="1"/>
      <w:tblBorders>
        <w:top w:val="single" w:sz="4" w:space="0" w:color="B1F2FF" w:themeColor="accent1" w:themeTint="80"/>
        <w:left w:val="single" w:sz="4" w:space="0" w:color="B1F2FF" w:themeColor="accent1" w:themeTint="80"/>
        <w:bottom w:val="single" w:sz="4" w:space="0" w:color="B1F2FF" w:themeColor="accent1" w:themeTint="80"/>
        <w:right w:val="single" w:sz="4" w:space="0" w:color="B1F2FF" w:themeColor="accent1" w:themeTint="80"/>
        <w:insideH w:val="single" w:sz="4" w:space="0" w:color="B1F2FF" w:themeColor="accent1" w:themeTint="80"/>
        <w:insideV w:val="single" w:sz="4" w:space="0" w:color="B1F2FF" w:themeColor="accent1" w:themeTint="80"/>
      </w:tblBorders>
      <w:tblCellMar>
        <w:left w:w="0" w:type="dxa"/>
        <w:right w:w="0" w:type="dxa"/>
      </w:tblCellMar>
    </w:tblPr>
    <w:tblStylePr w:type="firstRow">
      <w:rPr>
        <w:b/>
        <w:color w:val="B1F2FF" w:themeColor="accent1" w:themeTint="80" w:themeShade="95"/>
      </w:rPr>
      <w:tblPr/>
      <w:tcPr>
        <w:tcBorders>
          <w:bottom w:val="single" w:sz="12" w:space="0" w:color="64E6FF" w:themeColor="accent1"/>
        </w:tcBorders>
      </w:tcPr>
    </w:tblStylePr>
    <w:tblStylePr w:type="lastRow">
      <w:rPr>
        <w:b/>
        <w:color w:val="B1F2FF" w:themeColor="accent1" w:themeTint="80" w:themeShade="95"/>
      </w:rPr>
    </w:tblStylePr>
    <w:tblStylePr w:type="firstCol">
      <w:rPr>
        <w:b/>
        <w:color w:val="B1F2FF" w:themeColor="accent1" w:themeTint="80" w:themeShade="95"/>
      </w:rPr>
    </w:tblStylePr>
    <w:tblStylePr w:type="lastCol">
      <w:rPr>
        <w:b/>
        <w:color w:val="B1F2FF" w:themeColor="accent1" w:themeTint="80" w:themeShade="95"/>
      </w:rPr>
    </w:tblStylePr>
    <w:tblStylePr w:type="band1Vert">
      <w:tblPr/>
      <w:tcPr>
        <w:shd w:val="clear" w:color="DFF9FF" w:fill="DFF9FF" w:themeFill="accent1" w:themeFillTint="34"/>
      </w:tcPr>
    </w:tblStylePr>
    <w:tblStylePr w:type="band1Horz">
      <w:rPr>
        <w:color w:val="B1F2FF" w:themeColor="accent1" w:themeTint="80" w:themeShade="95"/>
        <w:sz w:val="22"/>
      </w:rPr>
      <w:tblPr/>
      <w:tcPr>
        <w:shd w:val="clear" w:color="DFF9FF" w:fill="DFF9FF" w:themeFill="accent1" w:themeFillTint="34"/>
      </w:tcPr>
    </w:tblStylePr>
    <w:tblStylePr w:type="band2Horz">
      <w:rPr>
        <w:color w:val="B1F2FF"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45BAFF" w:themeColor="accent2" w:themeTint="97"/>
        <w:left w:val="single" w:sz="4" w:space="0" w:color="45BAFF" w:themeColor="accent2" w:themeTint="97"/>
        <w:bottom w:val="single" w:sz="4" w:space="0" w:color="45BAFF" w:themeColor="accent2" w:themeTint="97"/>
        <w:right w:val="single" w:sz="4" w:space="0" w:color="45BAFF" w:themeColor="accent2" w:themeTint="97"/>
        <w:insideH w:val="single" w:sz="4" w:space="0" w:color="45BAFF" w:themeColor="accent2" w:themeTint="97"/>
        <w:insideV w:val="single" w:sz="4" w:space="0" w:color="45BAFF" w:themeColor="accent2" w:themeTint="97"/>
      </w:tblBorders>
      <w:tblCellMar>
        <w:left w:w="0" w:type="dxa"/>
        <w:right w:w="0" w:type="dxa"/>
      </w:tblCellMar>
    </w:tblPr>
    <w:tblStylePr w:type="firstRow">
      <w:rPr>
        <w:b/>
        <w:color w:val="45BAFF" w:themeColor="accent2" w:themeTint="97" w:themeShade="95"/>
      </w:rPr>
      <w:tblPr/>
      <w:tcPr>
        <w:tcBorders>
          <w:bottom w:val="single" w:sz="12" w:space="0" w:color="007DC5" w:themeColor="accent2"/>
        </w:tcBorders>
      </w:tcPr>
    </w:tblStylePr>
    <w:tblStylePr w:type="lastRow">
      <w:rPr>
        <w:b/>
        <w:color w:val="45BAFF" w:themeColor="accent2" w:themeTint="97" w:themeShade="95"/>
      </w:rPr>
    </w:tblStylePr>
    <w:tblStylePr w:type="firstCol">
      <w:rPr>
        <w:b/>
        <w:color w:val="45BAFF" w:themeColor="accent2" w:themeTint="97" w:themeShade="95"/>
      </w:rPr>
    </w:tblStylePr>
    <w:tblStylePr w:type="lastCol">
      <w:rPr>
        <w:b/>
        <w:color w:val="45BAFF" w:themeColor="accent2" w:themeTint="97" w:themeShade="95"/>
      </w:rPr>
    </w:tblStylePr>
    <w:tblStylePr w:type="band1Vert">
      <w:tblPr/>
      <w:tcPr>
        <w:shd w:val="clear" w:color="C1E8FF" w:fill="C1E8FF" w:themeFill="accent2" w:themeFillTint="32"/>
      </w:tcPr>
    </w:tblStylePr>
    <w:tblStylePr w:type="band1Horz">
      <w:rPr>
        <w:color w:val="45BAFF" w:themeColor="accent2" w:themeTint="97" w:themeShade="95"/>
        <w:sz w:val="22"/>
      </w:rPr>
      <w:tblPr/>
      <w:tcPr>
        <w:shd w:val="clear" w:color="C1E8FF" w:fill="C1E8FF" w:themeFill="accent2" w:themeFillTint="32"/>
      </w:tcPr>
    </w:tblStylePr>
    <w:tblStylePr w:type="band2Horz">
      <w:rPr>
        <w:color w:val="45BAFF"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4D2F9E" w:themeColor="accent3" w:themeTint="FE"/>
        <w:left w:val="single" w:sz="4" w:space="0" w:color="4D2F9E" w:themeColor="accent3" w:themeTint="FE"/>
        <w:bottom w:val="single" w:sz="4" w:space="0" w:color="4D2F9E" w:themeColor="accent3" w:themeTint="FE"/>
        <w:right w:val="single" w:sz="4" w:space="0" w:color="4D2F9E" w:themeColor="accent3" w:themeTint="FE"/>
        <w:insideH w:val="single" w:sz="4" w:space="0" w:color="4D2F9E" w:themeColor="accent3" w:themeTint="FE"/>
        <w:insideV w:val="single" w:sz="4" w:space="0" w:color="4D2F9E" w:themeColor="accent3" w:themeTint="FE"/>
      </w:tblBorders>
      <w:tblCellMar>
        <w:left w:w="0" w:type="dxa"/>
        <w:right w:w="0" w:type="dxa"/>
      </w:tblCellMar>
    </w:tblPr>
    <w:tblStylePr w:type="firstRow">
      <w:rPr>
        <w:b/>
        <w:color w:val="4D2F9E" w:themeColor="accent3" w:themeTint="FE" w:themeShade="95"/>
      </w:rPr>
      <w:tblPr/>
      <w:tcPr>
        <w:tcBorders>
          <w:bottom w:val="single" w:sz="12" w:space="0" w:color="4D2F9E" w:themeColor="accent3"/>
        </w:tcBorders>
      </w:tcPr>
    </w:tblStylePr>
    <w:tblStylePr w:type="lastRow">
      <w:rPr>
        <w:b/>
        <w:color w:val="4D2F9E" w:themeColor="accent3" w:themeTint="FE" w:themeShade="95"/>
      </w:rPr>
    </w:tblStylePr>
    <w:tblStylePr w:type="firstCol">
      <w:rPr>
        <w:b/>
        <w:color w:val="4D2F9E" w:themeColor="accent3" w:themeTint="FE" w:themeShade="95"/>
      </w:rPr>
    </w:tblStylePr>
    <w:tblStylePr w:type="lastCol">
      <w:rPr>
        <w:b/>
        <w:color w:val="4D2F9E" w:themeColor="accent3" w:themeTint="FE" w:themeShade="95"/>
      </w:rPr>
    </w:tblStylePr>
    <w:tblStylePr w:type="band1Vert">
      <w:tblPr/>
      <w:tcPr>
        <w:shd w:val="clear" w:color="D7CEF0" w:fill="D7CEF0" w:themeFill="accent3" w:themeFillTint="34"/>
      </w:tcPr>
    </w:tblStylePr>
    <w:tblStylePr w:type="band1Horz">
      <w:rPr>
        <w:color w:val="4D2F9E" w:themeColor="accent3" w:themeTint="FE" w:themeShade="95"/>
        <w:sz w:val="22"/>
      </w:rPr>
      <w:tblPr/>
      <w:tcPr>
        <w:shd w:val="clear" w:color="D7CEF0" w:fill="D7CEF0" w:themeFill="accent3" w:themeFillTint="34"/>
      </w:tcPr>
    </w:tblStylePr>
    <w:tblStylePr w:type="band2Horz">
      <w:rPr>
        <w:color w:val="4D2F9E"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FF3D84" w:themeColor="accent4" w:themeTint="9A"/>
        <w:left w:val="single" w:sz="4" w:space="0" w:color="FF3D84" w:themeColor="accent4" w:themeTint="9A"/>
        <w:bottom w:val="single" w:sz="4" w:space="0" w:color="FF3D84" w:themeColor="accent4" w:themeTint="9A"/>
        <w:right w:val="single" w:sz="4" w:space="0" w:color="FF3D84" w:themeColor="accent4" w:themeTint="9A"/>
        <w:insideH w:val="single" w:sz="4" w:space="0" w:color="FF3D84" w:themeColor="accent4" w:themeTint="9A"/>
        <w:insideV w:val="single" w:sz="4" w:space="0" w:color="FF3D84" w:themeColor="accent4" w:themeTint="9A"/>
      </w:tblBorders>
      <w:tblCellMar>
        <w:left w:w="0" w:type="dxa"/>
        <w:right w:w="0" w:type="dxa"/>
      </w:tblCellMar>
    </w:tblPr>
    <w:tblStylePr w:type="firstRow">
      <w:rPr>
        <w:b/>
        <w:color w:val="FF3D84" w:themeColor="accent4" w:themeTint="9A" w:themeShade="95"/>
      </w:rPr>
      <w:tblPr/>
      <w:tcPr>
        <w:tcBorders>
          <w:bottom w:val="single" w:sz="12" w:space="0" w:color="BE0046" w:themeColor="accent4"/>
        </w:tcBorders>
      </w:tcPr>
    </w:tblStylePr>
    <w:tblStylePr w:type="lastRow">
      <w:rPr>
        <w:b/>
        <w:color w:val="FF3D84" w:themeColor="accent4" w:themeTint="9A" w:themeShade="95"/>
      </w:rPr>
    </w:tblStylePr>
    <w:tblStylePr w:type="firstCol">
      <w:rPr>
        <w:b/>
        <w:color w:val="FF3D84" w:themeColor="accent4" w:themeTint="9A" w:themeShade="95"/>
      </w:rPr>
    </w:tblStylePr>
    <w:tblStylePr w:type="lastCol">
      <w:rPr>
        <w:b/>
        <w:color w:val="FF3D84" w:themeColor="accent4" w:themeTint="9A" w:themeShade="95"/>
      </w:rPr>
    </w:tblStylePr>
    <w:tblStylePr w:type="band1Vert">
      <w:tblPr/>
      <w:tcPr>
        <w:shd w:val="clear" w:color="FFBDD5" w:fill="FFBDD5" w:themeFill="accent4" w:themeFillTint="34"/>
      </w:tcPr>
    </w:tblStylePr>
    <w:tblStylePr w:type="band1Horz">
      <w:rPr>
        <w:color w:val="FF3D84" w:themeColor="accent4" w:themeTint="9A" w:themeShade="95"/>
        <w:sz w:val="22"/>
      </w:rPr>
      <w:tblPr/>
      <w:tcPr>
        <w:shd w:val="clear" w:color="FFBDD5" w:fill="FFBDD5" w:themeFill="accent4" w:themeFillTint="34"/>
      </w:tcPr>
    </w:tblStylePr>
    <w:tblStylePr w:type="band2Horz">
      <w:rPr>
        <w:color w:val="FF3D84"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EB5000" w:themeColor="accent5"/>
        <w:left w:val="single" w:sz="4" w:space="0" w:color="EB5000" w:themeColor="accent5"/>
        <w:bottom w:val="single" w:sz="4" w:space="0" w:color="EB5000" w:themeColor="accent5"/>
        <w:right w:val="single" w:sz="4" w:space="0" w:color="EB5000" w:themeColor="accent5"/>
        <w:insideH w:val="single" w:sz="4" w:space="0" w:color="EB5000" w:themeColor="accent5"/>
        <w:insideV w:val="single" w:sz="4" w:space="0" w:color="EB5000" w:themeColor="accent5"/>
      </w:tblBorders>
      <w:tblCellMar>
        <w:left w:w="0" w:type="dxa"/>
        <w:right w:w="0" w:type="dxa"/>
      </w:tblCellMar>
    </w:tblPr>
    <w:tblStylePr w:type="firstRow">
      <w:rPr>
        <w:b/>
        <w:color w:val="892E00" w:themeColor="accent5" w:themeShade="95"/>
      </w:rPr>
      <w:tblPr/>
      <w:tcPr>
        <w:tcBorders>
          <w:bottom w:val="single" w:sz="12" w:space="0" w:color="EB5000" w:themeColor="accent5"/>
        </w:tcBorders>
      </w:tcPr>
    </w:tblStylePr>
    <w:tblStylePr w:type="lastRow">
      <w:rPr>
        <w:b/>
        <w:color w:val="892E00" w:themeColor="accent5" w:themeShade="95"/>
      </w:rPr>
    </w:tblStylePr>
    <w:tblStylePr w:type="firstCol">
      <w:rPr>
        <w:b/>
        <w:color w:val="892E00" w:themeColor="accent5" w:themeShade="95"/>
      </w:rPr>
    </w:tblStylePr>
    <w:tblStylePr w:type="lastCol">
      <w:rPr>
        <w:b/>
        <w:color w:val="892E00" w:themeColor="accent5" w:themeShade="95"/>
      </w:rPr>
    </w:tblStylePr>
    <w:tblStylePr w:type="band1Vert">
      <w:tblPr/>
      <w:tcPr>
        <w:shd w:val="clear" w:color="FFD9C6" w:fill="FFD9C6" w:themeFill="accent5" w:themeFillTint="34"/>
      </w:tcPr>
    </w:tblStylePr>
    <w:tblStylePr w:type="band1Horz">
      <w:rPr>
        <w:color w:val="892E00" w:themeColor="accent5" w:themeShade="95"/>
        <w:sz w:val="22"/>
      </w:rPr>
      <w:tblPr/>
      <w:tcPr>
        <w:shd w:val="clear" w:color="FFD9C6" w:fill="FFD9C6" w:themeFill="accent5" w:themeFillTint="34"/>
      </w:tcPr>
    </w:tblStylePr>
    <w:tblStylePr w:type="band2Horz">
      <w:rPr>
        <w:color w:val="892E00"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FFE600" w:themeColor="accent6"/>
        <w:left w:val="single" w:sz="4" w:space="0" w:color="FFE600" w:themeColor="accent6"/>
        <w:bottom w:val="single" w:sz="4" w:space="0" w:color="FFE600" w:themeColor="accent6"/>
        <w:right w:val="single" w:sz="4" w:space="0" w:color="FFE600" w:themeColor="accent6"/>
        <w:insideH w:val="single" w:sz="4" w:space="0" w:color="FFE600" w:themeColor="accent6"/>
        <w:insideV w:val="single" w:sz="4" w:space="0" w:color="FFE600" w:themeColor="accent6"/>
      </w:tblBorders>
      <w:tblCellMar>
        <w:left w:w="0" w:type="dxa"/>
        <w:right w:w="0" w:type="dxa"/>
      </w:tblCellMar>
    </w:tblPr>
    <w:tblStylePr w:type="firstRow">
      <w:rPr>
        <w:b/>
        <w:color w:val="892E00" w:themeColor="accent5" w:themeShade="95"/>
      </w:rPr>
      <w:tblPr/>
      <w:tcPr>
        <w:tcBorders>
          <w:bottom w:val="single" w:sz="12" w:space="0" w:color="FFE600" w:themeColor="accent6"/>
        </w:tcBorders>
      </w:tcPr>
    </w:tblStylePr>
    <w:tblStylePr w:type="lastRow">
      <w:rPr>
        <w:b/>
        <w:color w:val="892E00" w:themeColor="accent5" w:themeShade="95"/>
      </w:rPr>
    </w:tblStylePr>
    <w:tblStylePr w:type="firstCol">
      <w:rPr>
        <w:b/>
        <w:color w:val="892E00" w:themeColor="accent5" w:themeShade="95"/>
      </w:rPr>
    </w:tblStylePr>
    <w:tblStylePr w:type="lastCol">
      <w:rPr>
        <w:b/>
        <w:color w:val="892E00" w:themeColor="accent5" w:themeShade="95"/>
      </w:rPr>
    </w:tblStylePr>
    <w:tblStylePr w:type="band1Vert">
      <w:tblPr/>
      <w:tcPr>
        <w:shd w:val="clear" w:color="FFF9CB" w:fill="FFF9CB" w:themeFill="accent6" w:themeFillTint="34"/>
      </w:tcPr>
    </w:tblStylePr>
    <w:tblStylePr w:type="band1Horz">
      <w:rPr>
        <w:color w:val="892E00" w:themeColor="accent5" w:themeShade="95"/>
        <w:sz w:val="22"/>
      </w:rPr>
      <w:tblPr/>
      <w:tcPr>
        <w:shd w:val="clear" w:color="FFF9CB" w:fill="FFF9CB" w:themeFill="accent6" w:themeFillTint="34"/>
      </w:tcPr>
    </w:tblStylePr>
    <w:tblStylePr w:type="band2Horz">
      <w:rPr>
        <w:color w:val="892E00" w:themeColor="accent5"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B1F2FF" w:themeColor="accent1" w:themeTint="80"/>
        <w:right w:val="single" w:sz="4" w:space="0" w:color="B1F2FF" w:themeColor="accent1" w:themeTint="80"/>
        <w:insideH w:val="single" w:sz="4" w:space="0" w:color="B1F2FF" w:themeColor="accent1" w:themeTint="80"/>
        <w:insideV w:val="single" w:sz="4" w:space="0" w:color="B1F2FF" w:themeColor="accent1" w:themeTint="80"/>
      </w:tblBorders>
      <w:tblCellMar>
        <w:left w:w="0" w:type="dxa"/>
        <w:right w:w="0" w:type="dxa"/>
      </w:tblCellMar>
    </w:tblPr>
    <w:tblStylePr w:type="firstRow">
      <w:rPr>
        <w:b/>
        <w:color w:val="B1F2FF" w:themeColor="accent1" w:themeTint="80" w:themeShade="95"/>
        <w:sz w:val="22"/>
      </w:rPr>
      <w:tblPr/>
      <w:tcPr>
        <w:tcBorders>
          <w:top w:val="none" w:sz="4" w:space="0" w:color="000000"/>
          <w:left w:val="none" w:sz="4" w:space="0" w:color="000000"/>
          <w:bottom w:val="single" w:sz="4" w:space="0" w:color="64E6FF" w:themeColor="accent1"/>
          <w:right w:val="none" w:sz="4" w:space="0" w:color="000000"/>
        </w:tcBorders>
        <w:shd w:val="clear" w:color="FFFFFF" w:fill="FFFFFF" w:themeFill="light1"/>
      </w:tcPr>
    </w:tblStylePr>
    <w:tblStylePr w:type="lastRow">
      <w:rPr>
        <w:b/>
        <w:color w:val="B1F2FF" w:themeColor="accent1" w:themeTint="80" w:themeShade="95"/>
        <w:sz w:val="22"/>
      </w:rPr>
      <w:tblPr/>
      <w:tcPr>
        <w:tcBorders>
          <w:top w:val="single" w:sz="4" w:space="0" w:color="64E6FF" w:themeColor="accent1"/>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B1F2FF" w:themeColor="accent1" w:themeTint="80" w:themeShade="95"/>
        <w:sz w:val="22"/>
      </w:rPr>
      <w:tblPr/>
      <w:tcPr>
        <w:tcBorders>
          <w:top w:val="none" w:sz="4" w:space="0" w:color="000000"/>
          <w:left w:val="none" w:sz="4" w:space="0" w:color="000000"/>
          <w:bottom w:val="none" w:sz="4" w:space="0" w:color="000000"/>
          <w:right w:val="single" w:sz="4" w:space="0" w:color="64E6FF" w:themeColor="accent1"/>
        </w:tcBorders>
        <w:shd w:val="clear" w:color="FFFFFF" w:fill="auto"/>
      </w:tcPr>
    </w:tblStylePr>
    <w:tblStylePr w:type="lastCol">
      <w:rPr>
        <w:i/>
        <w:color w:val="B1F2FF" w:themeColor="accent1" w:themeTint="80" w:themeShade="95"/>
        <w:sz w:val="22"/>
      </w:rPr>
      <w:tblPr/>
      <w:tcPr>
        <w:tcBorders>
          <w:top w:val="none" w:sz="4" w:space="0" w:color="000000"/>
          <w:left w:val="single" w:sz="4" w:space="0" w:color="64E6FF" w:themeColor="accent1"/>
          <w:bottom w:val="none" w:sz="4" w:space="0" w:color="000000"/>
          <w:right w:val="none" w:sz="4" w:space="0" w:color="000000"/>
        </w:tcBorders>
        <w:shd w:val="clear" w:color="FFFFFF" w:fill="auto"/>
      </w:tcPr>
    </w:tblStylePr>
    <w:tblStylePr w:type="band1Vert">
      <w:tblPr/>
      <w:tcPr>
        <w:shd w:val="clear" w:color="DFF9FF" w:fill="DFF9FF" w:themeFill="accent1" w:themeFillTint="34"/>
      </w:tcPr>
    </w:tblStylePr>
    <w:tblStylePr w:type="band1Horz">
      <w:rPr>
        <w:color w:val="B1F2FF" w:themeColor="accent1" w:themeTint="80" w:themeShade="95"/>
        <w:sz w:val="22"/>
      </w:rPr>
      <w:tblPr/>
      <w:tcPr>
        <w:shd w:val="clear" w:color="DFF9FF" w:fill="DFF9FF" w:themeFill="accent1" w:themeFillTint="34"/>
      </w:tcPr>
    </w:tblStylePr>
    <w:tblStylePr w:type="band2Horz">
      <w:rPr>
        <w:color w:val="B1F2FF"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45BAFF" w:themeColor="accent2" w:themeTint="97"/>
        <w:right w:val="single" w:sz="4" w:space="0" w:color="45BAFF" w:themeColor="accent2" w:themeTint="97"/>
        <w:insideH w:val="single" w:sz="4" w:space="0" w:color="45BAFF" w:themeColor="accent2" w:themeTint="97"/>
        <w:insideV w:val="single" w:sz="4" w:space="0" w:color="45BAFF" w:themeColor="accent2" w:themeTint="97"/>
      </w:tblBorders>
      <w:tblCellMar>
        <w:left w:w="0" w:type="dxa"/>
        <w:right w:w="0" w:type="dxa"/>
      </w:tblCellMar>
    </w:tblPr>
    <w:tblStylePr w:type="firstRow">
      <w:rPr>
        <w:b/>
        <w:color w:val="45BAFF" w:themeColor="accent2" w:themeTint="97" w:themeShade="95"/>
        <w:sz w:val="22"/>
      </w:rPr>
      <w:tblPr/>
      <w:tcPr>
        <w:tcBorders>
          <w:top w:val="none" w:sz="4" w:space="0" w:color="000000"/>
          <w:left w:val="none" w:sz="4" w:space="0" w:color="000000"/>
          <w:bottom w:val="single" w:sz="4" w:space="0" w:color="007DC5" w:themeColor="accent2"/>
          <w:right w:val="none" w:sz="4" w:space="0" w:color="000000"/>
        </w:tcBorders>
        <w:shd w:val="clear" w:color="FFFFFF" w:fill="FFFFFF" w:themeFill="light1"/>
      </w:tcPr>
    </w:tblStylePr>
    <w:tblStylePr w:type="lastRow">
      <w:rPr>
        <w:b/>
        <w:color w:val="45BAFF" w:themeColor="accent2" w:themeTint="97" w:themeShade="95"/>
        <w:sz w:val="22"/>
      </w:rPr>
      <w:tblPr/>
      <w:tcPr>
        <w:tcBorders>
          <w:top w:val="single" w:sz="4" w:space="0" w:color="007DC5" w:themeColor="accent2"/>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45BAFF" w:themeColor="accent2" w:themeTint="97" w:themeShade="95"/>
        <w:sz w:val="22"/>
      </w:rPr>
      <w:tblPr/>
      <w:tcPr>
        <w:tcBorders>
          <w:top w:val="none" w:sz="4" w:space="0" w:color="000000"/>
          <w:left w:val="none" w:sz="4" w:space="0" w:color="000000"/>
          <w:bottom w:val="none" w:sz="4" w:space="0" w:color="000000"/>
          <w:right w:val="single" w:sz="4" w:space="0" w:color="007DC5" w:themeColor="accent2"/>
        </w:tcBorders>
        <w:shd w:val="clear" w:color="FFFFFF" w:fill="auto"/>
      </w:tcPr>
    </w:tblStylePr>
    <w:tblStylePr w:type="lastCol">
      <w:rPr>
        <w:i/>
        <w:color w:val="45BAFF" w:themeColor="accent2" w:themeTint="97" w:themeShade="95"/>
        <w:sz w:val="22"/>
      </w:rPr>
      <w:tblPr/>
      <w:tcPr>
        <w:tcBorders>
          <w:top w:val="none" w:sz="4" w:space="0" w:color="000000"/>
          <w:left w:val="single" w:sz="4" w:space="0" w:color="007DC5" w:themeColor="accent2"/>
          <w:bottom w:val="none" w:sz="4" w:space="0" w:color="000000"/>
          <w:right w:val="none" w:sz="4" w:space="0" w:color="000000"/>
        </w:tcBorders>
        <w:shd w:val="clear" w:color="FFFFFF" w:fill="auto"/>
      </w:tcPr>
    </w:tblStylePr>
    <w:tblStylePr w:type="band1Vert">
      <w:tblPr/>
      <w:tcPr>
        <w:shd w:val="clear" w:color="C1E8FF" w:fill="C1E8FF" w:themeFill="accent2" w:themeFillTint="32"/>
      </w:tcPr>
    </w:tblStylePr>
    <w:tblStylePr w:type="band1Horz">
      <w:rPr>
        <w:color w:val="45BAFF" w:themeColor="accent2" w:themeTint="97" w:themeShade="95"/>
        <w:sz w:val="22"/>
      </w:rPr>
      <w:tblPr/>
      <w:tcPr>
        <w:shd w:val="clear" w:color="C1E8FF" w:fill="C1E8FF" w:themeFill="accent2" w:themeFillTint="32"/>
      </w:tcPr>
    </w:tblStylePr>
    <w:tblStylePr w:type="band2Horz">
      <w:rPr>
        <w:color w:val="45BAFF"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4D2F9E" w:themeColor="accent3" w:themeTint="FE"/>
        <w:right w:val="single" w:sz="4" w:space="0" w:color="4D2F9E" w:themeColor="accent3" w:themeTint="FE"/>
        <w:insideH w:val="single" w:sz="4" w:space="0" w:color="4D2F9E" w:themeColor="accent3" w:themeTint="FE"/>
        <w:insideV w:val="single" w:sz="4" w:space="0" w:color="4D2F9E" w:themeColor="accent3" w:themeTint="FE"/>
      </w:tblBorders>
      <w:tblCellMar>
        <w:left w:w="0" w:type="dxa"/>
        <w:right w:w="0" w:type="dxa"/>
      </w:tblCellMar>
    </w:tblPr>
    <w:tblStylePr w:type="firstRow">
      <w:rPr>
        <w:b/>
        <w:color w:val="4D2F9E" w:themeColor="accent3" w:themeTint="FE" w:themeShade="95"/>
        <w:sz w:val="22"/>
      </w:rPr>
      <w:tblPr/>
      <w:tcPr>
        <w:tcBorders>
          <w:top w:val="none" w:sz="4" w:space="0" w:color="000000"/>
          <w:left w:val="none" w:sz="4" w:space="0" w:color="000000"/>
          <w:bottom w:val="single" w:sz="4" w:space="0" w:color="4D2F9E" w:themeColor="accent3"/>
          <w:right w:val="none" w:sz="4" w:space="0" w:color="000000"/>
        </w:tcBorders>
        <w:shd w:val="clear" w:color="FFFFFF" w:fill="FFFFFF" w:themeFill="light1"/>
      </w:tcPr>
    </w:tblStylePr>
    <w:tblStylePr w:type="lastRow">
      <w:rPr>
        <w:b/>
        <w:color w:val="4D2F9E" w:themeColor="accent3" w:themeTint="FE" w:themeShade="95"/>
        <w:sz w:val="22"/>
      </w:rPr>
      <w:tblPr/>
      <w:tcPr>
        <w:tcBorders>
          <w:top w:val="single" w:sz="4" w:space="0" w:color="4D2F9E" w:themeColor="accent3"/>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4D2F9E" w:themeColor="accent3" w:themeTint="FE" w:themeShade="95"/>
        <w:sz w:val="22"/>
      </w:rPr>
      <w:tblPr/>
      <w:tcPr>
        <w:tcBorders>
          <w:top w:val="none" w:sz="4" w:space="0" w:color="000000"/>
          <w:left w:val="none" w:sz="4" w:space="0" w:color="000000"/>
          <w:bottom w:val="none" w:sz="4" w:space="0" w:color="000000"/>
          <w:right w:val="single" w:sz="4" w:space="0" w:color="4D2F9E" w:themeColor="accent3"/>
        </w:tcBorders>
        <w:shd w:val="clear" w:color="FFFFFF" w:fill="auto"/>
      </w:tcPr>
    </w:tblStylePr>
    <w:tblStylePr w:type="lastCol">
      <w:rPr>
        <w:i/>
        <w:color w:val="4D2F9E" w:themeColor="accent3" w:themeTint="FE" w:themeShade="95"/>
        <w:sz w:val="22"/>
      </w:rPr>
      <w:tblPr/>
      <w:tcPr>
        <w:tcBorders>
          <w:top w:val="none" w:sz="4" w:space="0" w:color="000000"/>
          <w:left w:val="single" w:sz="4" w:space="0" w:color="4D2F9E" w:themeColor="accent3"/>
          <w:bottom w:val="none" w:sz="4" w:space="0" w:color="000000"/>
          <w:right w:val="none" w:sz="4" w:space="0" w:color="000000"/>
        </w:tcBorders>
        <w:shd w:val="clear" w:color="FFFFFF" w:fill="auto"/>
      </w:tcPr>
    </w:tblStylePr>
    <w:tblStylePr w:type="band1Vert">
      <w:tblPr/>
      <w:tcPr>
        <w:shd w:val="clear" w:color="D7CEF0" w:fill="D7CEF0" w:themeFill="accent3" w:themeFillTint="34"/>
      </w:tcPr>
    </w:tblStylePr>
    <w:tblStylePr w:type="band1Horz">
      <w:rPr>
        <w:color w:val="4D2F9E" w:themeColor="accent3" w:themeTint="FE" w:themeShade="95"/>
        <w:sz w:val="22"/>
      </w:rPr>
      <w:tblPr/>
      <w:tcPr>
        <w:shd w:val="clear" w:color="D7CEF0" w:fill="D7CEF0" w:themeFill="accent3" w:themeFillTint="34"/>
      </w:tcPr>
    </w:tblStylePr>
    <w:tblStylePr w:type="band2Horz">
      <w:rPr>
        <w:color w:val="4D2F9E"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FF3D84" w:themeColor="accent4" w:themeTint="9A"/>
        <w:right w:val="single" w:sz="4" w:space="0" w:color="FF3D84" w:themeColor="accent4" w:themeTint="9A"/>
        <w:insideH w:val="single" w:sz="4" w:space="0" w:color="FF3D84" w:themeColor="accent4" w:themeTint="9A"/>
        <w:insideV w:val="single" w:sz="4" w:space="0" w:color="FF3D84" w:themeColor="accent4" w:themeTint="9A"/>
      </w:tblBorders>
      <w:tblCellMar>
        <w:left w:w="0" w:type="dxa"/>
        <w:right w:w="0" w:type="dxa"/>
      </w:tblCellMar>
    </w:tblPr>
    <w:tblStylePr w:type="firstRow">
      <w:rPr>
        <w:b/>
        <w:color w:val="FF3D84" w:themeColor="accent4" w:themeTint="9A" w:themeShade="95"/>
        <w:sz w:val="22"/>
      </w:rPr>
      <w:tblPr/>
      <w:tcPr>
        <w:tcBorders>
          <w:top w:val="none" w:sz="4" w:space="0" w:color="000000"/>
          <w:left w:val="none" w:sz="4" w:space="0" w:color="000000"/>
          <w:bottom w:val="single" w:sz="4" w:space="0" w:color="BE0046" w:themeColor="accent4"/>
          <w:right w:val="none" w:sz="4" w:space="0" w:color="000000"/>
        </w:tcBorders>
        <w:shd w:val="clear" w:color="FFFFFF" w:fill="FFFFFF" w:themeFill="light1"/>
      </w:tcPr>
    </w:tblStylePr>
    <w:tblStylePr w:type="lastRow">
      <w:rPr>
        <w:b/>
        <w:color w:val="FF3D84" w:themeColor="accent4" w:themeTint="9A" w:themeShade="95"/>
        <w:sz w:val="22"/>
      </w:rPr>
      <w:tblPr/>
      <w:tcPr>
        <w:tcBorders>
          <w:top w:val="single" w:sz="4" w:space="0" w:color="BE0046" w:themeColor="accent4"/>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FF3D84" w:themeColor="accent4" w:themeTint="9A" w:themeShade="95"/>
        <w:sz w:val="22"/>
      </w:rPr>
      <w:tblPr/>
      <w:tcPr>
        <w:tcBorders>
          <w:top w:val="none" w:sz="4" w:space="0" w:color="000000"/>
          <w:left w:val="none" w:sz="4" w:space="0" w:color="000000"/>
          <w:bottom w:val="none" w:sz="4" w:space="0" w:color="000000"/>
          <w:right w:val="single" w:sz="4" w:space="0" w:color="BE0046" w:themeColor="accent4"/>
        </w:tcBorders>
        <w:shd w:val="clear" w:color="FFFFFF" w:fill="auto"/>
      </w:tcPr>
    </w:tblStylePr>
    <w:tblStylePr w:type="lastCol">
      <w:rPr>
        <w:i/>
        <w:color w:val="FF3D84" w:themeColor="accent4" w:themeTint="9A" w:themeShade="95"/>
        <w:sz w:val="22"/>
      </w:rPr>
      <w:tblPr/>
      <w:tcPr>
        <w:tcBorders>
          <w:top w:val="none" w:sz="4" w:space="0" w:color="000000"/>
          <w:left w:val="single" w:sz="4" w:space="0" w:color="BE0046" w:themeColor="accent4"/>
          <w:bottom w:val="none" w:sz="4" w:space="0" w:color="000000"/>
          <w:right w:val="none" w:sz="4" w:space="0" w:color="000000"/>
        </w:tcBorders>
        <w:shd w:val="clear" w:color="FFFFFF" w:fill="auto"/>
      </w:tcPr>
    </w:tblStylePr>
    <w:tblStylePr w:type="band1Vert">
      <w:tblPr/>
      <w:tcPr>
        <w:shd w:val="clear" w:color="FFBDD5" w:fill="FFBDD5" w:themeFill="accent4" w:themeFillTint="34"/>
      </w:tcPr>
    </w:tblStylePr>
    <w:tblStylePr w:type="band1Horz">
      <w:rPr>
        <w:color w:val="FF3D84" w:themeColor="accent4" w:themeTint="9A" w:themeShade="95"/>
        <w:sz w:val="22"/>
      </w:rPr>
      <w:tblPr/>
      <w:tcPr>
        <w:shd w:val="clear" w:color="FFBDD5" w:fill="FFBDD5" w:themeFill="accent4" w:themeFillTint="34"/>
      </w:tcPr>
    </w:tblStylePr>
    <w:tblStylePr w:type="band2Horz">
      <w:rPr>
        <w:color w:val="FF3D84"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FF9863" w:themeColor="accent5" w:themeTint="90"/>
        <w:right w:val="single" w:sz="4" w:space="0" w:color="FF9863" w:themeColor="accent5" w:themeTint="90"/>
        <w:insideH w:val="single" w:sz="4" w:space="0" w:color="FF9863" w:themeColor="accent5" w:themeTint="90"/>
        <w:insideV w:val="single" w:sz="4" w:space="0" w:color="FF9863" w:themeColor="accent5" w:themeTint="90"/>
      </w:tblBorders>
      <w:tblCellMar>
        <w:left w:w="0" w:type="dxa"/>
        <w:right w:w="0" w:type="dxa"/>
      </w:tblCellMar>
    </w:tblPr>
    <w:tblStylePr w:type="firstRow">
      <w:rPr>
        <w:b/>
        <w:color w:val="892E00" w:themeColor="accent5" w:themeShade="95"/>
        <w:sz w:val="22"/>
      </w:rPr>
      <w:tblPr/>
      <w:tcPr>
        <w:tcBorders>
          <w:top w:val="none" w:sz="4" w:space="0" w:color="000000"/>
          <w:left w:val="none" w:sz="4" w:space="0" w:color="000000"/>
          <w:bottom w:val="single" w:sz="4" w:space="0" w:color="EB5000" w:themeColor="accent5"/>
          <w:right w:val="none" w:sz="4" w:space="0" w:color="000000"/>
        </w:tcBorders>
        <w:shd w:val="clear" w:color="FFFFFF" w:fill="FFFFFF" w:themeFill="light1"/>
      </w:tcPr>
    </w:tblStylePr>
    <w:tblStylePr w:type="lastRow">
      <w:rPr>
        <w:b/>
        <w:color w:val="892E00" w:themeColor="accent5" w:themeShade="95"/>
        <w:sz w:val="22"/>
      </w:rPr>
      <w:tblPr/>
      <w:tcPr>
        <w:tcBorders>
          <w:top w:val="single" w:sz="4" w:space="0" w:color="EB5000" w:themeColor="accent5"/>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892E00" w:themeColor="accent5" w:themeShade="95"/>
        <w:sz w:val="22"/>
      </w:rPr>
      <w:tblPr/>
      <w:tcPr>
        <w:tcBorders>
          <w:top w:val="none" w:sz="4" w:space="0" w:color="000000"/>
          <w:left w:val="none" w:sz="4" w:space="0" w:color="000000"/>
          <w:bottom w:val="none" w:sz="4" w:space="0" w:color="000000"/>
          <w:right w:val="single" w:sz="4" w:space="0" w:color="EB5000" w:themeColor="accent5"/>
        </w:tcBorders>
        <w:shd w:val="clear" w:color="FFFFFF" w:fill="auto"/>
      </w:tcPr>
    </w:tblStylePr>
    <w:tblStylePr w:type="lastCol">
      <w:rPr>
        <w:i/>
        <w:color w:val="892E00" w:themeColor="accent5" w:themeShade="95"/>
        <w:sz w:val="22"/>
      </w:rPr>
      <w:tblPr/>
      <w:tcPr>
        <w:tcBorders>
          <w:top w:val="none" w:sz="4" w:space="0" w:color="000000"/>
          <w:left w:val="single" w:sz="4" w:space="0" w:color="EB5000" w:themeColor="accent5"/>
          <w:bottom w:val="none" w:sz="4" w:space="0" w:color="000000"/>
          <w:right w:val="none" w:sz="4" w:space="0" w:color="000000"/>
        </w:tcBorders>
        <w:shd w:val="clear" w:color="FFFFFF" w:fill="auto"/>
      </w:tcPr>
    </w:tblStylePr>
    <w:tblStylePr w:type="band1Vert">
      <w:tblPr/>
      <w:tcPr>
        <w:shd w:val="clear" w:color="FFD9C6" w:fill="FFD9C6" w:themeFill="accent5" w:themeFillTint="34"/>
      </w:tcPr>
    </w:tblStylePr>
    <w:tblStylePr w:type="band1Horz">
      <w:rPr>
        <w:color w:val="892E00" w:themeColor="accent5" w:themeShade="95"/>
        <w:sz w:val="22"/>
      </w:rPr>
      <w:tblPr/>
      <w:tcPr>
        <w:shd w:val="clear" w:color="FFD9C6" w:fill="FFD9C6" w:themeFill="accent5" w:themeFillTint="34"/>
      </w:tcPr>
    </w:tblStylePr>
    <w:tblStylePr w:type="band2Horz">
      <w:rPr>
        <w:color w:val="892E00"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FFF06F" w:themeColor="accent6" w:themeTint="90"/>
        <w:right w:val="single" w:sz="4" w:space="0" w:color="FFF06F" w:themeColor="accent6" w:themeTint="90"/>
        <w:insideH w:val="single" w:sz="4" w:space="0" w:color="FFF06F" w:themeColor="accent6" w:themeTint="90"/>
        <w:insideV w:val="single" w:sz="4" w:space="0" w:color="FFF06F" w:themeColor="accent6" w:themeTint="90"/>
      </w:tblBorders>
      <w:tblCellMar>
        <w:left w:w="0" w:type="dxa"/>
        <w:right w:w="0" w:type="dxa"/>
      </w:tblCellMar>
    </w:tblPr>
    <w:tblStylePr w:type="firstRow">
      <w:rPr>
        <w:b/>
        <w:color w:val="958600" w:themeColor="accent6" w:themeShade="95"/>
        <w:sz w:val="22"/>
      </w:rPr>
      <w:tblPr/>
      <w:tcPr>
        <w:tcBorders>
          <w:top w:val="none" w:sz="4" w:space="0" w:color="000000"/>
          <w:left w:val="none" w:sz="4" w:space="0" w:color="000000"/>
          <w:bottom w:val="single" w:sz="4" w:space="0" w:color="FFE600" w:themeColor="accent6"/>
          <w:right w:val="none" w:sz="4" w:space="0" w:color="000000"/>
        </w:tcBorders>
        <w:shd w:val="clear" w:color="FFFFFF" w:fill="FFFFFF" w:themeFill="light1"/>
      </w:tcPr>
    </w:tblStylePr>
    <w:tblStylePr w:type="lastRow">
      <w:rPr>
        <w:b/>
        <w:color w:val="958600" w:themeColor="accent6" w:themeShade="95"/>
        <w:sz w:val="22"/>
      </w:rPr>
      <w:tblPr/>
      <w:tcPr>
        <w:tcBorders>
          <w:top w:val="single" w:sz="4" w:space="0" w:color="FFE600" w:themeColor="accent6"/>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958600" w:themeColor="accent6" w:themeShade="95"/>
        <w:sz w:val="22"/>
      </w:rPr>
      <w:tblPr/>
      <w:tcPr>
        <w:tcBorders>
          <w:top w:val="none" w:sz="4" w:space="0" w:color="000000"/>
          <w:left w:val="none" w:sz="4" w:space="0" w:color="000000"/>
          <w:bottom w:val="none" w:sz="4" w:space="0" w:color="000000"/>
          <w:right w:val="single" w:sz="4" w:space="0" w:color="FFE600" w:themeColor="accent6"/>
        </w:tcBorders>
        <w:shd w:val="clear" w:color="FFFFFF" w:fill="auto"/>
      </w:tcPr>
    </w:tblStylePr>
    <w:tblStylePr w:type="lastCol">
      <w:rPr>
        <w:i/>
        <w:color w:val="958600" w:themeColor="accent6" w:themeShade="95"/>
        <w:sz w:val="22"/>
      </w:rPr>
      <w:tblPr/>
      <w:tcPr>
        <w:tcBorders>
          <w:top w:val="none" w:sz="4" w:space="0" w:color="000000"/>
          <w:left w:val="single" w:sz="4" w:space="0" w:color="FFE600" w:themeColor="accent6"/>
          <w:bottom w:val="none" w:sz="4" w:space="0" w:color="000000"/>
          <w:right w:val="none" w:sz="4" w:space="0" w:color="000000"/>
        </w:tcBorders>
        <w:shd w:val="clear" w:color="FFFFFF" w:fill="auto"/>
      </w:tcPr>
    </w:tblStylePr>
    <w:tblStylePr w:type="band1Vert">
      <w:tblPr/>
      <w:tcPr>
        <w:shd w:val="clear" w:color="FFF9CB" w:fill="FFF9CB" w:themeFill="accent6" w:themeFillTint="34"/>
      </w:tcPr>
    </w:tblStylePr>
    <w:tblStylePr w:type="band1Horz">
      <w:rPr>
        <w:color w:val="958600" w:themeColor="accent6" w:themeShade="95"/>
        <w:sz w:val="22"/>
      </w:rPr>
      <w:tblPr/>
      <w:tcPr>
        <w:shd w:val="clear" w:color="FFF9CB" w:fill="FFF9CB" w:themeFill="accent6" w:themeFillTint="34"/>
      </w:tcPr>
    </w:tblStylePr>
    <w:tblStylePr w:type="band2Horz">
      <w:rPr>
        <w:color w:val="958600" w:themeColor="accent6" w:themeShade="95"/>
        <w:sz w:val="22"/>
      </w:rPr>
    </w:tblStylePr>
  </w:style>
  <w:style w:type="table" w:styleId="ListTable1Light-Accent1">
    <w:name w:val="List Table 1 Light Accent 1"/>
    <w:basedOn w:val="TableNormal"/>
    <w:uiPriority w:val="99"/>
    <w:tblPr>
      <w:tblStyleRowBandSize w:val="1"/>
      <w:tblStyleColBandSize w:val="1"/>
      <w:tblCellMar>
        <w:left w:w="0" w:type="dxa"/>
        <w:right w:w="0" w:type="dxa"/>
      </w:tblCellMar>
    </w:tblPr>
    <w:tblStylePr w:type="firstRow">
      <w:rPr>
        <w:b/>
        <w:color w:val="404040"/>
      </w:rPr>
      <w:tblPr/>
      <w:tcPr>
        <w:tcBorders>
          <w:top w:val="none" w:sz="4" w:space="0" w:color="000000"/>
          <w:left w:val="none" w:sz="4" w:space="0" w:color="000000"/>
          <w:bottom w:val="single" w:sz="4" w:space="0" w:color="64E6FF" w:themeColor="accent1"/>
          <w:right w:val="none" w:sz="4" w:space="0" w:color="000000"/>
        </w:tcBorders>
      </w:tcPr>
    </w:tblStylePr>
    <w:tblStylePr w:type="lastRow">
      <w:rPr>
        <w:b/>
        <w:color w:val="404040"/>
      </w:rPr>
      <w:tblPr/>
      <w:tcPr>
        <w:tcBorders>
          <w:top w:val="single" w:sz="4" w:space="0" w:color="64E6FF"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8F8FF" w:fill="D8F8FF" w:themeFill="accent1" w:themeFillTint="40"/>
      </w:tcPr>
    </w:tblStylePr>
    <w:tblStylePr w:type="band1Horz">
      <w:tblPr/>
      <w:tcPr>
        <w:shd w:val="clear" w:color="D8F8FF" w:fill="D8F8FF" w:themeFill="accent1" w:themeFillTint="40"/>
      </w:tcPr>
    </w:tblStylePr>
  </w:style>
  <w:style w:type="table" w:styleId="ListTable1Light-Accent2">
    <w:name w:val="List Table 1 Light Accent 2"/>
    <w:basedOn w:val="TableNormal"/>
    <w:uiPriority w:val="99"/>
    <w:tblPr>
      <w:tblStyleRowBandSize w:val="1"/>
      <w:tblStyleColBandSize w:val="1"/>
      <w:tblCellMar>
        <w:left w:w="0" w:type="dxa"/>
        <w:right w:w="0" w:type="dxa"/>
      </w:tblCellMar>
    </w:tblPr>
    <w:tblStylePr w:type="firstRow">
      <w:rPr>
        <w:b/>
        <w:color w:val="404040"/>
      </w:rPr>
      <w:tblPr/>
      <w:tcPr>
        <w:tcBorders>
          <w:top w:val="none" w:sz="4" w:space="0" w:color="000000"/>
          <w:left w:val="none" w:sz="4" w:space="0" w:color="000000"/>
          <w:bottom w:val="single" w:sz="4" w:space="0" w:color="007DC5" w:themeColor="accent2"/>
          <w:right w:val="none" w:sz="4" w:space="0" w:color="000000"/>
        </w:tcBorders>
      </w:tcPr>
    </w:tblStylePr>
    <w:tblStylePr w:type="lastRow">
      <w:rPr>
        <w:b/>
        <w:color w:val="404040"/>
      </w:rPr>
      <w:tblPr/>
      <w:tcPr>
        <w:tcBorders>
          <w:top w:val="single" w:sz="4" w:space="0" w:color="007DC5"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0E2FF" w:fill="B0E2FF" w:themeFill="accent2" w:themeFillTint="40"/>
      </w:tcPr>
    </w:tblStylePr>
    <w:tblStylePr w:type="band1Horz">
      <w:tblPr/>
      <w:tcPr>
        <w:shd w:val="clear" w:color="B0E2FF" w:fill="B0E2FF" w:themeFill="accent2" w:themeFillTint="40"/>
      </w:tcPr>
    </w:tblStylePr>
  </w:style>
  <w:style w:type="table" w:styleId="ListTable1Light-Accent3">
    <w:name w:val="List Table 1 Light Accent 3"/>
    <w:basedOn w:val="TableNormal"/>
    <w:uiPriority w:val="99"/>
    <w:tblPr>
      <w:tblStyleRowBandSize w:val="1"/>
      <w:tblStyleColBandSize w:val="1"/>
      <w:tblCellMar>
        <w:left w:w="0" w:type="dxa"/>
        <w:right w:w="0" w:type="dxa"/>
      </w:tblCellMar>
    </w:tblPr>
    <w:tblStylePr w:type="firstRow">
      <w:rPr>
        <w:b/>
        <w:color w:val="404040"/>
      </w:rPr>
      <w:tblPr/>
      <w:tcPr>
        <w:tcBorders>
          <w:top w:val="none" w:sz="4" w:space="0" w:color="000000"/>
          <w:left w:val="none" w:sz="4" w:space="0" w:color="000000"/>
          <w:bottom w:val="single" w:sz="4" w:space="0" w:color="4D2F9E" w:themeColor="accent3"/>
          <w:right w:val="none" w:sz="4" w:space="0" w:color="000000"/>
        </w:tcBorders>
      </w:tcPr>
    </w:tblStylePr>
    <w:tblStylePr w:type="lastRow">
      <w:rPr>
        <w:b/>
        <w:color w:val="404040"/>
      </w:rPr>
      <w:tblPr/>
      <w:tcPr>
        <w:tcBorders>
          <w:top w:val="single" w:sz="4" w:space="0" w:color="4D2F9E"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EC3ED" w:fill="CEC3ED" w:themeFill="accent3" w:themeFillTint="40"/>
      </w:tcPr>
    </w:tblStylePr>
    <w:tblStylePr w:type="band1Horz">
      <w:tblPr/>
      <w:tcPr>
        <w:shd w:val="clear" w:color="CEC3ED" w:fill="CEC3ED" w:themeFill="accent3" w:themeFillTint="40"/>
      </w:tcPr>
    </w:tblStylePr>
  </w:style>
  <w:style w:type="table" w:styleId="ListTable1Light-Accent4">
    <w:name w:val="List Table 1 Light Accent 4"/>
    <w:basedOn w:val="TableNormal"/>
    <w:uiPriority w:val="99"/>
    <w:tblPr>
      <w:tblStyleRowBandSize w:val="1"/>
      <w:tblStyleColBandSize w:val="1"/>
      <w:tblCellMar>
        <w:left w:w="0" w:type="dxa"/>
        <w:right w:w="0" w:type="dxa"/>
      </w:tblCellMar>
    </w:tblPr>
    <w:tblStylePr w:type="firstRow">
      <w:rPr>
        <w:b/>
        <w:color w:val="404040"/>
      </w:rPr>
      <w:tblPr/>
      <w:tcPr>
        <w:tcBorders>
          <w:top w:val="none" w:sz="4" w:space="0" w:color="000000"/>
          <w:left w:val="none" w:sz="4" w:space="0" w:color="000000"/>
          <w:bottom w:val="single" w:sz="4" w:space="0" w:color="BE0046" w:themeColor="accent4"/>
          <w:right w:val="none" w:sz="4" w:space="0" w:color="000000"/>
        </w:tcBorders>
      </w:tcPr>
    </w:tblStylePr>
    <w:tblStylePr w:type="lastRow">
      <w:rPr>
        <w:b/>
        <w:color w:val="404040"/>
      </w:rPr>
      <w:tblPr/>
      <w:tcPr>
        <w:tcBorders>
          <w:top w:val="single" w:sz="4" w:space="0" w:color="BE0046"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AECB" w:fill="FFAECB" w:themeFill="accent4" w:themeFillTint="40"/>
      </w:tcPr>
    </w:tblStylePr>
    <w:tblStylePr w:type="band1Horz">
      <w:tblPr/>
      <w:tcPr>
        <w:shd w:val="clear" w:color="FFAECB" w:fill="FFAECB" w:themeFill="accent4" w:themeFillTint="40"/>
      </w:tcPr>
    </w:tblStylePr>
  </w:style>
  <w:style w:type="table" w:styleId="ListTable1Light-Accent5">
    <w:name w:val="List Table 1 Light Accent 5"/>
    <w:basedOn w:val="TableNormal"/>
    <w:uiPriority w:val="99"/>
    <w:tblPr>
      <w:tblStyleRowBandSize w:val="1"/>
      <w:tblStyleColBandSize w:val="1"/>
      <w:tblCellMar>
        <w:left w:w="0" w:type="dxa"/>
        <w:right w:w="0" w:type="dxa"/>
      </w:tblCellMar>
    </w:tblPr>
    <w:tblStylePr w:type="firstRow">
      <w:rPr>
        <w:b/>
        <w:color w:val="404040"/>
      </w:rPr>
      <w:tblPr/>
      <w:tcPr>
        <w:tcBorders>
          <w:top w:val="none" w:sz="4" w:space="0" w:color="000000"/>
          <w:left w:val="none" w:sz="4" w:space="0" w:color="000000"/>
          <w:bottom w:val="single" w:sz="4" w:space="0" w:color="EB5000" w:themeColor="accent5"/>
          <w:right w:val="none" w:sz="4" w:space="0" w:color="000000"/>
        </w:tcBorders>
      </w:tcPr>
    </w:tblStylePr>
    <w:tblStylePr w:type="lastRow">
      <w:rPr>
        <w:b/>
        <w:color w:val="404040"/>
      </w:rPr>
      <w:tblPr/>
      <w:tcPr>
        <w:tcBorders>
          <w:top w:val="single" w:sz="4" w:space="0" w:color="EB5000"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D1B9" w:fill="FFD1B9" w:themeFill="accent5" w:themeFillTint="40"/>
      </w:tcPr>
    </w:tblStylePr>
    <w:tblStylePr w:type="band1Horz">
      <w:tblPr/>
      <w:tcPr>
        <w:shd w:val="clear" w:color="FFD1B9" w:fill="FFD1B9" w:themeFill="accent5" w:themeFillTint="40"/>
      </w:tcPr>
    </w:tblStylePr>
  </w:style>
  <w:style w:type="table" w:styleId="ListTable1Light-Accent6">
    <w:name w:val="List Table 1 Light Accent 6"/>
    <w:basedOn w:val="TableNormal"/>
    <w:uiPriority w:val="99"/>
    <w:tblPr>
      <w:tblStyleRowBandSize w:val="1"/>
      <w:tblStyleColBandSize w:val="1"/>
      <w:tblCellMar>
        <w:left w:w="0" w:type="dxa"/>
        <w:right w:w="0" w:type="dxa"/>
      </w:tblCellMar>
    </w:tblPr>
    <w:tblStylePr w:type="firstRow">
      <w:rPr>
        <w:b/>
        <w:color w:val="404040"/>
      </w:rPr>
      <w:tblPr/>
      <w:tcPr>
        <w:tcBorders>
          <w:top w:val="none" w:sz="4" w:space="0" w:color="000000"/>
          <w:left w:val="none" w:sz="4" w:space="0" w:color="000000"/>
          <w:bottom w:val="single" w:sz="4" w:space="0" w:color="FFE600" w:themeColor="accent6"/>
          <w:right w:val="none" w:sz="4" w:space="0" w:color="000000"/>
        </w:tcBorders>
      </w:tcPr>
    </w:tblStylePr>
    <w:tblStylePr w:type="lastRow">
      <w:rPr>
        <w:b/>
        <w:color w:val="404040"/>
      </w:rPr>
      <w:tblPr/>
      <w:tcPr>
        <w:tcBorders>
          <w:top w:val="single" w:sz="4" w:space="0" w:color="FFE600"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8BF" w:fill="FFF8BF" w:themeFill="accent6" w:themeFillTint="40"/>
      </w:tcPr>
    </w:tblStylePr>
    <w:tblStylePr w:type="band1Horz">
      <w:tblPr/>
      <w:tcPr>
        <w:shd w:val="clear" w:color="FFF8BF" w:fill="FFF8BF" w:themeFill="accent6" w:themeFillTint="40"/>
      </w:tcPr>
    </w:tblStylePr>
  </w:style>
  <w:style w:type="table" w:styleId="ListTable2-Accent1">
    <w:name w:val="List Table 2 Accent 1"/>
    <w:basedOn w:val="TableNormal"/>
    <w:uiPriority w:val="99"/>
    <w:tblPr>
      <w:tblStyleRowBandSize w:val="1"/>
      <w:tblStyleColBandSize w:val="1"/>
      <w:tblBorders>
        <w:top w:val="single" w:sz="4" w:space="0" w:color="A7F0FF" w:themeColor="accent1" w:themeTint="90"/>
        <w:bottom w:val="single" w:sz="4" w:space="0" w:color="A7F0FF" w:themeColor="accent1" w:themeTint="90"/>
        <w:insideH w:val="single" w:sz="4" w:space="0" w:color="A7F0FF" w:themeColor="accent1" w:themeTint="90"/>
      </w:tblBorders>
      <w:tblCellMar>
        <w:left w:w="0" w:type="dxa"/>
        <w:right w:w="0" w:type="dxa"/>
      </w:tblCellMar>
    </w:tblPr>
    <w:tblStylePr w:type="firstRow">
      <w:rPr>
        <w:b/>
        <w:color w:val="404040"/>
        <w:sz w:val="22"/>
      </w:rPr>
      <w:tblPr/>
      <w:tcPr>
        <w:tcBorders>
          <w:top w:val="single" w:sz="4" w:space="0" w:color="64E6FF" w:themeColor="accent1"/>
          <w:left w:val="none" w:sz="4" w:space="0" w:color="000000"/>
          <w:bottom w:val="single" w:sz="4" w:space="0" w:color="64E6FF" w:themeColor="accent1"/>
          <w:right w:val="none" w:sz="4" w:space="0" w:color="000000"/>
        </w:tcBorders>
      </w:tcPr>
    </w:tblStylePr>
    <w:tblStylePr w:type="lastRow">
      <w:rPr>
        <w:b/>
        <w:color w:val="404040"/>
        <w:sz w:val="22"/>
      </w:rPr>
      <w:tblPr/>
      <w:tcPr>
        <w:tcBorders>
          <w:top w:val="single" w:sz="4" w:space="0" w:color="64E6FF" w:themeColor="accent1"/>
          <w:left w:val="none" w:sz="4" w:space="0" w:color="000000"/>
          <w:bottom w:val="single" w:sz="4" w:space="0" w:color="64E6FF" w:themeColor="accent1"/>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D8F8FF" w:fill="D8F8FF" w:themeFill="accent1" w:themeFillTint="40"/>
      </w:tcPr>
    </w:tblStylePr>
    <w:tblStylePr w:type="band1Horz">
      <w:rPr>
        <w:color w:val="404040"/>
        <w:sz w:val="22"/>
      </w:rPr>
      <w:tblPr/>
      <w:tcPr>
        <w:shd w:val="clear" w:color="D8F8FF" w:fill="D8F8FF"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4EBDFF" w:themeColor="accent2" w:themeTint="90"/>
        <w:bottom w:val="single" w:sz="4" w:space="0" w:color="4EBDFF" w:themeColor="accent2" w:themeTint="90"/>
        <w:insideH w:val="single" w:sz="4" w:space="0" w:color="4EBDFF" w:themeColor="accent2" w:themeTint="90"/>
      </w:tblBorders>
      <w:tblCellMar>
        <w:left w:w="0" w:type="dxa"/>
        <w:right w:w="0" w:type="dxa"/>
      </w:tblCellMar>
    </w:tblPr>
    <w:tblStylePr w:type="firstRow">
      <w:rPr>
        <w:b/>
        <w:color w:val="404040"/>
        <w:sz w:val="22"/>
      </w:rPr>
      <w:tblPr/>
      <w:tcPr>
        <w:tcBorders>
          <w:top w:val="single" w:sz="4" w:space="0" w:color="007DC5" w:themeColor="accent2"/>
          <w:left w:val="none" w:sz="4" w:space="0" w:color="000000"/>
          <w:bottom w:val="single" w:sz="4" w:space="0" w:color="007DC5" w:themeColor="accent2"/>
          <w:right w:val="none" w:sz="4" w:space="0" w:color="000000"/>
        </w:tcBorders>
      </w:tcPr>
    </w:tblStylePr>
    <w:tblStylePr w:type="lastRow">
      <w:rPr>
        <w:b/>
        <w:color w:val="404040"/>
        <w:sz w:val="22"/>
      </w:rPr>
      <w:tblPr/>
      <w:tcPr>
        <w:tcBorders>
          <w:top w:val="single" w:sz="4" w:space="0" w:color="007DC5" w:themeColor="accent2"/>
          <w:left w:val="none" w:sz="4" w:space="0" w:color="000000"/>
          <w:bottom w:val="single" w:sz="4" w:space="0" w:color="007DC5" w:themeColor="accent2"/>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B0E2FF" w:fill="B0E2FF" w:themeFill="accent2" w:themeFillTint="40"/>
      </w:tcPr>
    </w:tblStylePr>
    <w:tblStylePr w:type="band1Horz">
      <w:rPr>
        <w:color w:val="404040"/>
        <w:sz w:val="22"/>
      </w:rPr>
      <w:tblPr/>
      <w:tcPr>
        <w:shd w:val="clear" w:color="B0E2FF" w:fill="B0E2FF"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937AD7" w:themeColor="accent3" w:themeTint="90"/>
        <w:bottom w:val="single" w:sz="4" w:space="0" w:color="937AD7" w:themeColor="accent3" w:themeTint="90"/>
        <w:insideH w:val="single" w:sz="4" w:space="0" w:color="937AD7" w:themeColor="accent3" w:themeTint="90"/>
      </w:tblBorders>
      <w:tblCellMar>
        <w:left w:w="0" w:type="dxa"/>
        <w:right w:w="0" w:type="dxa"/>
      </w:tblCellMar>
    </w:tblPr>
    <w:tblStylePr w:type="firstRow">
      <w:rPr>
        <w:b/>
        <w:color w:val="404040"/>
        <w:sz w:val="22"/>
      </w:rPr>
      <w:tblPr/>
      <w:tcPr>
        <w:tcBorders>
          <w:top w:val="single" w:sz="4" w:space="0" w:color="4D2F9E" w:themeColor="accent3"/>
          <w:left w:val="none" w:sz="4" w:space="0" w:color="000000"/>
          <w:bottom w:val="single" w:sz="4" w:space="0" w:color="4D2F9E" w:themeColor="accent3"/>
          <w:right w:val="none" w:sz="4" w:space="0" w:color="000000"/>
        </w:tcBorders>
      </w:tcPr>
    </w:tblStylePr>
    <w:tblStylePr w:type="lastRow">
      <w:rPr>
        <w:b/>
        <w:color w:val="404040"/>
        <w:sz w:val="22"/>
      </w:rPr>
      <w:tblPr/>
      <w:tcPr>
        <w:tcBorders>
          <w:top w:val="single" w:sz="4" w:space="0" w:color="4D2F9E" w:themeColor="accent3"/>
          <w:left w:val="none" w:sz="4" w:space="0" w:color="000000"/>
          <w:bottom w:val="single" w:sz="4" w:space="0" w:color="4D2F9E" w:themeColor="accent3"/>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CEC3ED" w:fill="CEC3ED" w:themeFill="accent3" w:themeFillTint="40"/>
      </w:tcPr>
    </w:tblStylePr>
    <w:tblStylePr w:type="band1Horz">
      <w:rPr>
        <w:color w:val="404040"/>
        <w:sz w:val="22"/>
      </w:rPr>
      <w:tblPr/>
      <w:tcPr>
        <w:shd w:val="clear" w:color="CEC3ED" w:fill="CEC3ED"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4A8C" w:themeColor="accent4" w:themeTint="90"/>
        <w:bottom w:val="single" w:sz="4" w:space="0" w:color="FF4A8C" w:themeColor="accent4" w:themeTint="90"/>
        <w:insideH w:val="single" w:sz="4" w:space="0" w:color="FF4A8C" w:themeColor="accent4" w:themeTint="90"/>
      </w:tblBorders>
      <w:tblCellMar>
        <w:left w:w="0" w:type="dxa"/>
        <w:right w:w="0" w:type="dxa"/>
      </w:tblCellMar>
    </w:tblPr>
    <w:tblStylePr w:type="firstRow">
      <w:rPr>
        <w:b/>
        <w:color w:val="404040"/>
        <w:sz w:val="22"/>
      </w:rPr>
      <w:tblPr/>
      <w:tcPr>
        <w:tcBorders>
          <w:top w:val="single" w:sz="4" w:space="0" w:color="BE0046" w:themeColor="accent4"/>
          <w:left w:val="none" w:sz="4" w:space="0" w:color="000000"/>
          <w:bottom w:val="single" w:sz="4" w:space="0" w:color="BE0046" w:themeColor="accent4"/>
          <w:right w:val="none" w:sz="4" w:space="0" w:color="000000"/>
        </w:tcBorders>
      </w:tcPr>
    </w:tblStylePr>
    <w:tblStylePr w:type="lastRow">
      <w:rPr>
        <w:b/>
        <w:color w:val="404040"/>
        <w:sz w:val="22"/>
      </w:rPr>
      <w:tblPr/>
      <w:tcPr>
        <w:tcBorders>
          <w:top w:val="single" w:sz="4" w:space="0" w:color="BE0046" w:themeColor="accent4"/>
          <w:left w:val="none" w:sz="4" w:space="0" w:color="000000"/>
          <w:bottom w:val="single" w:sz="4" w:space="0" w:color="BE0046" w:themeColor="accent4"/>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FFAECB" w:fill="FFAECB" w:themeFill="accent4" w:themeFillTint="40"/>
      </w:tcPr>
    </w:tblStylePr>
    <w:tblStylePr w:type="band1Horz">
      <w:rPr>
        <w:color w:val="404040"/>
        <w:sz w:val="22"/>
      </w:rPr>
      <w:tblPr/>
      <w:tcPr>
        <w:shd w:val="clear" w:color="FFAECB" w:fill="FFAECB"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FF9863" w:themeColor="accent5" w:themeTint="90"/>
        <w:bottom w:val="single" w:sz="4" w:space="0" w:color="FF9863" w:themeColor="accent5" w:themeTint="90"/>
        <w:insideH w:val="single" w:sz="4" w:space="0" w:color="FF9863" w:themeColor="accent5" w:themeTint="90"/>
      </w:tblBorders>
      <w:tblCellMar>
        <w:left w:w="0" w:type="dxa"/>
        <w:right w:w="0" w:type="dxa"/>
      </w:tblCellMar>
    </w:tblPr>
    <w:tblStylePr w:type="firstRow">
      <w:rPr>
        <w:b/>
        <w:color w:val="404040"/>
        <w:sz w:val="22"/>
      </w:rPr>
      <w:tblPr/>
      <w:tcPr>
        <w:tcBorders>
          <w:top w:val="single" w:sz="4" w:space="0" w:color="EB5000" w:themeColor="accent5"/>
          <w:left w:val="none" w:sz="4" w:space="0" w:color="000000"/>
          <w:bottom w:val="single" w:sz="4" w:space="0" w:color="EB5000" w:themeColor="accent5"/>
          <w:right w:val="none" w:sz="4" w:space="0" w:color="000000"/>
        </w:tcBorders>
      </w:tcPr>
    </w:tblStylePr>
    <w:tblStylePr w:type="lastRow">
      <w:rPr>
        <w:b/>
        <w:color w:val="404040"/>
        <w:sz w:val="22"/>
      </w:rPr>
      <w:tblPr/>
      <w:tcPr>
        <w:tcBorders>
          <w:top w:val="single" w:sz="4" w:space="0" w:color="EB5000" w:themeColor="accent5"/>
          <w:left w:val="none" w:sz="4" w:space="0" w:color="000000"/>
          <w:bottom w:val="single" w:sz="4" w:space="0" w:color="EB5000" w:themeColor="accent5"/>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FFD1B9" w:fill="FFD1B9" w:themeFill="accent5" w:themeFillTint="40"/>
      </w:tcPr>
    </w:tblStylePr>
    <w:tblStylePr w:type="band1Horz">
      <w:rPr>
        <w:color w:val="404040"/>
        <w:sz w:val="22"/>
      </w:rPr>
      <w:tblPr/>
      <w:tcPr>
        <w:shd w:val="clear" w:color="FFD1B9" w:fill="FFD1B9"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FFF06F" w:themeColor="accent6" w:themeTint="90"/>
        <w:bottom w:val="single" w:sz="4" w:space="0" w:color="FFF06F" w:themeColor="accent6" w:themeTint="90"/>
        <w:insideH w:val="single" w:sz="4" w:space="0" w:color="FFF06F" w:themeColor="accent6" w:themeTint="90"/>
      </w:tblBorders>
      <w:tblCellMar>
        <w:left w:w="0" w:type="dxa"/>
        <w:right w:w="0" w:type="dxa"/>
      </w:tblCellMar>
    </w:tblPr>
    <w:tblStylePr w:type="firstRow">
      <w:rPr>
        <w:b/>
        <w:color w:val="404040"/>
        <w:sz w:val="22"/>
      </w:rPr>
      <w:tblPr/>
      <w:tcPr>
        <w:tcBorders>
          <w:top w:val="single" w:sz="4" w:space="0" w:color="FFE600" w:themeColor="accent6"/>
          <w:left w:val="none" w:sz="4" w:space="0" w:color="000000"/>
          <w:bottom w:val="single" w:sz="4" w:space="0" w:color="FFE600" w:themeColor="accent6"/>
          <w:right w:val="none" w:sz="4" w:space="0" w:color="000000"/>
        </w:tcBorders>
      </w:tcPr>
    </w:tblStylePr>
    <w:tblStylePr w:type="lastRow">
      <w:rPr>
        <w:b/>
        <w:color w:val="404040"/>
        <w:sz w:val="22"/>
      </w:rPr>
      <w:tblPr/>
      <w:tcPr>
        <w:tcBorders>
          <w:top w:val="single" w:sz="4" w:space="0" w:color="FFE600" w:themeColor="accent6"/>
          <w:left w:val="none" w:sz="4" w:space="0" w:color="000000"/>
          <w:bottom w:val="single" w:sz="4" w:space="0" w:color="FFE600" w:themeColor="accent6"/>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FFF8BF" w:fill="FFF8BF" w:themeFill="accent6" w:themeFillTint="40"/>
      </w:tcPr>
    </w:tblStylePr>
    <w:tblStylePr w:type="band1Horz">
      <w:rPr>
        <w:color w:val="404040"/>
        <w:sz w:val="22"/>
      </w:rPr>
      <w:tblPr/>
      <w:tcPr>
        <w:shd w:val="clear" w:color="FFF8BF" w:fill="FFF8BF" w:themeFill="accent6" w:themeFillTint="40"/>
      </w:tcPr>
    </w:tblStylePr>
  </w:style>
  <w:style w:type="table" w:styleId="ListTable3-Accent1">
    <w:name w:val="List Table 3 Accent 1"/>
    <w:basedOn w:val="TableNormal"/>
    <w:uiPriority w:val="99"/>
    <w:tblPr>
      <w:tblStyleRowBandSize w:val="1"/>
      <w:tblStyleColBandSize w:val="1"/>
      <w:tblBorders>
        <w:top w:val="single" w:sz="4" w:space="0" w:color="64E6FF" w:themeColor="accent1"/>
        <w:left w:val="single" w:sz="4" w:space="0" w:color="64E6FF" w:themeColor="accent1"/>
        <w:bottom w:val="single" w:sz="4" w:space="0" w:color="64E6FF" w:themeColor="accent1"/>
        <w:right w:val="single" w:sz="4" w:space="0" w:color="64E6FF" w:themeColor="accent1"/>
      </w:tblBorders>
      <w:tblCellMar>
        <w:left w:w="0" w:type="dxa"/>
        <w:right w:w="0" w:type="dxa"/>
      </w:tblCellMar>
    </w:tblPr>
    <w:tblStylePr w:type="firstRow">
      <w:rPr>
        <w:b/>
        <w:color w:val="FFFFFF"/>
        <w:sz w:val="22"/>
      </w:rPr>
      <w:tblPr/>
      <w:tcPr>
        <w:shd w:val="clear" w:color="64E6FF" w:fill="64E6FF" w:themeFill="accent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64E6FF" w:themeColor="accent1"/>
          <w:right w:val="single" w:sz="4" w:space="0" w:color="64E6FF" w:themeColor="accent1"/>
        </w:tcBorders>
      </w:tcPr>
    </w:tblStylePr>
    <w:tblStylePr w:type="band1Horz">
      <w:rPr>
        <w:color w:val="404040"/>
        <w:sz w:val="22"/>
      </w:rPr>
      <w:tblPr/>
      <w:tcPr>
        <w:tcBorders>
          <w:top w:val="single" w:sz="4" w:space="0" w:color="64E6FF" w:themeColor="accent1"/>
          <w:bottom w:val="single" w:sz="4" w:space="0" w:color="64E6FF"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45BAFF" w:themeColor="accent2" w:themeTint="97"/>
        <w:left w:val="single" w:sz="4" w:space="0" w:color="45BAFF" w:themeColor="accent2" w:themeTint="97"/>
        <w:bottom w:val="single" w:sz="4" w:space="0" w:color="45BAFF" w:themeColor="accent2" w:themeTint="97"/>
        <w:right w:val="single" w:sz="4" w:space="0" w:color="45BAFF" w:themeColor="accent2" w:themeTint="97"/>
      </w:tblBorders>
      <w:tblCellMar>
        <w:left w:w="0" w:type="dxa"/>
        <w:right w:w="0" w:type="dxa"/>
      </w:tblCellMar>
    </w:tblPr>
    <w:tblStylePr w:type="firstRow">
      <w:rPr>
        <w:b/>
        <w:color w:val="FFFFFF"/>
        <w:sz w:val="22"/>
      </w:rPr>
      <w:tblPr/>
      <w:tcPr>
        <w:shd w:val="clear" w:color="45BAFF" w:fill="45BAFF"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007DC5" w:themeColor="accent2"/>
          <w:right w:val="single" w:sz="4" w:space="0" w:color="007DC5" w:themeColor="accent2"/>
        </w:tcBorders>
      </w:tcPr>
    </w:tblStylePr>
    <w:tblStylePr w:type="band1Horz">
      <w:rPr>
        <w:color w:val="404040"/>
        <w:sz w:val="22"/>
      </w:rPr>
      <w:tblPr/>
      <w:tcPr>
        <w:tcBorders>
          <w:top w:val="single" w:sz="4" w:space="0" w:color="007DC5" w:themeColor="accent2"/>
          <w:bottom w:val="single" w:sz="4" w:space="0" w:color="007DC5" w:themeColor="accent2"/>
        </w:tcBorders>
      </w:tcPr>
    </w:tblStylePr>
  </w:style>
  <w:style w:type="table" w:styleId="ListTable3-Accent3">
    <w:name w:val="List Table 3 Accent 3"/>
    <w:basedOn w:val="TableNormal"/>
    <w:uiPriority w:val="99"/>
    <w:tblPr>
      <w:tblStyleRowBandSize w:val="1"/>
      <w:tblStyleColBandSize w:val="1"/>
      <w:tblBorders>
        <w:top w:val="single" w:sz="4" w:space="0" w:color="8C72D5" w:themeColor="accent3" w:themeTint="98"/>
        <w:left w:val="single" w:sz="4" w:space="0" w:color="8C72D5" w:themeColor="accent3" w:themeTint="98"/>
        <w:bottom w:val="single" w:sz="4" w:space="0" w:color="8C72D5" w:themeColor="accent3" w:themeTint="98"/>
        <w:right w:val="single" w:sz="4" w:space="0" w:color="8C72D5" w:themeColor="accent3" w:themeTint="98"/>
      </w:tblBorders>
      <w:tblCellMar>
        <w:left w:w="0" w:type="dxa"/>
        <w:right w:w="0" w:type="dxa"/>
      </w:tblCellMar>
    </w:tblPr>
    <w:tblStylePr w:type="firstRow">
      <w:rPr>
        <w:b/>
        <w:color w:val="FFFFFF"/>
        <w:sz w:val="22"/>
      </w:rPr>
      <w:tblPr/>
      <w:tcPr>
        <w:shd w:val="clear" w:color="8C72D5" w:fill="8C72D5"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4D2F9E" w:themeColor="accent3"/>
          <w:right w:val="single" w:sz="4" w:space="0" w:color="4D2F9E" w:themeColor="accent3"/>
        </w:tcBorders>
      </w:tcPr>
    </w:tblStylePr>
    <w:tblStylePr w:type="band1Horz">
      <w:rPr>
        <w:color w:val="404040"/>
        <w:sz w:val="22"/>
      </w:rPr>
      <w:tblPr/>
      <w:tcPr>
        <w:tcBorders>
          <w:top w:val="single" w:sz="4" w:space="0" w:color="4D2F9E" w:themeColor="accent3"/>
          <w:bottom w:val="single" w:sz="4" w:space="0" w:color="4D2F9E" w:themeColor="accent3"/>
        </w:tcBorders>
      </w:tcPr>
    </w:tblStylePr>
  </w:style>
  <w:style w:type="table" w:styleId="ListTable3-Accent4">
    <w:name w:val="List Table 3 Accent 4"/>
    <w:basedOn w:val="TableNormal"/>
    <w:uiPriority w:val="99"/>
    <w:tblPr>
      <w:tblStyleRowBandSize w:val="1"/>
      <w:tblStyleColBandSize w:val="1"/>
      <w:tblBorders>
        <w:top w:val="single" w:sz="4" w:space="0" w:color="FF3D84" w:themeColor="accent4" w:themeTint="9A"/>
        <w:left w:val="single" w:sz="4" w:space="0" w:color="FF3D84" w:themeColor="accent4" w:themeTint="9A"/>
        <w:bottom w:val="single" w:sz="4" w:space="0" w:color="FF3D84" w:themeColor="accent4" w:themeTint="9A"/>
        <w:right w:val="single" w:sz="4" w:space="0" w:color="FF3D84" w:themeColor="accent4" w:themeTint="9A"/>
      </w:tblBorders>
      <w:tblCellMar>
        <w:left w:w="0" w:type="dxa"/>
        <w:right w:w="0" w:type="dxa"/>
      </w:tblCellMar>
    </w:tblPr>
    <w:tblStylePr w:type="firstRow">
      <w:rPr>
        <w:b/>
        <w:color w:val="FFFFFF"/>
        <w:sz w:val="22"/>
      </w:rPr>
      <w:tblPr/>
      <w:tcPr>
        <w:shd w:val="clear" w:color="FF3D84" w:fill="FF3D8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BE0046" w:themeColor="accent4"/>
          <w:right w:val="single" w:sz="4" w:space="0" w:color="BE0046" w:themeColor="accent4"/>
        </w:tcBorders>
      </w:tcPr>
    </w:tblStylePr>
    <w:tblStylePr w:type="band1Horz">
      <w:rPr>
        <w:color w:val="404040"/>
        <w:sz w:val="22"/>
      </w:rPr>
      <w:tblPr/>
      <w:tcPr>
        <w:tcBorders>
          <w:top w:val="single" w:sz="4" w:space="0" w:color="BE0046" w:themeColor="accent4"/>
          <w:bottom w:val="single" w:sz="4" w:space="0" w:color="BE0046" w:themeColor="accent4"/>
        </w:tcBorders>
      </w:tcPr>
    </w:tblStylePr>
  </w:style>
  <w:style w:type="table" w:styleId="ListTable3-Accent5">
    <w:name w:val="List Table 3 Accent 5"/>
    <w:basedOn w:val="TableNormal"/>
    <w:uiPriority w:val="99"/>
    <w:tblPr>
      <w:tblStyleRowBandSize w:val="1"/>
      <w:tblStyleColBandSize w:val="1"/>
      <w:tblBorders>
        <w:top w:val="single" w:sz="4" w:space="0" w:color="FF9058" w:themeColor="accent5" w:themeTint="9A"/>
        <w:left w:val="single" w:sz="4" w:space="0" w:color="FF9058" w:themeColor="accent5" w:themeTint="9A"/>
        <w:bottom w:val="single" w:sz="4" w:space="0" w:color="FF9058" w:themeColor="accent5" w:themeTint="9A"/>
        <w:right w:val="single" w:sz="4" w:space="0" w:color="FF9058" w:themeColor="accent5" w:themeTint="9A"/>
      </w:tblBorders>
      <w:tblCellMar>
        <w:left w:w="0" w:type="dxa"/>
        <w:right w:w="0" w:type="dxa"/>
      </w:tblCellMar>
    </w:tblPr>
    <w:tblStylePr w:type="firstRow">
      <w:rPr>
        <w:b/>
        <w:color w:val="FFFFFF"/>
        <w:sz w:val="22"/>
      </w:rPr>
      <w:tblPr/>
      <w:tcPr>
        <w:shd w:val="clear" w:color="FF9058" w:fill="FF9058"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EB5000" w:themeColor="accent5"/>
          <w:right w:val="single" w:sz="4" w:space="0" w:color="EB5000" w:themeColor="accent5"/>
        </w:tcBorders>
      </w:tcPr>
    </w:tblStylePr>
    <w:tblStylePr w:type="band1Horz">
      <w:rPr>
        <w:color w:val="404040"/>
        <w:sz w:val="22"/>
      </w:rPr>
      <w:tblPr/>
      <w:tcPr>
        <w:tcBorders>
          <w:top w:val="single" w:sz="4" w:space="0" w:color="EB5000" w:themeColor="accent5"/>
          <w:bottom w:val="single" w:sz="4" w:space="0" w:color="EB5000" w:themeColor="accent5"/>
        </w:tcBorders>
      </w:tcPr>
    </w:tblStylePr>
  </w:style>
  <w:style w:type="table" w:styleId="ListTable3-Accent6">
    <w:name w:val="List Table 3 Accent 6"/>
    <w:basedOn w:val="TableNormal"/>
    <w:uiPriority w:val="99"/>
    <w:tblPr>
      <w:tblStyleRowBandSize w:val="1"/>
      <w:tblStyleColBandSize w:val="1"/>
      <w:tblBorders>
        <w:top w:val="single" w:sz="4" w:space="0" w:color="FFF067" w:themeColor="accent6" w:themeTint="98"/>
        <w:left w:val="single" w:sz="4" w:space="0" w:color="FFF067" w:themeColor="accent6" w:themeTint="98"/>
        <w:bottom w:val="single" w:sz="4" w:space="0" w:color="FFF067" w:themeColor="accent6" w:themeTint="98"/>
        <w:right w:val="single" w:sz="4" w:space="0" w:color="FFF067" w:themeColor="accent6" w:themeTint="98"/>
      </w:tblBorders>
      <w:tblCellMar>
        <w:left w:w="0" w:type="dxa"/>
        <w:right w:w="0" w:type="dxa"/>
      </w:tblCellMar>
    </w:tblPr>
    <w:tblStylePr w:type="firstRow">
      <w:rPr>
        <w:b/>
        <w:color w:val="FFFFFF"/>
        <w:sz w:val="22"/>
      </w:rPr>
      <w:tblPr/>
      <w:tcPr>
        <w:shd w:val="clear" w:color="FFF067" w:fill="FFF067"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FFE600" w:themeColor="accent6"/>
          <w:right w:val="single" w:sz="4" w:space="0" w:color="FFE600" w:themeColor="accent6"/>
        </w:tcBorders>
      </w:tcPr>
    </w:tblStylePr>
    <w:tblStylePr w:type="band1Horz">
      <w:rPr>
        <w:color w:val="404040"/>
        <w:sz w:val="22"/>
      </w:rPr>
      <w:tblPr/>
      <w:tcPr>
        <w:tcBorders>
          <w:top w:val="single" w:sz="4" w:space="0" w:color="FFE600" w:themeColor="accent6"/>
          <w:bottom w:val="single" w:sz="4" w:space="0" w:color="FFE600" w:themeColor="accent6"/>
        </w:tcBorders>
      </w:tcPr>
    </w:tblStylePr>
  </w:style>
  <w:style w:type="table" w:styleId="ListTable4-Accent1">
    <w:name w:val="List Table 4 Accent 1"/>
    <w:basedOn w:val="TableNormal"/>
    <w:uiPriority w:val="99"/>
    <w:tblPr>
      <w:tblStyleRowBandSize w:val="1"/>
      <w:tblStyleColBandSize w:val="1"/>
      <w:tblBorders>
        <w:top w:val="single" w:sz="4" w:space="0" w:color="A7F0FF" w:themeColor="accent1" w:themeTint="90"/>
        <w:left w:val="single" w:sz="4" w:space="0" w:color="A7F0FF" w:themeColor="accent1" w:themeTint="90"/>
        <w:bottom w:val="single" w:sz="4" w:space="0" w:color="A7F0FF" w:themeColor="accent1" w:themeTint="90"/>
        <w:right w:val="single" w:sz="4" w:space="0" w:color="A7F0FF" w:themeColor="accent1" w:themeTint="90"/>
        <w:insideH w:val="single" w:sz="4" w:space="0" w:color="A7F0FF" w:themeColor="accent1" w:themeTint="90"/>
      </w:tblBorders>
      <w:tblCellMar>
        <w:left w:w="0" w:type="dxa"/>
        <w:right w:w="0" w:type="dxa"/>
      </w:tblCellMar>
    </w:tblPr>
    <w:tblStylePr w:type="firstRow">
      <w:rPr>
        <w:b/>
        <w:color w:val="FFFFFF"/>
        <w:sz w:val="22"/>
      </w:rPr>
      <w:tblPr/>
      <w:tcPr>
        <w:shd w:val="clear" w:color="64E6FF" w:fill="64E6FF" w:themeFill="accent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D8F8FF" w:fill="D8F8FF" w:themeFill="accent1" w:themeFillTint="40"/>
      </w:tcPr>
    </w:tblStylePr>
    <w:tblStylePr w:type="band1Horz">
      <w:rPr>
        <w:color w:val="404040"/>
        <w:sz w:val="22"/>
      </w:rPr>
      <w:tblPr/>
      <w:tcPr>
        <w:shd w:val="clear" w:color="D8F8FF" w:fill="D8F8FF"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4EBDFF" w:themeColor="accent2" w:themeTint="90"/>
        <w:left w:val="single" w:sz="4" w:space="0" w:color="4EBDFF" w:themeColor="accent2" w:themeTint="90"/>
        <w:bottom w:val="single" w:sz="4" w:space="0" w:color="4EBDFF" w:themeColor="accent2" w:themeTint="90"/>
        <w:right w:val="single" w:sz="4" w:space="0" w:color="4EBDFF" w:themeColor="accent2" w:themeTint="90"/>
        <w:insideH w:val="single" w:sz="4" w:space="0" w:color="4EBDFF" w:themeColor="accent2" w:themeTint="90"/>
      </w:tblBorders>
      <w:tblCellMar>
        <w:left w:w="0" w:type="dxa"/>
        <w:right w:w="0" w:type="dxa"/>
      </w:tblCellMar>
    </w:tblPr>
    <w:tblStylePr w:type="firstRow">
      <w:rPr>
        <w:b/>
        <w:color w:val="FFFFFF"/>
        <w:sz w:val="22"/>
      </w:rPr>
      <w:tblPr/>
      <w:tcPr>
        <w:shd w:val="clear" w:color="007DC5" w:fill="007DC5" w:themeFill="accent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B0E2FF" w:fill="B0E2FF" w:themeFill="accent2" w:themeFillTint="40"/>
      </w:tcPr>
    </w:tblStylePr>
    <w:tblStylePr w:type="band1Horz">
      <w:rPr>
        <w:color w:val="404040"/>
        <w:sz w:val="22"/>
      </w:rPr>
      <w:tblPr/>
      <w:tcPr>
        <w:shd w:val="clear" w:color="B0E2FF" w:fill="B0E2FF"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937AD7" w:themeColor="accent3" w:themeTint="90"/>
        <w:left w:val="single" w:sz="4" w:space="0" w:color="937AD7" w:themeColor="accent3" w:themeTint="90"/>
        <w:bottom w:val="single" w:sz="4" w:space="0" w:color="937AD7" w:themeColor="accent3" w:themeTint="90"/>
        <w:right w:val="single" w:sz="4" w:space="0" w:color="937AD7" w:themeColor="accent3" w:themeTint="90"/>
        <w:insideH w:val="single" w:sz="4" w:space="0" w:color="937AD7" w:themeColor="accent3" w:themeTint="90"/>
      </w:tblBorders>
      <w:tblCellMar>
        <w:left w:w="0" w:type="dxa"/>
        <w:right w:w="0" w:type="dxa"/>
      </w:tblCellMar>
    </w:tblPr>
    <w:tblStylePr w:type="firstRow">
      <w:rPr>
        <w:b/>
        <w:color w:val="FFFFFF"/>
        <w:sz w:val="22"/>
      </w:rPr>
      <w:tblPr/>
      <w:tcPr>
        <w:shd w:val="clear" w:color="4D2F9E" w:fill="4D2F9E" w:themeFill="accent3"/>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CEC3ED" w:fill="CEC3ED" w:themeFill="accent3" w:themeFillTint="40"/>
      </w:tcPr>
    </w:tblStylePr>
    <w:tblStylePr w:type="band1Horz">
      <w:rPr>
        <w:color w:val="404040"/>
        <w:sz w:val="22"/>
      </w:rPr>
      <w:tblPr/>
      <w:tcPr>
        <w:shd w:val="clear" w:color="CEC3ED" w:fill="CEC3ED"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4A8C" w:themeColor="accent4" w:themeTint="90"/>
        <w:left w:val="single" w:sz="4" w:space="0" w:color="FF4A8C" w:themeColor="accent4" w:themeTint="90"/>
        <w:bottom w:val="single" w:sz="4" w:space="0" w:color="FF4A8C" w:themeColor="accent4" w:themeTint="90"/>
        <w:right w:val="single" w:sz="4" w:space="0" w:color="FF4A8C" w:themeColor="accent4" w:themeTint="90"/>
        <w:insideH w:val="single" w:sz="4" w:space="0" w:color="FF4A8C" w:themeColor="accent4" w:themeTint="90"/>
      </w:tblBorders>
      <w:tblCellMar>
        <w:left w:w="0" w:type="dxa"/>
        <w:right w:w="0" w:type="dxa"/>
      </w:tblCellMar>
    </w:tblPr>
    <w:tblStylePr w:type="firstRow">
      <w:rPr>
        <w:b/>
        <w:color w:val="FFFFFF"/>
        <w:sz w:val="22"/>
      </w:rPr>
      <w:tblPr/>
      <w:tcPr>
        <w:shd w:val="clear" w:color="BE0046" w:fill="BE0046" w:themeFill="accent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FFAECB" w:fill="FFAECB" w:themeFill="accent4" w:themeFillTint="40"/>
      </w:tcPr>
    </w:tblStylePr>
    <w:tblStylePr w:type="band1Horz">
      <w:rPr>
        <w:color w:val="404040"/>
        <w:sz w:val="22"/>
      </w:rPr>
      <w:tblPr/>
      <w:tcPr>
        <w:shd w:val="clear" w:color="FFAECB" w:fill="FFAECB"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FF9863" w:themeColor="accent5" w:themeTint="90"/>
        <w:left w:val="single" w:sz="4" w:space="0" w:color="FF9863" w:themeColor="accent5" w:themeTint="90"/>
        <w:bottom w:val="single" w:sz="4" w:space="0" w:color="FF9863" w:themeColor="accent5" w:themeTint="90"/>
        <w:right w:val="single" w:sz="4" w:space="0" w:color="FF9863" w:themeColor="accent5" w:themeTint="90"/>
        <w:insideH w:val="single" w:sz="4" w:space="0" w:color="FF9863" w:themeColor="accent5" w:themeTint="90"/>
      </w:tblBorders>
      <w:tblCellMar>
        <w:left w:w="0" w:type="dxa"/>
        <w:right w:w="0" w:type="dxa"/>
      </w:tblCellMar>
    </w:tblPr>
    <w:tblStylePr w:type="firstRow">
      <w:rPr>
        <w:b/>
        <w:color w:val="FFFFFF"/>
        <w:sz w:val="22"/>
      </w:rPr>
      <w:tblPr/>
      <w:tcPr>
        <w:shd w:val="clear" w:color="EB5000" w:fill="EB5000" w:themeFill="accent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FFD1B9" w:fill="FFD1B9" w:themeFill="accent5" w:themeFillTint="40"/>
      </w:tcPr>
    </w:tblStylePr>
    <w:tblStylePr w:type="band1Horz">
      <w:rPr>
        <w:color w:val="404040"/>
        <w:sz w:val="22"/>
      </w:rPr>
      <w:tblPr/>
      <w:tcPr>
        <w:shd w:val="clear" w:color="FFD1B9" w:fill="FFD1B9"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FFF06F" w:themeColor="accent6" w:themeTint="90"/>
        <w:left w:val="single" w:sz="4" w:space="0" w:color="FFF06F" w:themeColor="accent6" w:themeTint="90"/>
        <w:bottom w:val="single" w:sz="4" w:space="0" w:color="FFF06F" w:themeColor="accent6" w:themeTint="90"/>
        <w:right w:val="single" w:sz="4" w:space="0" w:color="FFF06F" w:themeColor="accent6" w:themeTint="90"/>
        <w:insideH w:val="single" w:sz="4" w:space="0" w:color="FFF06F" w:themeColor="accent6" w:themeTint="90"/>
      </w:tblBorders>
      <w:tblCellMar>
        <w:left w:w="0" w:type="dxa"/>
        <w:right w:w="0" w:type="dxa"/>
      </w:tblCellMar>
    </w:tblPr>
    <w:tblStylePr w:type="firstRow">
      <w:rPr>
        <w:b/>
        <w:color w:val="FFFFFF"/>
        <w:sz w:val="22"/>
      </w:rPr>
      <w:tblPr/>
      <w:tcPr>
        <w:shd w:val="clear" w:color="FFE600" w:fill="FFE600" w:themeFill="accent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FFF8BF" w:fill="FFF8BF" w:themeFill="accent6" w:themeFillTint="40"/>
      </w:tcPr>
    </w:tblStylePr>
    <w:tblStylePr w:type="band1Horz">
      <w:rPr>
        <w:color w:val="404040"/>
        <w:sz w:val="22"/>
      </w:rPr>
      <w:tblPr/>
      <w:tcPr>
        <w:shd w:val="clear" w:color="FFF8BF" w:fill="FFF8BF" w:themeFill="accent6" w:themeFillTint="40"/>
      </w:tcPr>
    </w:tblStylePr>
  </w:style>
  <w:style w:type="table" w:styleId="ListTable5Dark-Accent1">
    <w:name w:val="List Table 5 Dark Accent 1"/>
    <w:basedOn w:val="TableNormal"/>
    <w:uiPriority w:val="99"/>
    <w:tblPr>
      <w:tblStyleRowBandSize w:val="1"/>
      <w:tblStyleColBandSize w:val="1"/>
      <w:tblBorders>
        <w:top w:val="single" w:sz="32" w:space="0" w:color="64E6FF" w:themeColor="accent1"/>
        <w:left w:val="single" w:sz="32" w:space="0" w:color="64E6FF" w:themeColor="accent1"/>
        <w:bottom w:val="single" w:sz="32" w:space="0" w:color="64E6FF" w:themeColor="accent1"/>
        <w:right w:val="single" w:sz="32" w:space="0" w:color="64E6FF" w:themeColor="accent1"/>
      </w:tblBorders>
      <w:tblCellMar>
        <w:left w:w="0" w:type="dxa"/>
        <w:right w:w="0" w:type="dxa"/>
      </w:tblCellMar>
    </w:tblPr>
    <w:tblStylePr w:type="firstRow">
      <w:rPr>
        <w:b/>
        <w:color w:val="FFFFFF" w:themeColor="light1"/>
        <w:sz w:val="22"/>
      </w:rPr>
      <w:tblPr/>
      <w:tcPr>
        <w:tcBorders>
          <w:top w:val="single" w:sz="32" w:space="0" w:color="64E6FF" w:themeColor="accent1"/>
          <w:bottom w:val="single" w:sz="12" w:space="0" w:color="FFFFFF" w:themeColor="light1"/>
        </w:tcBorders>
        <w:shd w:val="clear" w:color="64E6FF" w:fill="64E6FF"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64E6FF" w:themeColor="accent1"/>
          <w:right w:val="single" w:sz="4" w:space="0" w:color="FFFFFF" w:themeColor="light1"/>
        </w:tcBorders>
      </w:tcPr>
    </w:tblStylePr>
    <w:tblStylePr w:type="lastCol">
      <w:tblPr/>
      <w:tcPr>
        <w:tcBorders>
          <w:left w:val="single" w:sz="4" w:space="0" w:color="FFFFFF" w:themeColor="light1"/>
          <w:right w:val="single" w:sz="32" w:space="0" w:color="64E6FF" w:themeColor="accent1"/>
        </w:tcBorders>
      </w:tcPr>
    </w:tblStylePr>
    <w:tblStylePr w:type="band1Vert">
      <w:tblPr/>
      <w:tcPr>
        <w:tcBorders>
          <w:left w:val="single" w:sz="4" w:space="0" w:color="FFFFFF" w:themeColor="light1"/>
          <w:right w:val="single" w:sz="4" w:space="0" w:color="FFFFFF" w:themeColor="light1"/>
        </w:tcBorders>
        <w:shd w:val="clear" w:color="64E6FF" w:fill="64E6FF"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64E6FF" w:fill="64E6FF" w:themeFill="accent1"/>
      </w:tcPr>
    </w:tblStylePr>
    <w:tblStylePr w:type="band2Horz">
      <w:tblPr/>
      <w:tcPr>
        <w:tcBorders>
          <w:top w:val="single" w:sz="4" w:space="0" w:color="FFFFFF" w:themeColor="light1"/>
          <w:bottom w:val="single" w:sz="4" w:space="0" w:color="FFFFFF" w:themeColor="light1"/>
        </w:tcBorders>
        <w:shd w:val="clear" w:color="64E6FF" w:fill="64E6FF"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45BAFF" w:themeColor="accent2" w:themeTint="97"/>
        <w:left w:val="single" w:sz="32" w:space="0" w:color="45BAFF" w:themeColor="accent2" w:themeTint="97"/>
        <w:bottom w:val="single" w:sz="32" w:space="0" w:color="45BAFF" w:themeColor="accent2" w:themeTint="97"/>
        <w:right w:val="single" w:sz="32" w:space="0" w:color="45BAFF" w:themeColor="accent2" w:themeTint="97"/>
      </w:tblBorders>
      <w:tblCellMar>
        <w:left w:w="0" w:type="dxa"/>
        <w:right w:w="0" w:type="dxa"/>
      </w:tblCellMar>
    </w:tblPr>
    <w:tblStylePr w:type="firstRow">
      <w:rPr>
        <w:b/>
        <w:color w:val="FFFFFF" w:themeColor="light1"/>
        <w:sz w:val="22"/>
      </w:rPr>
      <w:tblPr/>
      <w:tcPr>
        <w:tcBorders>
          <w:top w:val="single" w:sz="32" w:space="0" w:color="007DC5" w:themeColor="accent2"/>
          <w:bottom w:val="single" w:sz="12" w:space="0" w:color="FFFFFF" w:themeColor="light1"/>
        </w:tcBorders>
        <w:shd w:val="clear" w:color="45BAFF" w:fill="45BAFF"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007DC5" w:themeColor="accent2"/>
          <w:right w:val="single" w:sz="4" w:space="0" w:color="FFFFFF" w:themeColor="light1"/>
        </w:tcBorders>
      </w:tcPr>
    </w:tblStylePr>
    <w:tblStylePr w:type="lastCol">
      <w:tblPr/>
      <w:tcPr>
        <w:tcBorders>
          <w:left w:val="single" w:sz="4" w:space="0" w:color="FFFFFF" w:themeColor="light1"/>
          <w:right w:val="single" w:sz="32" w:space="0" w:color="007DC5" w:themeColor="accent2"/>
        </w:tcBorders>
      </w:tcPr>
    </w:tblStylePr>
    <w:tblStylePr w:type="band1Vert">
      <w:tblPr/>
      <w:tcPr>
        <w:tcBorders>
          <w:left w:val="single" w:sz="4" w:space="0" w:color="FFFFFF" w:themeColor="light1"/>
          <w:right w:val="single" w:sz="4" w:space="0" w:color="FFFFFF" w:themeColor="light1"/>
        </w:tcBorders>
        <w:shd w:val="clear" w:color="45BAFF" w:fill="45BAFF"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5BAFF" w:fill="45BAFF" w:themeFill="accent2" w:themeFillTint="97"/>
      </w:tcPr>
    </w:tblStylePr>
    <w:tblStylePr w:type="band2Horz">
      <w:tblPr/>
      <w:tcPr>
        <w:tcBorders>
          <w:top w:val="single" w:sz="4" w:space="0" w:color="FFFFFF" w:themeColor="light1"/>
          <w:bottom w:val="single" w:sz="4" w:space="0" w:color="FFFFFF" w:themeColor="light1"/>
        </w:tcBorders>
        <w:shd w:val="clear" w:color="45BAFF" w:fill="45BAFF"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8C72D5" w:themeColor="accent3" w:themeTint="98"/>
        <w:left w:val="single" w:sz="32" w:space="0" w:color="8C72D5" w:themeColor="accent3" w:themeTint="98"/>
        <w:bottom w:val="single" w:sz="32" w:space="0" w:color="8C72D5" w:themeColor="accent3" w:themeTint="98"/>
        <w:right w:val="single" w:sz="32" w:space="0" w:color="8C72D5" w:themeColor="accent3" w:themeTint="98"/>
      </w:tblBorders>
      <w:tblCellMar>
        <w:left w:w="0" w:type="dxa"/>
        <w:right w:w="0" w:type="dxa"/>
      </w:tblCellMar>
    </w:tblPr>
    <w:tblStylePr w:type="firstRow">
      <w:rPr>
        <w:b/>
        <w:color w:val="FFFFFF" w:themeColor="light1"/>
        <w:sz w:val="22"/>
      </w:rPr>
      <w:tblPr/>
      <w:tcPr>
        <w:tcBorders>
          <w:top w:val="single" w:sz="32" w:space="0" w:color="4D2F9E" w:themeColor="accent3"/>
          <w:bottom w:val="single" w:sz="12" w:space="0" w:color="FFFFFF" w:themeColor="light1"/>
        </w:tcBorders>
        <w:shd w:val="clear" w:color="8C72D5" w:fill="8C72D5"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4D2F9E" w:themeColor="accent3"/>
          <w:right w:val="single" w:sz="4" w:space="0" w:color="FFFFFF" w:themeColor="light1"/>
        </w:tcBorders>
      </w:tcPr>
    </w:tblStylePr>
    <w:tblStylePr w:type="lastCol">
      <w:tblPr/>
      <w:tcPr>
        <w:tcBorders>
          <w:left w:val="single" w:sz="4" w:space="0" w:color="FFFFFF" w:themeColor="light1"/>
          <w:right w:val="single" w:sz="32" w:space="0" w:color="4D2F9E" w:themeColor="accent3"/>
        </w:tcBorders>
      </w:tcPr>
    </w:tblStylePr>
    <w:tblStylePr w:type="band1Vert">
      <w:tblPr/>
      <w:tcPr>
        <w:tcBorders>
          <w:left w:val="single" w:sz="4" w:space="0" w:color="FFFFFF" w:themeColor="light1"/>
          <w:right w:val="single" w:sz="4" w:space="0" w:color="FFFFFF" w:themeColor="light1"/>
        </w:tcBorders>
        <w:shd w:val="clear" w:color="8C72D5" w:fill="8C72D5"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C72D5" w:fill="8C72D5" w:themeFill="accent3" w:themeFillTint="98"/>
      </w:tcPr>
    </w:tblStylePr>
    <w:tblStylePr w:type="band2Horz">
      <w:tblPr/>
      <w:tcPr>
        <w:tcBorders>
          <w:top w:val="single" w:sz="4" w:space="0" w:color="FFFFFF" w:themeColor="light1"/>
          <w:bottom w:val="single" w:sz="4" w:space="0" w:color="FFFFFF" w:themeColor="light1"/>
        </w:tcBorders>
        <w:shd w:val="clear" w:color="8C72D5" w:fill="8C72D5"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3D84" w:themeColor="accent4" w:themeTint="9A"/>
        <w:left w:val="single" w:sz="32" w:space="0" w:color="FF3D84" w:themeColor="accent4" w:themeTint="9A"/>
        <w:bottom w:val="single" w:sz="32" w:space="0" w:color="FF3D84" w:themeColor="accent4" w:themeTint="9A"/>
        <w:right w:val="single" w:sz="32" w:space="0" w:color="FF3D84" w:themeColor="accent4" w:themeTint="9A"/>
      </w:tblBorders>
      <w:tblCellMar>
        <w:left w:w="0" w:type="dxa"/>
        <w:right w:w="0" w:type="dxa"/>
      </w:tblCellMar>
    </w:tblPr>
    <w:tblStylePr w:type="firstRow">
      <w:rPr>
        <w:b/>
        <w:color w:val="FFFFFF" w:themeColor="light1"/>
        <w:sz w:val="22"/>
      </w:rPr>
      <w:tblPr/>
      <w:tcPr>
        <w:tcBorders>
          <w:top w:val="single" w:sz="32" w:space="0" w:color="BE0046" w:themeColor="accent4"/>
          <w:bottom w:val="single" w:sz="12" w:space="0" w:color="FFFFFF" w:themeColor="light1"/>
        </w:tcBorders>
        <w:shd w:val="clear" w:color="FF3D84" w:fill="FF3D84"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BE0046" w:themeColor="accent4"/>
          <w:right w:val="single" w:sz="4" w:space="0" w:color="FFFFFF" w:themeColor="light1"/>
        </w:tcBorders>
      </w:tcPr>
    </w:tblStylePr>
    <w:tblStylePr w:type="lastCol">
      <w:tblPr/>
      <w:tcPr>
        <w:tcBorders>
          <w:left w:val="single" w:sz="4" w:space="0" w:color="FFFFFF" w:themeColor="light1"/>
          <w:right w:val="single" w:sz="32" w:space="0" w:color="BE0046" w:themeColor="accent4"/>
        </w:tcBorders>
      </w:tcPr>
    </w:tblStylePr>
    <w:tblStylePr w:type="band1Vert">
      <w:tblPr/>
      <w:tcPr>
        <w:tcBorders>
          <w:left w:val="single" w:sz="4" w:space="0" w:color="FFFFFF" w:themeColor="light1"/>
          <w:right w:val="single" w:sz="4" w:space="0" w:color="FFFFFF" w:themeColor="light1"/>
        </w:tcBorders>
        <w:shd w:val="clear" w:color="FF3D84" w:fill="FF3D84"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3D84" w:fill="FF3D84" w:themeFill="accent4" w:themeFillTint="9A"/>
      </w:tcPr>
    </w:tblStylePr>
    <w:tblStylePr w:type="band2Horz">
      <w:tblPr/>
      <w:tcPr>
        <w:tcBorders>
          <w:top w:val="single" w:sz="4" w:space="0" w:color="FFFFFF" w:themeColor="light1"/>
          <w:bottom w:val="single" w:sz="4" w:space="0" w:color="FFFFFF" w:themeColor="light1"/>
        </w:tcBorders>
        <w:shd w:val="clear" w:color="FF3D84" w:fill="FF3D84"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FF9058" w:themeColor="accent5" w:themeTint="9A"/>
        <w:left w:val="single" w:sz="32" w:space="0" w:color="FF9058" w:themeColor="accent5" w:themeTint="9A"/>
        <w:bottom w:val="single" w:sz="32" w:space="0" w:color="FF9058" w:themeColor="accent5" w:themeTint="9A"/>
        <w:right w:val="single" w:sz="32" w:space="0" w:color="FF9058" w:themeColor="accent5" w:themeTint="9A"/>
      </w:tblBorders>
      <w:tblCellMar>
        <w:left w:w="0" w:type="dxa"/>
        <w:right w:w="0" w:type="dxa"/>
      </w:tblCellMar>
    </w:tblPr>
    <w:tblStylePr w:type="firstRow">
      <w:rPr>
        <w:b/>
        <w:color w:val="FFFFFF" w:themeColor="light1"/>
        <w:sz w:val="22"/>
      </w:rPr>
      <w:tblPr/>
      <w:tcPr>
        <w:tcBorders>
          <w:top w:val="single" w:sz="32" w:space="0" w:color="EB5000" w:themeColor="accent5"/>
          <w:bottom w:val="single" w:sz="12" w:space="0" w:color="FFFFFF" w:themeColor="light1"/>
        </w:tcBorders>
        <w:shd w:val="clear" w:color="FF9058" w:fill="FF9058"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EB5000" w:themeColor="accent5"/>
          <w:right w:val="single" w:sz="4" w:space="0" w:color="FFFFFF" w:themeColor="light1"/>
        </w:tcBorders>
      </w:tcPr>
    </w:tblStylePr>
    <w:tblStylePr w:type="lastCol">
      <w:tblPr/>
      <w:tcPr>
        <w:tcBorders>
          <w:left w:val="single" w:sz="4" w:space="0" w:color="FFFFFF" w:themeColor="light1"/>
          <w:right w:val="single" w:sz="32" w:space="0" w:color="EB5000" w:themeColor="accent5"/>
        </w:tcBorders>
      </w:tcPr>
    </w:tblStylePr>
    <w:tblStylePr w:type="band1Vert">
      <w:tblPr/>
      <w:tcPr>
        <w:tcBorders>
          <w:left w:val="single" w:sz="4" w:space="0" w:color="FFFFFF" w:themeColor="light1"/>
          <w:right w:val="single" w:sz="4" w:space="0" w:color="FFFFFF" w:themeColor="light1"/>
        </w:tcBorders>
        <w:shd w:val="clear" w:color="FF9058" w:fill="FF9058"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9058" w:fill="FF9058" w:themeFill="accent5" w:themeFillTint="9A"/>
      </w:tcPr>
    </w:tblStylePr>
    <w:tblStylePr w:type="band2Horz">
      <w:tblPr/>
      <w:tcPr>
        <w:tcBorders>
          <w:top w:val="single" w:sz="4" w:space="0" w:color="FFFFFF" w:themeColor="light1"/>
          <w:bottom w:val="single" w:sz="4" w:space="0" w:color="FFFFFF" w:themeColor="light1"/>
        </w:tcBorders>
        <w:shd w:val="clear" w:color="FF9058" w:fill="FF9058"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FFF067" w:themeColor="accent6" w:themeTint="98"/>
        <w:left w:val="single" w:sz="32" w:space="0" w:color="FFF067" w:themeColor="accent6" w:themeTint="98"/>
        <w:bottom w:val="single" w:sz="32" w:space="0" w:color="FFF067" w:themeColor="accent6" w:themeTint="98"/>
        <w:right w:val="single" w:sz="32" w:space="0" w:color="FFF067" w:themeColor="accent6" w:themeTint="98"/>
      </w:tblBorders>
      <w:tblCellMar>
        <w:left w:w="0" w:type="dxa"/>
        <w:right w:w="0" w:type="dxa"/>
      </w:tblCellMar>
    </w:tblPr>
    <w:tblStylePr w:type="firstRow">
      <w:rPr>
        <w:b/>
        <w:color w:val="FFFFFF" w:themeColor="light1"/>
        <w:sz w:val="22"/>
      </w:rPr>
      <w:tblPr/>
      <w:tcPr>
        <w:tcBorders>
          <w:top w:val="single" w:sz="32" w:space="0" w:color="FFE600" w:themeColor="accent6"/>
          <w:bottom w:val="single" w:sz="12" w:space="0" w:color="FFFFFF" w:themeColor="light1"/>
        </w:tcBorders>
        <w:shd w:val="clear" w:color="FFF067" w:fill="FFF067"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FFE600" w:themeColor="accent6"/>
          <w:right w:val="single" w:sz="4" w:space="0" w:color="FFFFFF" w:themeColor="light1"/>
        </w:tcBorders>
      </w:tcPr>
    </w:tblStylePr>
    <w:tblStylePr w:type="lastCol">
      <w:tblPr/>
      <w:tcPr>
        <w:tcBorders>
          <w:left w:val="single" w:sz="4" w:space="0" w:color="FFFFFF" w:themeColor="light1"/>
          <w:right w:val="single" w:sz="32" w:space="0" w:color="FFE600" w:themeColor="accent6"/>
        </w:tcBorders>
      </w:tcPr>
    </w:tblStylePr>
    <w:tblStylePr w:type="band1Vert">
      <w:tblPr/>
      <w:tcPr>
        <w:tcBorders>
          <w:left w:val="single" w:sz="4" w:space="0" w:color="FFFFFF" w:themeColor="light1"/>
          <w:right w:val="single" w:sz="4" w:space="0" w:color="FFFFFF" w:themeColor="light1"/>
        </w:tcBorders>
        <w:shd w:val="clear" w:color="FFF067" w:fill="FFF067"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067" w:fill="FFF067" w:themeFill="accent6" w:themeFillTint="98"/>
      </w:tcPr>
    </w:tblStylePr>
    <w:tblStylePr w:type="band2Horz">
      <w:tblPr/>
      <w:tcPr>
        <w:tcBorders>
          <w:top w:val="single" w:sz="4" w:space="0" w:color="FFFFFF" w:themeColor="light1"/>
          <w:bottom w:val="single" w:sz="4" w:space="0" w:color="FFFFFF" w:themeColor="light1"/>
        </w:tcBorders>
        <w:shd w:val="clear" w:color="FFF067" w:fill="FFF067" w:themeFill="accent6" w:themeFillTint="98"/>
      </w:tcPr>
    </w:tblStylePr>
  </w:style>
  <w:style w:type="table" w:styleId="ListTable6Colorful-Accent1">
    <w:name w:val="List Table 6 Colorful Accent 1"/>
    <w:basedOn w:val="TableNormal"/>
    <w:uiPriority w:val="99"/>
    <w:tblPr>
      <w:tblStyleRowBandSize w:val="1"/>
      <w:tblStyleColBandSize w:val="1"/>
      <w:tblBorders>
        <w:top w:val="single" w:sz="4" w:space="0" w:color="64E6FF" w:themeColor="accent1"/>
        <w:bottom w:val="single" w:sz="4" w:space="0" w:color="64E6FF" w:themeColor="accent1"/>
      </w:tblBorders>
      <w:tblCellMar>
        <w:left w:w="0" w:type="dxa"/>
        <w:right w:w="0" w:type="dxa"/>
      </w:tblCellMar>
    </w:tblPr>
    <w:tblStylePr w:type="firstRow">
      <w:rPr>
        <w:b/>
        <w:color w:val="00ADCF" w:themeColor="accent1" w:themeShade="95"/>
      </w:rPr>
      <w:tblPr/>
      <w:tcPr>
        <w:tcBorders>
          <w:bottom w:val="single" w:sz="4" w:space="0" w:color="64E6FF" w:themeColor="accent1"/>
        </w:tcBorders>
      </w:tcPr>
    </w:tblStylePr>
    <w:tblStylePr w:type="lastRow">
      <w:rPr>
        <w:b/>
        <w:color w:val="00ADCF" w:themeColor="accent1" w:themeShade="95"/>
      </w:rPr>
      <w:tblPr/>
      <w:tcPr>
        <w:tcBorders>
          <w:top w:val="single" w:sz="4" w:space="0" w:color="64E6FF" w:themeColor="accent1"/>
        </w:tcBorders>
      </w:tcPr>
    </w:tblStylePr>
    <w:tblStylePr w:type="firstCol">
      <w:rPr>
        <w:b/>
        <w:color w:val="00ADCF" w:themeColor="accent1" w:themeShade="95"/>
      </w:rPr>
    </w:tblStylePr>
    <w:tblStylePr w:type="lastCol">
      <w:rPr>
        <w:b/>
        <w:color w:val="00ADCF" w:themeColor="accent1" w:themeShade="95"/>
      </w:rPr>
    </w:tblStylePr>
    <w:tblStylePr w:type="band1Vert">
      <w:tblPr/>
      <w:tcPr>
        <w:shd w:val="clear" w:color="D8F8FF" w:fill="D8F8FF" w:themeFill="accent1" w:themeFillTint="40"/>
      </w:tcPr>
    </w:tblStylePr>
    <w:tblStylePr w:type="band1Horz">
      <w:rPr>
        <w:color w:val="00ADCF" w:themeColor="accent1" w:themeShade="95"/>
        <w:sz w:val="22"/>
      </w:rPr>
      <w:tblPr/>
      <w:tcPr>
        <w:shd w:val="clear" w:color="D8F8FF" w:fill="D8F8FF" w:themeFill="accent1" w:themeFillTint="40"/>
      </w:tcPr>
    </w:tblStylePr>
    <w:tblStylePr w:type="band2Horz">
      <w:rPr>
        <w:color w:val="00ADCF"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45BAFF" w:themeColor="accent2" w:themeTint="97"/>
        <w:bottom w:val="single" w:sz="4" w:space="0" w:color="45BAFF" w:themeColor="accent2" w:themeTint="97"/>
      </w:tblBorders>
      <w:tblCellMar>
        <w:left w:w="0" w:type="dxa"/>
        <w:right w:w="0" w:type="dxa"/>
      </w:tblCellMar>
    </w:tblPr>
    <w:tblStylePr w:type="firstRow">
      <w:rPr>
        <w:b/>
        <w:color w:val="45BAFF" w:themeColor="accent2" w:themeTint="97" w:themeShade="95"/>
      </w:rPr>
      <w:tblPr/>
      <w:tcPr>
        <w:tcBorders>
          <w:bottom w:val="single" w:sz="4" w:space="0" w:color="007DC5" w:themeColor="accent2"/>
        </w:tcBorders>
      </w:tcPr>
    </w:tblStylePr>
    <w:tblStylePr w:type="lastRow">
      <w:rPr>
        <w:b/>
        <w:color w:val="45BAFF" w:themeColor="accent2" w:themeTint="97" w:themeShade="95"/>
      </w:rPr>
      <w:tblPr/>
      <w:tcPr>
        <w:tcBorders>
          <w:top w:val="single" w:sz="4" w:space="0" w:color="007DC5" w:themeColor="accent2"/>
        </w:tcBorders>
      </w:tcPr>
    </w:tblStylePr>
    <w:tblStylePr w:type="firstCol">
      <w:rPr>
        <w:b/>
        <w:color w:val="45BAFF" w:themeColor="accent2" w:themeTint="97" w:themeShade="95"/>
      </w:rPr>
    </w:tblStylePr>
    <w:tblStylePr w:type="lastCol">
      <w:rPr>
        <w:b/>
        <w:color w:val="45BAFF" w:themeColor="accent2" w:themeTint="97" w:themeShade="95"/>
      </w:rPr>
    </w:tblStylePr>
    <w:tblStylePr w:type="band1Vert">
      <w:tblPr/>
      <w:tcPr>
        <w:shd w:val="clear" w:color="B0E2FF" w:fill="B0E2FF" w:themeFill="accent2" w:themeFillTint="40"/>
      </w:tcPr>
    </w:tblStylePr>
    <w:tblStylePr w:type="band1Horz">
      <w:rPr>
        <w:color w:val="45BAFF" w:themeColor="accent2" w:themeTint="97" w:themeShade="95"/>
        <w:sz w:val="22"/>
      </w:rPr>
      <w:tblPr/>
      <w:tcPr>
        <w:shd w:val="clear" w:color="B0E2FF" w:fill="B0E2FF" w:themeFill="accent2" w:themeFillTint="40"/>
      </w:tcPr>
    </w:tblStylePr>
    <w:tblStylePr w:type="band2Horz">
      <w:rPr>
        <w:color w:val="45BAFF"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8C72D5" w:themeColor="accent3" w:themeTint="98"/>
        <w:bottom w:val="single" w:sz="4" w:space="0" w:color="8C72D5" w:themeColor="accent3" w:themeTint="98"/>
      </w:tblBorders>
      <w:tblCellMar>
        <w:left w:w="0" w:type="dxa"/>
        <w:right w:w="0" w:type="dxa"/>
      </w:tblCellMar>
    </w:tblPr>
    <w:tblStylePr w:type="firstRow">
      <w:rPr>
        <w:b/>
        <w:color w:val="8C72D5" w:themeColor="accent3" w:themeTint="98" w:themeShade="95"/>
      </w:rPr>
      <w:tblPr/>
      <w:tcPr>
        <w:tcBorders>
          <w:bottom w:val="single" w:sz="4" w:space="0" w:color="4D2F9E" w:themeColor="accent3"/>
        </w:tcBorders>
      </w:tcPr>
    </w:tblStylePr>
    <w:tblStylePr w:type="lastRow">
      <w:rPr>
        <w:b/>
        <w:color w:val="8C72D5" w:themeColor="accent3" w:themeTint="98" w:themeShade="95"/>
      </w:rPr>
      <w:tblPr/>
      <w:tcPr>
        <w:tcBorders>
          <w:top w:val="single" w:sz="4" w:space="0" w:color="4D2F9E" w:themeColor="accent3"/>
        </w:tcBorders>
      </w:tcPr>
    </w:tblStylePr>
    <w:tblStylePr w:type="firstCol">
      <w:rPr>
        <w:b/>
        <w:color w:val="8C72D5" w:themeColor="accent3" w:themeTint="98" w:themeShade="95"/>
      </w:rPr>
    </w:tblStylePr>
    <w:tblStylePr w:type="lastCol">
      <w:rPr>
        <w:b/>
        <w:color w:val="8C72D5" w:themeColor="accent3" w:themeTint="98" w:themeShade="95"/>
      </w:rPr>
    </w:tblStylePr>
    <w:tblStylePr w:type="band1Vert">
      <w:tblPr/>
      <w:tcPr>
        <w:shd w:val="clear" w:color="CEC3ED" w:fill="CEC3ED" w:themeFill="accent3" w:themeFillTint="40"/>
      </w:tcPr>
    </w:tblStylePr>
    <w:tblStylePr w:type="band1Horz">
      <w:rPr>
        <w:color w:val="8C72D5" w:themeColor="accent3" w:themeTint="98" w:themeShade="95"/>
        <w:sz w:val="22"/>
      </w:rPr>
      <w:tblPr/>
      <w:tcPr>
        <w:shd w:val="clear" w:color="CEC3ED" w:fill="CEC3ED" w:themeFill="accent3" w:themeFillTint="40"/>
      </w:tcPr>
    </w:tblStylePr>
    <w:tblStylePr w:type="band2Horz">
      <w:rPr>
        <w:color w:val="8C72D5"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FF3D84" w:themeColor="accent4" w:themeTint="9A"/>
        <w:bottom w:val="single" w:sz="4" w:space="0" w:color="FF3D84" w:themeColor="accent4" w:themeTint="9A"/>
      </w:tblBorders>
      <w:tblCellMar>
        <w:left w:w="0" w:type="dxa"/>
        <w:right w:w="0" w:type="dxa"/>
      </w:tblCellMar>
    </w:tblPr>
    <w:tblStylePr w:type="firstRow">
      <w:rPr>
        <w:b/>
        <w:color w:val="FF3D84" w:themeColor="accent4" w:themeTint="9A" w:themeShade="95"/>
      </w:rPr>
      <w:tblPr/>
      <w:tcPr>
        <w:tcBorders>
          <w:bottom w:val="single" w:sz="4" w:space="0" w:color="BE0046" w:themeColor="accent4"/>
        </w:tcBorders>
      </w:tcPr>
    </w:tblStylePr>
    <w:tblStylePr w:type="lastRow">
      <w:rPr>
        <w:b/>
        <w:color w:val="FF3D84" w:themeColor="accent4" w:themeTint="9A" w:themeShade="95"/>
      </w:rPr>
      <w:tblPr/>
      <w:tcPr>
        <w:tcBorders>
          <w:top w:val="single" w:sz="4" w:space="0" w:color="BE0046" w:themeColor="accent4"/>
        </w:tcBorders>
      </w:tcPr>
    </w:tblStylePr>
    <w:tblStylePr w:type="firstCol">
      <w:rPr>
        <w:b/>
        <w:color w:val="FF3D84" w:themeColor="accent4" w:themeTint="9A" w:themeShade="95"/>
      </w:rPr>
    </w:tblStylePr>
    <w:tblStylePr w:type="lastCol">
      <w:rPr>
        <w:b/>
        <w:color w:val="FF3D84" w:themeColor="accent4" w:themeTint="9A" w:themeShade="95"/>
      </w:rPr>
    </w:tblStylePr>
    <w:tblStylePr w:type="band1Vert">
      <w:tblPr/>
      <w:tcPr>
        <w:shd w:val="clear" w:color="FFAECB" w:fill="FFAECB" w:themeFill="accent4" w:themeFillTint="40"/>
      </w:tcPr>
    </w:tblStylePr>
    <w:tblStylePr w:type="band1Horz">
      <w:rPr>
        <w:color w:val="FF3D84" w:themeColor="accent4" w:themeTint="9A" w:themeShade="95"/>
        <w:sz w:val="22"/>
      </w:rPr>
      <w:tblPr/>
      <w:tcPr>
        <w:shd w:val="clear" w:color="FFAECB" w:fill="FFAECB" w:themeFill="accent4" w:themeFillTint="40"/>
      </w:tcPr>
    </w:tblStylePr>
    <w:tblStylePr w:type="band2Horz">
      <w:rPr>
        <w:color w:val="FF3D84"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FF9058" w:themeColor="accent5" w:themeTint="9A"/>
        <w:bottom w:val="single" w:sz="4" w:space="0" w:color="FF9058" w:themeColor="accent5" w:themeTint="9A"/>
      </w:tblBorders>
      <w:tblCellMar>
        <w:left w:w="0" w:type="dxa"/>
        <w:right w:w="0" w:type="dxa"/>
      </w:tblCellMar>
    </w:tblPr>
    <w:tblStylePr w:type="firstRow">
      <w:rPr>
        <w:b/>
        <w:color w:val="FF9058" w:themeColor="accent5" w:themeTint="9A" w:themeShade="95"/>
      </w:rPr>
      <w:tblPr/>
      <w:tcPr>
        <w:tcBorders>
          <w:bottom w:val="single" w:sz="4" w:space="0" w:color="EB5000" w:themeColor="accent5"/>
        </w:tcBorders>
      </w:tcPr>
    </w:tblStylePr>
    <w:tblStylePr w:type="lastRow">
      <w:rPr>
        <w:b/>
        <w:color w:val="FF9058" w:themeColor="accent5" w:themeTint="9A" w:themeShade="95"/>
      </w:rPr>
      <w:tblPr/>
      <w:tcPr>
        <w:tcBorders>
          <w:top w:val="single" w:sz="4" w:space="0" w:color="EB5000" w:themeColor="accent5"/>
        </w:tcBorders>
      </w:tcPr>
    </w:tblStylePr>
    <w:tblStylePr w:type="firstCol">
      <w:rPr>
        <w:b/>
        <w:color w:val="FF9058" w:themeColor="accent5" w:themeTint="9A" w:themeShade="95"/>
      </w:rPr>
    </w:tblStylePr>
    <w:tblStylePr w:type="lastCol">
      <w:rPr>
        <w:b/>
        <w:color w:val="FF9058" w:themeColor="accent5" w:themeTint="9A" w:themeShade="95"/>
      </w:rPr>
    </w:tblStylePr>
    <w:tblStylePr w:type="band1Vert">
      <w:tblPr/>
      <w:tcPr>
        <w:shd w:val="clear" w:color="FFD1B9" w:fill="FFD1B9" w:themeFill="accent5" w:themeFillTint="40"/>
      </w:tcPr>
    </w:tblStylePr>
    <w:tblStylePr w:type="band1Horz">
      <w:rPr>
        <w:color w:val="FF9058" w:themeColor="accent5" w:themeTint="9A" w:themeShade="95"/>
        <w:sz w:val="22"/>
      </w:rPr>
      <w:tblPr/>
      <w:tcPr>
        <w:shd w:val="clear" w:color="FFD1B9" w:fill="FFD1B9" w:themeFill="accent5" w:themeFillTint="40"/>
      </w:tcPr>
    </w:tblStylePr>
    <w:tblStylePr w:type="band2Horz">
      <w:rPr>
        <w:color w:val="FF9058"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FFF067" w:themeColor="accent6" w:themeTint="98"/>
        <w:bottom w:val="single" w:sz="4" w:space="0" w:color="FFF067" w:themeColor="accent6" w:themeTint="98"/>
      </w:tblBorders>
      <w:tblCellMar>
        <w:left w:w="0" w:type="dxa"/>
        <w:right w:w="0" w:type="dxa"/>
      </w:tblCellMar>
    </w:tblPr>
    <w:tblStylePr w:type="firstRow">
      <w:rPr>
        <w:b/>
        <w:color w:val="FFF067" w:themeColor="accent6" w:themeTint="98" w:themeShade="95"/>
      </w:rPr>
      <w:tblPr/>
      <w:tcPr>
        <w:tcBorders>
          <w:bottom w:val="single" w:sz="4" w:space="0" w:color="FFE600" w:themeColor="accent6"/>
        </w:tcBorders>
      </w:tcPr>
    </w:tblStylePr>
    <w:tblStylePr w:type="lastRow">
      <w:rPr>
        <w:b/>
        <w:color w:val="FFF067" w:themeColor="accent6" w:themeTint="98" w:themeShade="95"/>
      </w:rPr>
      <w:tblPr/>
      <w:tcPr>
        <w:tcBorders>
          <w:top w:val="single" w:sz="4" w:space="0" w:color="FFE600" w:themeColor="accent6"/>
        </w:tcBorders>
      </w:tcPr>
    </w:tblStylePr>
    <w:tblStylePr w:type="firstCol">
      <w:rPr>
        <w:b/>
        <w:color w:val="FFF067" w:themeColor="accent6" w:themeTint="98" w:themeShade="95"/>
      </w:rPr>
    </w:tblStylePr>
    <w:tblStylePr w:type="lastCol">
      <w:rPr>
        <w:b/>
        <w:color w:val="FFF067" w:themeColor="accent6" w:themeTint="98" w:themeShade="95"/>
      </w:rPr>
    </w:tblStylePr>
    <w:tblStylePr w:type="band1Vert">
      <w:tblPr/>
      <w:tcPr>
        <w:shd w:val="clear" w:color="FFF8BF" w:fill="FFF8BF" w:themeFill="accent6" w:themeFillTint="40"/>
      </w:tcPr>
    </w:tblStylePr>
    <w:tblStylePr w:type="band1Horz">
      <w:rPr>
        <w:color w:val="FFF067" w:themeColor="accent6" w:themeTint="98" w:themeShade="95"/>
        <w:sz w:val="22"/>
      </w:rPr>
      <w:tblPr/>
      <w:tcPr>
        <w:shd w:val="clear" w:color="FFF8BF" w:fill="FFF8BF" w:themeFill="accent6" w:themeFillTint="40"/>
      </w:tcPr>
    </w:tblStylePr>
    <w:tblStylePr w:type="band2Horz">
      <w:rPr>
        <w:color w:val="FFF067" w:themeColor="accent6" w:themeTint="98"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64E6FF" w:themeColor="accent1"/>
      </w:tblBorders>
      <w:tblCellMar>
        <w:left w:w="0" w:type="dxa"/>
        <w:right w:w="0" w:type="dxa"/>
      </w:tblCellMar>
    </w:tblPr>
    <w:tblStylePr w:type="firstRow">
      <w:rPr>
        <w:i/>
        <w:color w:val="00ADCF" w:themeColor="accent1" w:themeShade="95"/>
        <w:sz w:val="22"/>
      </w:rPr>
      <w:tblPr/>
      <w:tcPr>
        <w:tcBorders>
          <w:top w:val="none" w:sz="4" w:space="0" w:color="000000"/>
          <w:left w:val="none" w:sz="4" w:space="0" w:color="000000"/>
          <w:bottom w:val="single" w:sz="4" w:space="0" w:color="64E6FF" w:themeColor="accent1"/>
          <w:right w:val="none" w:sz="4" w:space="0" w:color="000000"/>
        </w:tcBorders>
        <w:shd w:val="clear" w:color="FFFFFF" w:fill="FFFFFF" w:themeFill="light1"/>
      </w:tcPr>
    </w:tblStylePr>
    <w:tblStylePr w:type="lastRow">
      <w:rPr>
        <w:i/>
        <w:color w:val="00ADCF" w:themeColor="accent1" w:themeShade="95"/>
        <w:sz w:val="22"/>
      </w:rPr>
      <w:tblPr/>
      <w:tcPr>
        <w:tcBorders>
          <w:top w:val="single" w:sz="4" w:space="0" w:color="64E6FF" w:themeColor="accent1"/>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00ADCF" w:themeColor="accent1" w:themeShade="95"/>
        <w:sz w:val="22"/>
      </w:rPr>
      <w:tblPr/>
      <w:tcPr>
        <w:tcBorders>
          <w:top w:val="none" w:sz="4" w:space="0" w:color="000000"/>
          <w:left w:val="none" w:sz="4" w:space="0" w:color="000000"/>
          <w:bottom w:val="none" w:sz="4" w:space="0" w:color="000000"/>
          <w:right w:val="single" w:sz="4" w:space="0" w:color="64E6FF" w:themeColor="accent1"/>
        </w:tcBorders>
        <w:shd w:val="clear" w:color="FFFFFF" w:fill="auto"/>
      </w:tcPr>
    </w:tblStylePr>
    <w:tblStylePr w:type="lastCol">
      <w:rPr>
        <w:i/>
        <w:color w:val="00ADCF" w:themeColor="accent1" w:themeShade="95"/>
        <w:sz w:val="22"/>
      </w:rPr>
      <w:tblPr/>
      <w:tcPr>
        <w:tcBorders>
          <w:top w:val="none" w:sz="4" w:space="0" w:color="000000"/>
          <w:left w:val="single" w:sz="4" w:space="0" w:color="64E6FF" w:themeColor="accent1"/>
          <w:bottom w:val="none" w:sz="4" w:space="0" w:color="000000"/>
          <w:right w:val="none" w:sz="4" w:space="0" w:color="000000"/>
        </w:tcBorders>
        <w:shd w:val="clear" w:color="FFFFFF" w:fill="auto"/>
      </w:tcPr>
    </w:tblStylePr>
    <w:tblStylePr w:type="band1Vert">
      <w:tblPr/>
      <w:tcPr>
        <w:shd w:val="clear" w:color="D8F8FF" w:fill="D8F8FF" w:themeFill="accent1" w:themeFillTint="40"/>
      </w:tcPr>
    </w:tblStylePr>
    <w:tblStylePr w:type="band1Horz">
      <w:rPr>
        <w:color w:val="00ADCF" w:themeColor="accent1" w:themeShade="95"/>
        <w:sz w:val="22"/>
      </w:rPr>
      <w:tblPr/>
      <w:tcPr>
        <w:shd w:val="clear" w:color="D8F8FF" w:fill="D8F8FF" w:themeFill="accent1" w:themeFillTint="40"/>
      </w:tcPr>
    </w:tblStylePr>
    <w:tblStylePr w:type="band2Horz">
      <w:rPr>
        <w:color w:val="00ADCF"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45BAFF" w:themeColor="accent2" w:themeTint="97"/>
      </w:tblBorders>
      <w:tblCellMar>
        <w:left w:w="0" w:type="dxa"/>
        <w:right w:w="0" w:type="dxa"/>
      </w:tblCellMar>
    </w:tblPr>
    <w:tblStylePr w:type="firstRow">
      <w:rPr>
        <w:i/>
        <w:color w:val="45BAFF" w:themeColor="accent2" w:themeTint="97" w:themeShade="95"/>
        <w:sz w:val="22"/>
      </w:rPr>
      <w:tblPr/>
      <w:tcPr>
        <w:tcBorders>
          <w:top w:val="none" w:sz="4" w:space="0" w:color="000000"/>
          <w:left w:val="none" w:sz="4" w:space="0" w:color="000000"/>
          <w:bottom w:val="single" w:sz="4" w:space="0" w:color="007DC5" w:themeColor="accent2"/>
          <w:right w:val="none" w:sz="4" w:space="0" w:color="000000"/>
        </w:tcBorders>
        <w:shd w:val="clear" w:color="FFFFFF" w:fill="FFFFFF" w:themeFill="light1"/>
      </w:tcPr>
    </w:tblStylePr>
    <w:tblStylePr w:type="lastRow">
      <w:rPr>
        <w:i/>
        <w:color w:val="45BAFF" w:themeColor="accent2" w:themeTint="97" w:themeShade="95"/>
        <w:sz w:val="22"/>
      </w:rPr>
      <w:tblPr/>
      <w:tcPr>
        <w:tcBorders>
          <w:top w:val="single" w:sz="4" w:space="0" w:color="007DC5" w:themeColor="accent2"/>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45BAFF" w:themeColor="accent2" w:themeTint="97" w:themeShade="95"/>
        <w:sz w:val="22"/>
      </w:rPr>
      <w:tblPr/>
      <w:tcPr>
        <w:tcBorders>
          <w:top w:val="none" w:sz="4" w:space="0" w:color="000000"/>
          <w:left w:val="none" w:sz="4" w:space="0" w:color="000000"/>
          <w:bottom w:val="none" w:sz="4" w:space="0" w:color="000000"/>
          <w:right w:val="single" w:sz="4" w:space="0" w:color="007DC5" w:themeColor="accent2"/>
        </w:tcBorders>
        <w:shd w:val="clear" w:color="FFFFFF" w:fill="auto"/>
      </w:tcPr>
    </w:tblStylePr>
    <w:tblStylePr w:type="lastCol">
      <w:rPr>
        <w:i/>
        <w:color w:val="45BAFF" w:themeColor="accent2" w:themeTint="97" w:themeShade="95"/>
        <w:sz w:val="22"/>
      </w:rPr>
      <w:tblPr/>
      <w:tcPr>
        <w:tcBorders>
          <w:top w:val="none" w:sz="4" w:space="0" w:color="000000"/>
          <w:left w:val="single" w:sz="4" w:space="0" w:color="007DC5" w:themeColor="accent2"/>
          <w:bottom w:val="none" w:sz="4" w:space="0" w:color="000000"/>
          <w:right w:val="none" w:sz="4" w:space="0" w:color="000000"/>
        </w:tcBorders>
        <w:shd w:val="clear" w:color="FFFFFF" w:fill="auto"/>
      </w:tcPr>
    </w:tblStylePr>
    <w:tblStylePr w:type="band1Vert">
      <w:tblPr/>
      <w:tcPr>
        <w:shd w:val="clear" w:color="B0E2FF" w:fill="B0E2FF" w:themeFill="accent2" w:themeFillTint="40"/>
      </w:tcPr>
    </w:tblStylePr>
    <w:tblStylePr w:type="band1Horz">
      <w:rPr>
        <w:color w:val="45BAFF" w:themeColor="accent2" w:themeTint="97" w:themeShade="95"/>
        <w:sz w:val="22"/>
      </w:rPr>
      <w:tblPr/>
      <w:tcPr>
        <w:shd w:val="clear" w:color="B0E2FF" w:fill="B0E2FF" w:themeFill="accent2" w:themeFillTint="40"/>
      </w:tcPr>
    </w:tblStylePr>
    <w:tblStylePr w:type="band2Horz">
      <w:rPr>
        <w:color w:val="45BAFF"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8C72D5" w:themeColor="accent3" w:themeTint="98"/>
      </w:tblBorders>
      <w:tblCellMar>
        <w:left w:w="0" w:type="dxa"/>
        <w:right w:w="0" w:type="dxa"/>
      </w:tblCellMar>
    </w:tblPr>
    <w:tblStylePr w:type="firstRow">
      <w:rPr>
        <w:i/>
        <w:color w:val="8C72D5" w:themeColor="accent3" w:themeTint="98" w:themeShade="95"/>
        <w:sz w:val="22"/>
      </w:rPr>
      <w:tblPr/>
      <w:tcPr>
        <w:tcBorders>
          <w:top w:val="none" w:sz="4" w:space="0" w:color="000000"/>
          <w:left w:val="none" w:sz="4" w:space="0" w:color="000000"/>
          <w:bottom w:val="single" w:sz="4" w:space="0" w:color="4D2F9E" w:themeColor="accent3"/>
          <w:right w:val="none" w:sz="4" w:space="0" w:color="000000"/>
        </w:tcBorders>
        <w:shd w:val="clear" w:color="FFFFFF" w:fill="FFFFFF" w:themeFill="light1"/>
      </w:tcPr>
    </w:tblStylePr>
    <w:tblStylePr w:type="lastRow">
      <w:rPr>
        <w:i/>
        <w:color w:val="8C72D5" w:themeColor="accent3" w:themeTint="98" w:themeShade="95"/>
        <w:sz w:val="22"/>
      </w:rPr>
      <w:tblPr/>
      <w:tcPr>
        <w:tcBorders>
          <w:top w:val="single" w:sz="4" w:space="0" w:color="4D2F9E" w:themeColor="accent3"/>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8C72D5" w:themeColor="accent3" w:themeTint="98" w:themeShade="95"/>
        <w:sz w:val="22"/>
      </w:rPr>
      <w:tblPr/>
      <w:tcPr>
        <w:tcBorders>
          <w:top w:val="none" w:sz="4" w:space="0" w:color="000000"/>
          <w:left w:val="none" w:sz="4" w:space="0" w:color="000000"/>
          <w:bottom w:val="none" w:sz="4" w:space="0" w:color="000000"/>
          <w:right w:val="single" w:sz="4" w:space="0" w:color="4D2F9E" w:themeColor="accent3"/>
        </w:tcBorders>
        <w:shd w:val="clear" w:color="FFFFFF" w:fill="auto"/>
      </w:tcPr>
    </w:tblStylePr>
    <w:tblStylePr w:type="lastCol">
      <w:rPr>
        <w:i/>
        <w:color w:val="8C72D5" w:themeColor="accent3" w:themeTint="98" w:themeShade="95"/>
        <w:sz w:val="22"/>
      </w:rPr>
      <w:tblPr/>
      <w:tcPr>
        <w:tcBorders>
          <w:top w:val="none" w:sz="4" w:space="0" w:color="000000"/>
          <w:left w:val="single" w:sz="4" w:space="0" w:color="4D2F9E" w:themeColor="accent3"/>
          <w:bottom w:val="none" w:sz="4" w:space="0" w:color="000000"/>
          <w:right w:val="none" w:sz="4" w:space="0" w:color="000000"/>
        </w:tcBorders>
        <w:shd w:val="clear" w:color="FFFFFF" w:fill="auto"/>
      </w:tcPr>
    </w:tblStylePr>
    <w:tblStylePr w:type="band1Vert">
      <w:tblPr/>
      <w:tcPr>
        <w:shd w:val="clear" w:color="CEC3ED" w:fill="CEC3ED" w:themeFill="accent3" w:themeFillTint="40"/>
      </w:tcPr>
    </w:tblStylePr>
    <w:tblStylePr w:type="band1Horz">
      <w:rPr>
        <w:color w:val="8C72D5" w:themeColor="accent3" w:themeTint="98" w:themeShade="95"/>
        <w:sz w:val="22"/>
      </w:rPr>
      <w:tblPr/>
      <w:tcPr>
        <w:shd w:val="clear" w:color="CEC3ED" w:fill="CEC3ED" w:themeFill="accent3" w:themeFillTint="40"/>
      </w:tcPr>
    </w:tblStylePr>
    <w:tblStylePr w:type="band2Horz">
      <w:rPr>
        <w:color w:val="8C72D5"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FF3D84" w:themeColor="accent4" w:themeTint="9A"/>
      </w:tblBorders>
      <w:tblCellMar>
        <w:left w:w="0" w:type="dxa"/>
        <w:right w:w="0" w:type="dxa"/>
      </w:tblCellMar>
    </w:tblPr>
    <w:tblStylePr w:type="firstRow">
      <w:rPr>
        <w:i/>
        <w:color w:val="FF3D84" w:themeColor="accent4" w:themeTint="9A" w:themeShade="95"/>
        <w:sz w:val="22"/>
      </w:rPr>
      <w:tblPr/>
      <w:tcPr>
        <w:tcBorders>
          <w:top w:val="none" w:sz="4" w:space="0" w:color="000000"/>
          <w:left w:val="none" w:sz="4" w:space="0" w:color="000000"/>
          <w:bottom w:val="single" w:sz="4" w:space="0" w:color="BE0046" w:themeColor="accent4"/>
          <w:right w:val="none" w:sz="4" w:space="0" w:color="000000"/>
        </w:tcBorders>
        <w:shd w:val="clear" w:color="FFFFFF" w:fill="FFFFFF" w:themeFill="light1"/>
      </w:tcPr>
    </w:tblStylePr>
    <w:tblStylePr w:type="lastRow">
      <w:rPr>
        <w:i/>
        <w:color w:val="FF3D84" w:themeColor="accent4" w:themeTint="9A" w:themeShade="95"/>
        <w:sz w:val="22"/>
      </w:rPr>
      <w:tblPr/>
      <w:tcPr>
        <w:tcBorders>
          <w:top w:val="single" w:sz="4" w:space="0" w:color="BE0046" w:themeColor="accent4"/>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FF3D84" w:themeColor="accent4" w:themeTint="9A" w:themeShade="95"/>
        <w:sz w:val="22"/>
      </w:rPr>
      <w:tblPr/>
      <w:tcPr>
        <w:tcBorders>
          <w:top w:val="none" w:sz="4" w:space="0" w:color="000000"/>
          <w:left w:val="none" w:sz="4" w:space="0" w:color="000000"/>
          <w:bottom w:val="none" w:sz="4" w:space="0" w:color="000000"/>
          <w:right w:val="single" w:sz="4" w:space="0" w:color="BE0046" w:themeColor="accent4"/>
        </w:tcBorders>
        <w:shd w:val="clear" w:color="FFFFFF" w:fill="auto"/>
      </w:tcPr>
    </w:tblStylePr>
    <w:tblStylePr w:type="lastCol">
      <w:rPr>
        <w:i/>
        <w:color w:val="FF3D84" w:themeColor="accent4" w:themeTint="9A" w:themeShade="95"/>
        <w:sz w:val="22"/>
      </w:rPr>
      <w:tblPr/>
      <w:tcPr>
        <w:tcBorders>
          <w:top w:val="none" w:sz="4" w:space="0" w:color="000000"/>
          <w:left w:val="single" w:sz="4" w:space="0" w:color="BE0046" w:themeColor="accent4"/>
          <w:bottom w:val="none" w:sz="4" w:space="0" w:color="000000"/>
          <w:right w:val="none" w:sz="4" w:space="0" w:color="000000"/>
        </w:tcBorders>
        <w:shd w:val="clear" w:color="FFFFFF" w:fill="auto"/>
      </w:tcPr>
    </w:tblStylePr>
    <w:tblStylePr w:type="band1Vert">
      <w:tblPr/>
      <w:tcPr>
        <w:shd w:val="clear" w:color="FFAECB" w:fill="FFAECB" w:themeFill="accent4" w:themeFillTint="40"/>
      </w:tcPr>
    </w:tblStylePr>
    <w:tblStylePr w:type="band1Horz">
      <w:rPr>
        <w:color w:val="FF3D84" w:themeColor="accent4" w:themeTint="9A" w:themeShade="95"/>
        <w:sz w:val="22"/>
      </w:rPr>
      <w:tblPr/>
      <w:tcPr>
        <w:shd w:val="clear" w:color="FFAECB" w:fill="FFAECB" w:themeFill="accent4" w:themeFillTint="40"/>
      </w:tcPr>
    </w:tblStylePr>
    <w:tblStylePr w:type="band2Horz">
      <w:rPr>
        <w:color w:val="FF3D84"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FF9058" w:themeColor="accent5" w:themeTint="9A"/>
      </w:tblBorders>
      <w:tblCellMar>
        <w:left w:w="0" w:type="dxa"/>
        <w:right w:w="0" w:type="dxa"/>
      </w:tblCellMar>
    </w:tblPr>
    <w:tblStylePr w:type="firstRow">
      <w:rPr>
        <w:i/>
        <w:color w:val="FF9058" w:themeColor="accent5" w:themeTint="9A" w:themeShade="95"/>
        <w:sz w:val="22"/>
      </w:rPr>
      <w:tblPr/>
      <w:tcPr>
        <w:tcBorders>
          <w:top w:val="none" w:sz="4" w:space="0" w:color="000000"/>
          <w:left w:val="none" w:sz="4" w:space="0" w:color="000000"/>
          <w:bottom w:val="single" w:sz="4" w:space="0" w:color="EB5000" w:themeColor="accent5"/>
          <w:right w:val="none" w:sz="4" w:space="0" w:color="000000"/>
        </w:tcBorders>
        <w:shd w:val="clear" w:color="FFFFFF" w:fill="FFFFFF" w:themeFill="light1"/>
      </w:tcPr>
    </w:tblStylePr>
    <w:tblStylePr w:type="lastRow">
      <w:rPr>
        <w:i/>
        <w:color w:val="FF9058" w:themeColor="accent5" w:themeTint="9A" w:themeShade="95"/>
        <w:sz w:val="22"/>
      </w:rPr>
      <w:tblPr/>
      <w:tcPr>
        <w:tcBorders>
          <w:top w:val="single" w:sz="4" w:space="0" w:color="EB5000" w:themeColor="accent5"/>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FF9058" w:themeColor="accent5" w:themeTint="9A" w:themeShade="95"/>
        <w:sz w:val="22"/>
      </w:rPr>
      <w:tblPr/>
      <w:tcPr>
        <w:tcBorders>
          <w:top w:val="none" w:sz="4" w:space="0" w:color="000000"/>
          <w:left w:val="none" w:sz="4" w:space="0" w:color="000000"/>
          <w:bottom w:val="none" w:sz="4" w:space="0" w:color="000000"/>
          <w:right w:val="single" w:sz="4" w:space="0" w:color="EB5000" w:themeColor="accent5"/>
        </w:tcBorders>
        <w:shd w:val="clear" w:color="FFFFFF" w:fill="auto"/>
      </w:tcPr>
    </w:tblStylePr>
    <w:tblStylePr w:type="lastCol">
      <w:rPr>
        <w:i/>
        <w:color w:val="FF9058" w:themeColor="accent5" w:themeTint="9A" w:themeShade="95"/>
        <w:sz w:val="22"/>
      </w:rPr>
      <w:tblPr/>
      <w:tcPr>
        <w:tcBorders>
          <w:top w:val="none" w:sz="4" w:space="0" w:color="000000"/>
          <w:left w:val="single" w:sz="4" w:space="0" w:color="EB5000" w:themeColor="accent5"/>
          <w:bottom w:val="none" w:sz="4" w:space="0" w:color="000000"/>
          <w:right w:val="none" w:sz="4" w:space="0" w:color="000000"/>
        </w:tcBorders>
        <w:shd w:val="clear" w:color="FFFFFF" w:fill="auto"/>
      </w:tcPr>
    </w:tblStylePr>
    <w:tblStylePr w:type="band1Vert">
      <w:tblPr/>
      <w:tcPr>
        <w:shd w:val="clear" w:color="FFD1B9" w:fill="FFD1B9" w:themeFill="accent5" w:themeFillTint="40"/>
      </w:tcPr>
    </w:tblStylePr>
    <w:tblStylePr w:type="band1Horz">
      <w:rPr>
        <w:color w:val="FF9058" w:themeColor="accent5" w:themeTint="9A" w:themeShade="95"/>
        <w:sz w:val="22"/>
      </w:rPr>
      <w:tblPr/>
      <w:tcPr>
        <w:shd w:val="clear" w:color="FFD1B9" w:fill="FFD1B9" w:themeFill="accent5" w:themeFillTint="40"/>
      </w:tcPr>
    </w:tblStylePr>
    <w:tblStylePr w:type="band2Horz">
      <w:rPr>
        <w:color w:val="FF9058"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FFF067" w:themeColor="accent6" w:themeTint="98"/>
      </w:tblBorders>
      <w:tblCellMar>
        <w:left w:w="0" w:type="dxa"/>
        <w:right w:w="0" w:type="dxa"/>
      </w:tblCellMar>
    </w:tblPr>
    <w:tblStylePr w:type="firstRow">
      <w:rPr>
        <w:i/>
        <w:color w:val="FFF067" w:themeColor="accent6" w:themeTint="98" w:themeShade="95"/>
        <w:sz w:val="22"/>
      </w:rPr>
      <w:tblPr/>
      <w:tcPr>
        <w:tcBorders>
          <w:top w:val="none" w:sz="4" w:space="0" w:color="000000"/>
          <w:left w:val="none" w:sz="4" w:space="0" w:color="000000"/>
          <w:bottom w:val="single" w:sz="4" w:space="0" w:color="FFE600" w:themeColor="accent6"/>
          <w:right w:val="none" w:sz="4" w:space="0" w:color="000000"/>
        </w:tcBorders>
        <w:shd w:val="clear" w:color="FFFFFF" w:fill="FFFFFF" w:themeFill="light1"/>
      </w:tcPr>
    </w:tblStylePr>
    <w:tblStylePr w:type="lastRow">
      <w:rPr>
        <w:i/>
        <w:color w:val="FFF067" w:themeColor="accent6" w:themeTint="98" w:themeShade="95"/>
        <w:sz w:val="22"/>
      </w:rPr>
      <w:tblPr/>
      <w:tcPr>
        <w:tcBorders>
          <w:top w:val="single" w:sz="4" w:space="0" w:color="FFE600" w:themeColor="accent6"/>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FFF067" w:themeColor="accent6" w:themeTint="98" w:themeShade="95"/>
        <w:sz w:val="22"/>
      </w:rPr>
      <w:tblPr/>
      <w:tcPr>
        <w:tcBorders>
          <w:top w:val="none" w:sz="4" w:space="0" w:color="000000"/>
          <w:left w:val="none" w:sz="4" w:space="0" w:color="000000"/>
          <w:bottom w:val="none" w:sz="4" w:space="0" w:color="000000"/>
          <w:right w:val="single" w:sz="4" w:space="0" w:color="FFE600" w:themeColor="accent6"/>
        </w:tcBorders>
        <w:shd w:val="clear" w:color="FFFFFF" w:fill="auto"/>
      </w:tcPr>
    </w:tblStylePr>
    <w:tblStylePr w:type="lastCol">
      <w:rPr>
        <w:i/>
        <w:color w:val="FFF067" w:themeColor="accent6" w:themeTint="98" w:themeShade="95"/>
        <w:sz w:val="22"/>
      </w:rPr>
      <w:tblPr/>
      <w:tcPr>
        <w:tcBorders>
          <w:top w:val="none" w:sz="4" w:space="0" w:color="000000"/>
          <w:left w:val="single" w:sz="4" w:space="0" w:color="FFE600" w:themeColor="accent6"/>
          <w:bottom w:val="none" w:sz="4" w:space="0" w:color="000000"/>
          <w:right w:val="none" w:sz="4" w:space="0" w:color="000000"/>
        </w:tcBorders>
        <w:shd w:val="clear" w:color="FFFFFF" w:fill="auto"/>
      </w:tcPr>
    </w:tblStylePr>
    <w:tblStylePr w:type="band1Vert">
      <w:tblPr/>
      <w:tcPr>
        <w:shd w:val="clear" w:color="FFF8BF" w:fill="FFF8BF" w:themeFill="accent6" w:themeFillTint="40"/>
      </w:tcPr>
    </w:tblStylePr>
    <w:tblStylePr w:type="band1Horz">
      <w:rPr>
        <w:color w:val="FFF067" w:themeColor="accent6" w:themeTint="98" w:themeShade="95"/>
        <w:sz w:val="22"/>
      </w:rPr>
      <w:tblPr/>
      <w:tcPr>
        <w:shd w:val="clear" w:color="FFF8BF" w:fill="FFF8BF" w:themeFill="accent6" w:themeFillTint="40"/>
      </w:tcPr>
    </w:tblStylePr>
    <w:tblStylePr w:type="band2Horz">
      <w:rPr>
        <w:color w:val="FFF067" w:themeColor="accent6" w:themeTint="98" w:themeShade="95"/>
        <w:sz w:val="22"/>
      </w:rPr>
    </w:tblStylePr>
  </w:style>
  <w:style w:type="table" w:styleId="TableGrid">
    <w:name w:val="Table Grid"/>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PlainTable1">
    <w:name w:val="Plain Table 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b/>
        <w:color w:val="404040"/>
        <w:sz w:val="22"/>
      </w:rPr>
    </w:tblStylePr>
    <w:tblStylePr w:type="lastRow">
      <w:rPr>
        <w:b/>
        <w:color w:val="404040"/>
        <w:sz w:val="22"/>
      </w:rPr>
    </w:tblStylePr>
    <w:tblStylePr w:type="firstCol">
      <w:rPr>
        <w:b/>
        <w:color w:val="404040"/>
        <w:sz w:val="22"/>
      </w:rPr>
    </w:tblStylePr>
    <w:tblStylePr w:type="lastCol">
      <w:rPr>
        <w:b/>
        <w:color w:val="404040"/>
        <w:sz w:val="22"/>
      </w:rPr>
    </w:tblStylePr>
    <w:tblStylePr w:type="band1Vert">
      <w:tblPr/>
      <w:tcPr>
        <w:shd w:val="clear" w:color="F2F2F2" w:fill="FFFFFF" w:themeFill="text1" w:themeFillTint="00"/>
      </w:tcPr>
    </w:tblStylePr>
    <w:tblStylePr w:type="band1Horz">
      <w:tblPr/>
      <w:tcPr>
        <w:shd w:val="clear" w:color="F2F2F2" w:fill="FFFFFF" w:themeFill="text1" w:themeFillTint="00"/>
      </w:tcPr>
    </w:tblStylePr>
  </w:style>
  <w:style w:type="table" w:styleId="PlainTable2">
    <w:name w:val="Plain Table 2"/>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b/>
        <w:color w:val="404040"/>
        <w:sz w:val="22"/>
      </w:rPr>
      <w:tblPr/>
      <w:tcPr>
        <w:tcBorders>
          <w:top w:val="single" w:sz="4" w:space="0" w:color="000000" w:themeColor="text1"/>
          <w:bottom w:val="single" w:sz="4" w:space="0" w:color="000000" w:themeColor="text1"/>
        </w:tcBorders>
      </w:tcPr>
    </w:tblStylePr>
    <w:tblStylePr w:type="lastRow">
      <w:rPr>
        <w:b/>
        <w:color w:val="404040"/>
        <w:sz w:val="22"/>
      </w:rPr>
    </w:tblStylePr>
    <w:tblStylePr w:type="firstCol">
      <w:rPr>
        <w:b/>
        <w:color w:val="404040"/>
        <w:sz w:val="22"/>
      </w:rPr>
    </w:tblStylePr>
    <w:tblStylePr w:type="lastCol">
      <w:rPr>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uiPriority w:val="99"/>
    <w:tblPr>
      <w:tblStyleRowBandSize w:val="1"/>
      <w:tblStyleColBandSize w:val="1"/>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color w:val="404040"/>
        <w:sz w:val="22"/>
      </w:rPr>
      <w:tblPr/>
      <w:tcPr>
        <w:shd w:val="clear" w:color="F2F2F2" w:fill="FFFFFF" w:themeFill="text1" w:themeFillTint="00"/>
      </w:tcPr>
    </w:tblStylePr>
    <w:tblStylePr w:type="band1Horz">
      <w:rPr>
        <w:color w:val="404040"/>
        <w:sz w:val="22"/>
      </w:rPr>
      <w:tblPr/>
      <w:tcPr>
        <w:shd w:val="clear" w:color="F2F2F2" w:fill="FFFFFF" w:themeFill="text1" w:themeFillTint="00"/>
      </w:tcPr>
    </w:tblStylePr>
  </w:style>
  <w:style w:type="table" w:styleId="PlainTable4">
    <w:name w:val="Plain Table 4"/>
    <w:uiPriority w:val="99"/>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F2F2F2" w:fill="FFFFFF" w:themeFill="text1" w:themeFillTint="00"/>
      </w:tcPr>
    </w:tblStylePr>
    <w:tblStylePr w:type="band1Horz">
      <w:rPr>
        <w:color w:val="404040"/>
        <w:sz w:val="22"/>
      </w:rPr>
      <w:tblPr/>
      <w:tcPr>
        <w:shd w:val="clear" w:color="F2F2F2" w:fill="FFFFFF" w:themeFill="text1" w:themeFillTint="00"/>
      </w:tcPr>
    </w:tblStylePr>
  </w:style>
  <w:style w:type="table" w:styleId="PlainTable5">
    <w:name w:val="Plain Table 5"/>
    <w:uiPriority w:val="99"/>
    <w:tblPr>
      <w:tblStyleRowBandSize w:val="1"/>
      <w:tblStyleColBandSize w:val="1"/>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color w:val="404040"/>
        <w:sz w:val="22"/>
      </w:rPr>
      <w:tblPr/>
      <w:tcPr>
        <w:shd w:val="clear" w:color="F2F2F2" w:fill="FFFFFF" w:themeFill="text1" w:themeFillTint="00"/>
      </w:tcPr>
    </w:tblStylePr>
    <w:tblStylePr w:type="band1Horz">
      <w:rPr>
        <w:color w:val="404040"/>
        <w:sz w:val="22"/>
      </w:rPr>
      <w:tblPr/>
      <w:tcPr>
        <w:shd w:val="clear" w:color="F2F2F2" w:fill="FFFFFF" w:themeFill="text1" w:themeFillTint="00"/>
      </w:tcPr>
    </w:tblStylePr>
  </w:style>
  <w:style w:type="table" w:styleId="GridTable1Light">
    <w:name w:val="Grid Table 1 Light"/>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000000" w:themeColor="text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styleId="GridTable2">
    <w:name w:val="Grid Table 2"/>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000000" w:themeColor="text1"/>
          <w:right w:val="none" w:sz="4" w:space="0" w:color="000000"/>
        </w:tcBorders>
        <w:shd w:val="clear" w:color="FFFFFF" w:fill="auto"/>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styleId="GridTable3">
    <w:name w:val="Grid Table 3"/>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styleId="GridTable4">
    <w:name w:val="Grid Table 4"/>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styleId="GridTable5Dark">
    <w:name w:val="Grid Table 5 Dark"/>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000000" w:fill="000000" w:themeFill="text1"/>
      </w:tcPr>
    </w:tblStylePr>
    <w:tblStylePr w:type="lastRow">
      <w:rPr>
        <w:b/>
        <w:color w:val="FFFFFF"/>
        <w:sz w:val="22"/>
      </w:rPr>
      <w:tblPr/>
      <w:tcPr>
        <w:tcBorders>
          <w:top w:val="single" w:sz="4" w:space="0" w:color="FFFFFF" w:themeColor="light1"/>
        </w:tcBorders>
        <w:shd w:val="clear" w:color="000000" w:fill="000000" w:themeFill="text1"/>
      </w:tcPr>
    </w:tblStylePr>
    <w:tblStylePr w:type="firstCol">
      <w:rPr>
        <w:b/>
        <w:color w:val="FFFFFF"/>
        <w:sz w:val="22"/>
      </w:rPr>
      <w:tblPr/>
      <w:tcPr>
        <w:shd w:val="clear" w:color="000000" w:fill="000000" w:themeFill="text1"/>
      </w:tcPr>
    </w:tblStylePr>
    <w:tblStylePr w:type="lastCol">
      <w:rPr>
        <w:b/>
        <w:color w:val="FFFFFF"/>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64E6FF" w:fill="64E6FF" w:themeFill="accent1"/>
      </w:tcPr>
    </w:tblStylePr>
    <w:tblStylePr w:type="lastRow">
      <w:rPr>
        <w:b/>
        <w:color w:val="FFFFFF"/>
        <w:sz w:val="22"/>
      </w:rPr>
      <w:tblPr/>
      <w:tcPr>
        <w:tcBorders>
          <w:top w:val="single" w:sz="4" w:space="0" w:color="FFFFFF" w:themeColor="light1"/>
        </w:tcBorders>
        <w:shd w:val="clear" w:color="64E6FF" w:fill="64E6FF" w:themeFill="accent1"/>
      </w:tcPr>
    </w:tblStylePr>
    <w:tblStylePr w:type="firstCol">
      <w:rPr>
        <w:b/>
        <w:color w:val="FFFFFF"/>
        <w:sz w:val="22"/>
      </w:rPr>
      <w:tblPr/>
      <w:tcPr>
        <w:shd w:val="clear" w:color="64E6FF" w:fill="64E6FF" w:themeFill="accent1"/>
      </w:tcPr>
    </w:tblStylePr>
    <w:tblStylePr w:type="lastCol">
      <w:rPr>
        <w:b/>
        <w:color w:val="FFFFFF"/>
        <w:sz w:val="22"/>
      </w:rPr>
      <w:tblPr/>
      <w:tcPr>
        <w:shd w:val="clear" w:color="64E6FF" w:fill="64E6FF" w:themeFill="accent1"/>
      </w:tcPr>
    </w:tblStylePr>
    <w:tblStylePr w:type="band1Vert">
      <w:tblPr/>
      <w:tcPr>
        <w:shd w:val="clear" w:color="B7F3FF" w:fill="B7F3FF" w:themeFill="accent1" w:themeFillTint="75"/>
      </w:tcPr>
    </w:tblStylePr>
    <w:tblStylePr w:type="band1Horz">
      <w:tblPr/>
      <w:tcPr>
        <w:shd w:val="clear" w:color="B7F3FF" w:fill="B7F3FF" w:themeFill="accent1" w:themeFillTint="75"/>
      </w:tcPr>
    </w:tblStylePr>
  </w:style>
  <w:style w:type="table" w:customStyle="1" w:styleId="GridTable5Dark-Accent4">
    <w:name w:val="Grid Table 5 Dark- Accent 4"/>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BE0046" w:fill="BE0046" w:themeFill="accent4"/>
      </w:tcPr>
    </w:tblStylePr>
    <w:tblStylePr w:type="lastRow">
      <w:rPr>
        <w:b/>
        <w:color w:val="FFFFFF"/>
        <w:sz w:val="22"/>
      </w:rPr>
      <w:tblPr/>
      <w:tcPr>
        <w:tcBorders>
          <w:top w:val="single" w:sz="4" w:space="0" w:color="FFFFFF" w:themeColor="light1"/>
        </w:tcBorders>
        <w:shd w:val="clear" w:color="BE0046" w:fill="BE0046" w:themeFill="accent4"/>
      </w:tcPr>
    </w:tblStylePr>
    <w:tblStylePr w:type="firstCol">
      <w:rPr>
        <w:b/>
        <w:color w:val="FFFFFF"/>
        <w:sz w:val="22"/>
      </w:rPr>
      <w:tblPr/>
      <w:tcPr>
        <w:shd w:val="clear" w:color="BE0046" w:fill="BE0046" w:themeFill="accent4"/>
      </w:tcPr>
    </w:tblStylePr>
    <w:tblStylePr w:type="lastCol">
      <w:rPr>
        <w:b/>
        <w:color w:val="FFFFFF"/>
        <w:sz w:val="22"/>
      </w:rPr>
      <w:tblPr/>
      <w:tcPr>
        <w:shd w:val="clear" w:color="BE0046" w:fill="BE0046" w:themeFill="accent4"/>
      </w:tcPr>
    </w:tblStylePr>
    <w:tblStylePr w:type="band1Vert">
      <w:tblPr/>
      <w:tcPr>
        <w:shd w:val="clear" w:color="FF6CA1" w:fill="FF6CA1" w:themeFill="accent4" w:themeFillTint="75"/>
      </w:tcPr>
    </w:tblStylePr>
    <w:tblStylePr w:type="band1Horz">
      <w:tblPr/>
      <w:tcPr>
        <w:shd w:val="clear" w:color="FF6CA1" w:fill="FF6CA1" w:themeFill="accent4" w:themeFillTint="75"/>
      </w:tcPr>
    </w:tblStylePr>
  </w:style>
  <w:style w:type="table" w:styleId="GridTable6Colorful">
    <w:name w:val="Grid Table 6 Colorfu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fill="CBCBCB" w:themeFill="text1" w:themeFillTint="34"/>
      </w:tcPr>
    </w:tblStylePr>
    <w:tblStylePr w:type="band1Horz">
      <w:rPr>
        <w:color w:val="7F7F7F" w:themeColor="text1" w:themeTint="80" w:themeShade="95"/>
        <w:sz w:val="22"/>
      </w:rPr>
      <w:tblPr/>
      <w:tcPr>
        <w:shd w:val="clear" w:color="CBCBCB" w:fill="CBCBCB" w:themeFill="text1" w:themeFillTint="34"/>
      </w:tcPr>
    </w:tblStylePr>
    <w:tblStylePr w:type="band2Horz">
      <w:rPr>
        <w:color w:val="7F7F7F" w:themeColor="text1" w:themeTint="80" w:themeShade="95"/>
        <w:sz w:val="22"/>
      </w:rPr>
    </w:tblStylePr>
  </w:style>
  <w:style w:type="table" w:styleId="GridTable7Colorful">
    <w:name w:val="Grid Table 7 Colorfu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sz w:val="22"/>
      </w:rPr>
      <w:tblPr/>
      <w:tcPr>
        <w:tcBorders>
          <w:top w:val="none" w:sz="4" w:space="0" w:color="000000"/>
          <w:left w:val="none" w:sz="4" w:space="0" w:color="000000"/>
          <w:bottom w:val="single" w:sz="4" w:space="0" w:color="000000" w:themeColor="text1"/>
          <w:right w:val="none" w:sz="4" w:space="0" w:color="000000"/>
        </w:tcBorders>
        <w:shd w:val="clear" w:color="FFFFFF" w:fill="FFFFFF" w:themeFill="light1"/>
      </w:tcPr>
    </w:tblStylePr>
    <w:tblStylePr w:type="lastRow">
      <w:rPr>
        <w:b/>
        <w:color w:val="7F7F7F" w:themeColor="text1" w:themeTint="80" w:themeShade="95"/>
        <w:sz w:val="22"/>
      </w:rPr>
      <w:tblPr/>
      <w:tcPr>
        <w:tcBorders>
          <w:top w:val="single" w:sz="4" w:space="0" w:color="000000" w:themeColor="text1"/>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7F7F7F" w:themeColor="text1" w:themeTint="80" w:themeShade="95"/>
        <w:sz w:val="22"/>
      </w:rPr>
      <w:tblPr/>
      <w:tcPr>
        <w:tcBorders>
          <w:top w:val="none" w:sz="4" w:space="0" w:color="000000"/>
          <w:left w:val="none" w:sz="4" w:space="0" w:color="000000"/>
          <w:bottom w:val="none" w:sz="4" w:space="0" w:color="000000"/>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4" w:space="0" w:color="000000"/>
          <w:left w:val="single" w:sz="4" w:space="0" w:color="000000" w:themeColor="text1"/>
          <w:bottom w:val="none" w:sz="4" w:space="0" w:color="000000"/>
          <w:right w:val="none" w:sz="4" w:space="0" w:color="000000"/>
        </w:tcBorders>
        <w:shd w:val="clear" w:color="FFFFFF" w:fill="auto"/>
      </w:tcPr>
    </w:tblStylePr>
    <w:tblStylePr w:type="band1Vert">
      <w:tblPr/>
      <w:tcPr>
        <w:shd w:val="clear" w:color="F2F2F2" w:fill="FFFFFF" w:themeFill="text1" w:themeFillTint="00"/>
      </w:tcPr>
    </w:tblStylePr>
    <w:tblStylePr w:type="band1Horz">
      <w:rPr>
        <w:color w:val="7F7F7F" w:themeColor="text1" w:themeTint="80" w:themeShade="95"/>
        <w:sz w:val="22"/>
      </w:rPr>
      <w:tblPr/>
      <w:tcPr>
        <w:shd w:val="clear" w:color="F2F2F2" w:fill="FFFFFF" w:themeFill="text1" w:themeFillTint="00"/>
      </w:tcPr>
    </w:tblStylePr>
    <w:tblStylePr w:type="band2Horz">
      <w:rPr>
        <w:color w:val="7F7F7F" w:themeColor="text1" w:themeTint="80" w:themeShade="95"/>
        <w:sz w:val="22"/>
      </w:rPr>
    </w:tblStylePr>
  </w:style>
  <w:style w:type="table" w:styleId="ListTable1Light">
    <w:name w:val="List Table 1 Light"/>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styleId="ListTable2">
    <w:name w:val="List Table 2"/>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b/>
        <w:color w:val="404040"/>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color w:val="404040"/>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styleId="ListTable3">
    <w:name w:val="List Table 3"/>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b/>
        <w:color w:val="FFFFFF"/>
        <w:sz w:val="22"/>
      </w:rPr>
      <w:tblPr/>
      <w:tcPr>
        <w:shd w:val="clear" w:color="000000"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000000" w:themeColor="text1"/>
          <w:right w:val="single" w:sz="4" w:space="0" w:color="000000" w:themeColor="text1"/>
        </w:tcBorders>
      </w:tcPr>
    </w:tblStylePr>
    <w:tblStylePr w:type="band1Horz">
      <w:rPr>
        <w:color w:val="404040"/>
        <w:sz w:val="22"/>
      </w:rPr>
      <w:tblPr/>
      <w:tcPr>
        <w:tcBorders>
          <w:top w:val="single" w:sz="4" w:space="0" w:color="000000" w:themeColor="text1"/>
          <w:bottom w:val="single" w:sz="4" w:space="0" w:color="000000" w:themeColor="text1"/>
        </w:tcBorders>
      </w:tcPr>
    </w:tblStylePr>
  </w:style>
  <w:style w:type="table" w:styleId="ListTable4">
    <w:name w:val="List Table 4"/>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b/>
        <w:color w:val="FFFFFF"/>
        <w:sz w:val="22"/>
      </w:rPr>
      <w:tblPr/>
      <w:tcPr>
        <w:shd w:val="clear" w:color="000000"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styleId="ListTable5Dark">
    <w:name w:val="List Table 5 Dark"/>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CellMar>
        <w:top w:w="0" w:type="dxa"/>
        <w:left w:w="0" w:type="dxa"/>
        <w:bottom w:w="0" w:type="dxa"/>
        <w:right w:w="0" w:type="dxa"/>
      </w:tblCellMar>
    </w:tblPr>
    <w:tblStylePr w:type="firstRow">
      <w:rPr>
        <w:b/>
        <w:color w:val="FFFFFF" w:themeColor="light1"/>
        <w:sz w:val="22"/>
      </w:rPr>
      <w:tblPr/>
      <w:tcPr>
        <w:tcBorders>
          <w:top w:val="single" w:sz="32" w:space="0" w:color="000000" w:themeColor="text1"/>
          <w:bottom w:val="single" w:sz="12" w:space="0" w:color="FFFFFF" w:themeColor="light1"/>
        </w:tcBorders>
        <w:shd w:val="clear" w:color="7F7F7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7F7F7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fill="7F7F7F" w:themeFill="text1" w:themeFillTint="80"/>
      </w:tcPr>
    </w:tblStylePr>
    <w:tblStylePr w:type="band2Horz">
      <w:tblPr/>
      <w:tcPr>
        <w:tcBorders>
          <w:top w:val="single" w:sz="4" w:space="0" w:color="FFFFFF" w:themeColor="light1"/>
          <w:bottom w:val="single" w:sz="4" w:space="0" w:color="FFFFFF" w:themeColor="light1"/>
        </w:tcBorders>
        <w:shd w:val="clear" w:color="7F7F7F" w:fill="7F7F7F" w:themeFill="text1" w:themeFillTint="80"/>
      </w:tcPr>
    </w:tblStylePr>
  </w:style>
  <w:style w:type="table" w:styleId="ListTable6Colorful">
    <w:name w:val="List Table 6 Colorful"/>
    <w:uiPriority w:val="99"/>
    <w:tblPr>
      <w:tblStyleRowBandSize w:val="1"/>
      <w:tblStyleColBandSize w:val="1"/>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BFBFBF" w:fill="BFBFBF" w:themeFill="text1" w:themeFillTint="40"/>
      </w:tcPr>
    </w:tblStylePr>
    <w:tblStylePr w:type="band1Horz">
      <w:rPr>
        <w:color w:val="000000" w:themeColor="text1"/>
        <w:sz w:val="22"/>
      </w:rPr>
      <w:tblPr/>
      <w:tcPr>
        <w:shd w:val="clear" w:color="BFBFBF" w:fill="BFBFBF" w:themeFill="text1" w:themeFillTint="40"/>
      </w:tcPr>
    </w:tblStylePr>
    <w:tblStylePr w:type="band2Horz">
      <w:rPr>
        <w:color w:val="000000" w:themeColor="text1"/>
        <w:sz w:val="22"/>
      </w:rPr>
    </w:tblStylePr>
  </w:style>
  <w:style w:type="table" w:styleId="ListTable7Colorful">
    <w:name w:val="List Table 7 Colorful"/>
    <w:uiPriority w:val="99"/>
    <w:tblPr>
      <w:tblStyleRowBandSize w:val="1"/>
      <w:tblStyleColBandSize w:val="1"/>
      <w:tblBorders>
        <w:right w:val="single" w:sz="4" w:space="0" w:color="7F7F7F" w:themeColor="text1" w:themeTint="80"/>
      </w:tblBorders>
      <w:tblCellMar>
        <w:top w:w="0" w:type="dxa"/>
        <w:left w:w="0" w:type="dxa"/>
        <w:bottom w:w="0" w:type="dxa"/>
        <w:right w:w="0" w:type="dxa"/>
      </w:tblCellMar>
    </w:tblPr>
    <w:tblStylePr w:type="firstRow">
      <w:rPr>
        <w:i/>
        <w:color w:val="7F7F7F" w:themeColor="text1" w:themeTint="80" w:themeShade="95"/>
        <w:sz w:val="22"/>
      </w:rPr>
      <w:tblPr/>
      <w:tcPr>
        <w:tcBorders>
          <w:top w:val="none" w:sz="4" w:space="0" w:color="000000"/>
          <w:left w:val="none" w:sz="4" w:space="0" w:color="000000"/>
          <w:bottom w:val="single" w:sz="4" w:space="0" w:color="000000" w:themeColor="text1"/>
          <w:right w:val="none" w:sz="4" w:space="0" w:color="000000"/>
        </w:tcBorders>
        <w:shd w:val="clear" w:color="FFFFFF" w:fill="FFFFFF" w:themeFill="light1"/>
      </w:tcPr>
    </w:tblStylePr>
    <w:tblStylePr w:type="lastRow">
      <w:rPr>
        <w:i/>
        <w:color w:val="7F7F7F" w:themeColor="text1" w:themeTint="80" w:themeShade="95"/>
        <w:sz w:val="22"/>
      </w:rPr>
      <w:tblPr/>
      <w:tcPr>
        <w:tcBorders>
          <w:top w:val="single" w:sz="4" w:space="0" w:color="000000" w:themeColor="text1"/>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7F7F7F" w:themeColor="text1" w:themeTint="80" w:themeShade="95"/>
        <w:sz w:val="22"/>
      </w:rPr>
      <w:tblPr/>
      <w:tcPr>
        <w:tcBorders>
          <w:top w:val="none" w:sz="4" w:space="0" w:color="000000"/>
          <w:left w:val="none" w:sz="4" w:space="0" w:color="000000"/>
          <w:bottom w:val="none" w:sz="4" w:space="0" w:color="000000"/>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4" w:space="0" w:color="000000"/>
          <w:left w:val="single" w:sz="4" w:space="0" w:color="000000" w:themeColor="text1"/>
          <w:bottom w:val="none" w:sz="4" w:space="0" w:color="000000"/>
          <w:right w:val="none" w:sz="4" w:space="0" w:color="000000"/>
        </w:tcBorders>
        <w:shd w:val="clear" w:color="FFFFFF" w:fill="auto"/>
      </w:tcPr>
    </w:tblStylePr>
    <w:tblStylePr w:type="band1Vert">
      <w:tblPr/>
      <w:tcPr>
        <w:shd w:val="clear" w:color="BFBFBF" w:fill="BFBFBF" w:themeFill="text1" w:themeFillTint="40"/>
      </w:tcPr>
    </w:tblStylePr>
    <w:tblStylePr w:type="band1Horz">
      <w:rPr>
        <w:color w:val="7F7F7F" w:themeColor="text1" w:themeTint="80" w:themeShade="95"/>
        <w:sz w:val="22"/>
      </w:rPr>
      <w:tblPr/>
      <w:tcPr>
        <w:shd w:val="clear" w:color="BFBFBF" w:fill="BFBFBF" w:themeFill="text1" w:themeFillTint="40"/>
      </w:tcPr>
    </w:tblStylePr>
    <w:tblStylePr w:type="band2Horz">
      <w:rPr>
        <w:color w:val="7F7F7F" w:themeColor="text1" w:themeTint="80" w:themeShade="95"/>
        <w:sz w:val="22"/>
      </w:rPr>
    </w:tblStylePr>
  </w:style>
  <w:style w:type="table" w:customStyle="1" w:styleId="Lined-Accent">
    <w:name w:val="Lined - Accent"/>
    <w:uiPriority w:val="99"/>
    <w:rPr>
      <w:color w:val="404040"/>
      <w:sz w:val="20"/>
      <w:szCs w:val="20"/>
      <w:lang w:eastAsia="en-IN" w:bidi="ar-SA"/>
    </w:rPr>
    <w:tblPr>
      <w:tblStyleRowBandSize w:val="1"/>
      <w:tblStyleColBandSize w:val="1"/>
      <w:tblCellMar>
        <w:top w:w="0" w:type="dxa"/>
        <w:left w:w="0" w:type="dxa"/>
        <w:bottom w:w="0" w:type="dxa"/>
        <w:right w:w="0" w:type="dxa"/>
      </w:tblCellMar>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StylePr>
    <w:tblStylePr w:type="band2Vert">
      <w:rPr>
        <w:color w:val="404040"/>
        <w:sz w:val="22"/>
      </w:rPr>
      <w:tblPr/>
      <w:tcPr>
        <w:shd w:val="clear" w:color="F2F2F2" w:fill="FFFFFF" w:themeFill="text1" w:themeFillTint="00"/>
      </w:tcPr>
    </w:tblStylePr>
    <w:tblStylePr w:type="band1Horz">
      <w:rPr>
        <w:color w:val="404040"/>
        <w:sz w:val="22"/>
      </w:rPr>
    </w:tblStylePr>
    <w:tblStylePr w:type="band2Horz">
      <w:rPr>
        <w:color w:val="404040"/>
        <w:sz w:val="22"/>
      </w:rPr>
      <w:tblPr/>
      <w:tcPr>
        <w:shd w:val="clear" w:color="F2F2F2" w:fill="FFFFFF" w:themeFill="text1" w:themeFillTint="00"/>
      </w:tcPr>
    </w:tblStylePr>
  </w:style>
  <w:style w:type="table" w:customStyle="1" w:styleId="Lined-Accent1">
    <w:name w:val="Lined - Accent 1"/>
    <w:uiPriority w:val="99"/>
    <w:rPr>
      <w:color w:val="404040"/>
      <w:sz w:val="20"/>
      <w:szCs w:val="20"/>
      <w:lang w:eastAsia="en-IN" w:bidi="ar-SA"/>
    </w:rPr>
    <w:tblPr>
      <w:tblStyleRowBandSize w:val="1"/>
      <w:tblStyleColBandSize w:val="1"/>
      <w:tblCellMar>
        <w:top w:w="0" w:type="dxa"/>
        <w:left w:w="0" w:type="dxa"/>
        <w:bottom w:w="0" w:type="dxa"/>
        <w:right w:w="0" w:type="dxa"/>
      </w:tblCellMar>
    </w:tblPr>
    <w:tblStylePr w:type="firstRow">
      <w:rPr>
        <w:color w:val="F2F2F2"/>
        <w:sz w:val="22"/>
      </w:rPr>
      <w:tblPr/>
      <w:tcPr>
        <w:shd w:val="clear" w:color="70E7FF" w:fill="70E7FF" w:themeFill="accent1" w:themeFillTint="EA"/>
      </w:tcPr>
    </w:tblStylePr>
    <w:tblStylePr w:type="lastRow">
      <w:rPr>
        <w:color w:val="F2F2F2"/>
        <w:sz w:val="22"/>
      </w:rPr>
      <w:tblPr/>
      <w:tcPr>
        <w:shd w:val="clear" w:color="70E7FF" w:fill="70E7FF" w:themeFill="accent1" w:themeFillTint="EA"/>
      </w:tcPr>
    </w:tblStylePr>
    <w:tblStylePr w:type="firstCol">
      <w:rPr>
        <w:color w:val="F2F2F2"/>
        <w:sz w:val="22"/>
      </w:rPr>
      <w:tblPr/>
      <w:tcPr>
        <w:shd w:val="clear" w:color="70E7FF" w:fill="70E7FF" w:themeFill="accent1" w:themeFillTint="EA"/>
      </w:tcPr>
    </w:tblStylePr>
    <w:tblStylePr w:type="lastCol">
      <w:rPr>
        <w:color w:val="F2F2F2"/>
        <w:sz w:val="22"/>
      </w:rPr>
      <w:tblPr/>
      <w:tcPr>
        <w:shd w:val="clear" w:color="70E7FF" w:fill="70E7FF" w:themeFill="accent1" w:themeFillTint="EA"/>
      </w:tcPr>
    </w:tblStylePr>
    <w:tblStylePr w:type="band1Vert">
      <w:rPr>
        <w:color w:val="404040"/>
        <w:sz w:val="22"/>
      </w:rPr>
    </w:tblStylePr>
    <w:tblStylePr w:type="band2Vert">
      <w:rPr>
        <w:color w:val="404040"/>
        <w:sz w:val="22"/>
      </w:rPr>
      <w:tblPr/>
      <w:tcPr>
        <w:shd w:val="clear" w:color="CEF6FF" w:fill="CEF6FF" w:themeFill="accent1" w:themeFillTint="50"/>
      </w:tcPr>
    </w:tblStylePr>
    <w:tblStylePr w:type="band1Horz">
      <w:rPr>
        <w:color w:val="404040"/>
        <w:sz w:val="22"/>
      </w:rPr>
    </w:tblStylePr>
    <w:tblStylePr w:type="band2Horz">
      <w:rPr>
        <w:color w:val="404040"/>
        <w:sz w:val="22"/>
      </w:rPr>
      <w:tblPr/>
      <w:tcPr>
        <w:shd w:val="clear" w:color="CEF6FF" w:fill="CEF6FF" w:themeFill="accent1" w:themeFillTint="50"/>
      </w:tcPr>
    </w:tblStylePr>
  </w:style>
  <w:style w:type="table" w:customStyle="1" w:styleId="Lined-Accent2">
    <w:name w:val="Lined - Accent 2"/>
    <w:uiPriority w:val="99"/>
    <w:rPr>
      <w:color w:val="404040"/>
      <w:sz w:val="20"/>
      <w:szCs w:val="20"/>
      <w:lang w:eastAsia="en-IN" w:bidi="ar-SA"/>
    </w:rPr>
    <w:tblPr>
      <w:tblStyleRowBandSize w:val="1"/>
      <w:tblStyleColBandSize w:val="1"/>
      <w:tblCellMar>
        <w:top w:w="0" w:type="dxa"/>
        <w:left w:w="0" w:type="dxa"/>
        <w:bottom w:w="0" w:type="dxa"/>
        <w:right w:w="0" w:type="dxa"/>
      </w:tblCellMar>
    </w:tblPr>
    <w:tblStylePr w:type="firstRow">
      <w:rPr>
        <w:color w:val="F2F2F2"/>
        <w:sz w:val="22"/>
      </w:rPr>
      <w:tblPr/>
      <w:tcPr>
        <w:shd w:val="clear" w:color="45BAFF" w:fill="45BAFF" w:themeFill="accent2" w:themeFillTint="97"/>
      </w:tcPr>
    </w:tblStylePr>
    <w:tblStylePr w:type="lastRow">
      <w:rPr>
        <w:color w:val="F2F2F2"/>
        <w:sz w:val="22"/>
      </w:rPr>
      <w:tblPr/>
      <w:tcPr>
        <w:shd w:val="clear" w:color="45BAFF" w:fill="45BAFF" w:themeFill="accent2" w:themeFillTint="97"/>
      </w:tcPr>
    </w:tblStylePr>
    <w:tblStylePr w:type="firstCol">
      <w:rPr>
        <w:color w:val="F2F2F2"/>
        <w:sz w:val="22"/>
      </w:rPr>
      <w:tblPr/>
      <w:tcPr>
        <w:shd w:val="clear" w:color="45BAFF" w:fill="45BAFF" w:themeFill="accent2" w:themeFillTint="97"/>
      </w:tcPr>
    </w:tblStylePr>
    <w:tblStylePr w:type="lastCol">
      <w:rPr>
        <w:color w:val="F2F2F2"/>
        <w:sz w:val="22"/>
      </w:rPr>
      <w:tblPr/>
      <w:tcPr>
        <w:shd w:val="clear" w:color="45BAFF" w:fill="45BAFF" w:themeFill="accent2" w:themeFillTint="97"/>
      </w:tcPr>
    </w:tblStylePr>
    <w:tblStylePr w:type="band1Vert">
      <w:rPr>
        <w:color w:val="404040"/>
        <w:sz w:val="22"/>
      </w:rPr>
    </w:tblStylePr>
    <w:tblStylePr w:type="band2Vert">
      <w:rPr>
        <w:color w:val="404040"/>
        <w:sz w:val="22"/>
      </w:rPr>
      <w:tblPr/>
      <w:tcPr>
        <w:shd w:val="clear" w:color="C1E8FF" w:fill="C1E8FF" w:themeFill="accent2" w:themeFillTint="32"/>
      </w:tcPr>
    </w:tblStylePr>
    <w:tblStylePr w:type="band1Horz">
      <w:rPr>
        <w:color w:val="404040"/>
        <w:sz w:val="22"/>
      </w:rPr>
    </w:tblStylePr>
    <w:tblStylePr w:type="band2Horz">
      <w:rPr>
        <w:color w:val="404040"/>
        <w:sz w:val="22"/>
      </w:rPr>
      <w:tblPr/>
      <w:tcPr>
        <w:shd w:val="clear" w:color="C1E8FF" w:fill="C1E8FF" w:themeFill="accent2" w:themeFillTint="32"/>
      </w:tcPr>
    </w:tblStylePr>
  </w:style>
  <w:style w:type="table" w:customStyle="1" w:styleId="Lined-Accent3">
    <w:name w:val="Lined - Accent 3"/>
    <w:uiPriority w:val="99"/>
    <w:rPr>
      <w:color w:val="404040"/>
      <w:sz w:val="20"/>
      <w:szCs w:val="20"/>
      <w:lang w:eastAsia="en-IN" w:bidi="ar-SA"/>
    </w:rPr>
    <w:tblPr>
      <w:tblStyleRowBandSize w:val="1"/>
      <w:tblStyleColBandSize w:val="1"/>
      <w:tblCellMar>
        <w:top w:w="0" w:type="dxa"/>
        <w:left w:w="0" w:type="dxa"/>
        <w:bottom w:w="0" w:type="dxa"/>
        <w:right w:w="0" w:type="dxa"/>
      </w:tblCellMar>
    </w:tblPr>
    <w:tblStylePr w:type="firstRow">
      <w:rPr>
        <w:color w:val="F2F2F2"/>
        <w:sz w:val="22"/>
      </w:rPr>
      <w:tblPr/>
      <w:tcPr>
        <w:shd w:val="clear" w:color="4D2F9E" w:fill="4D2F9E" w:themeFill="accent3" w:themeFillTint="FE"/>
      </w:tcPr>
    </w:tblStylePr>
    <w:tblStylePr w:type="lastRow">
      <w:rPr>
        <w:color w:val="F2F2F2"/>
        <w:sz w:val="22"/>
      </w:rPr>
      <w:tblPr/>
      <w:tcPr>
        <w:shd w:val="clear" w:color="4D2F9E" w:fill="4D2F9E" w:themeFill="accent3" w:themeFillTint="FE"/>
      </w:tcPr>
    </w:tblStylePr>
    <w:tblStylePr w:type="firstCol">
      <w:rPr>
        <w:color w:val="F2F2F2"/>
        <w:sz w:val="22"/>
      </w:rPr>
      <w:tblPr/>
      <w:tcPr>
        <w:shd w:val="clear" w:color="4D2F9E" w:fill="4D2F9E" w:themeFill="accent3" w:themeFillTint="FE"/>
      </w:tcPr>
    </w:tblStylePr>
    <w:tblStylePr w:type="lastCol">
      <w:rPr>
        <w:color w:val="F2F2F2"/>
        <w:sz w:val="22"/>
      </w:rPr>
      <w:tblPr/>
      <w:tcPr>
        <w:shd w:val="clear" w:color="4D2F9E" w:fill="4D2F9E" w:themeFill="accent3" w:themeFillTint="FE"/>
      </w:tcPr>
    </w:tblStylePr>
    <w:tblStylePr w:type="band1Vert">
      <w:rPr>
        <w:color w:val="404040"/>
        <w:sz w:val="22"/>
      </w:rPr>
    </w:tblStylePr>
    <w:tblStylePr w:type="band2Vert">
      <w:rPr>
        <w:color w:val="404040"/>
        <w:sz w:val="22"/>
      </w:rPr>
      <w:tblPr/>
      <w:tcPr>
        <w:shd w:val="clear" w:color="D7CEF0" w:fill="D7CEF0" w:themeFill="accent3" w:themeFillTint="34"/>
      </w:tcPr>
    </w:tblStylePr>
    <w:tblStylePr w:type="band1Horz">
      <w:rPr>
        <w:color w:val="404040"/>
        <w:sz w:val="22"/>
      </w:rPr>
    </w:tblStylePr>
    <w:tblStylePr w:type="band2Horz">
      <w:rPr>
        <w:color w:val="404040"/>
        <w:sz w:val="22"/>
      </w:rPr>
      <w:tblPr/>
      <w:tcPr>
        <w:shd w:val="clear" w:color="D7CEF0" w:fill="D7CEF0" w:themeFill="accent3" w:themeFillTint="34"/>
      </w:tcPr>
    </w:tblStylePr>
  </w:style>
  <w:style w:type="table" w:customStyle="1" w:styleId="Lined-Accent4">
    <w:name w:val="Lined - Accent 4"/>
    <w:uiPriority w:val="99"/>
    <w:rPr>
      <w:color w:val="404040"/>
      <w:sz w:val="20"/>
      <w:szCs w:val="20"/>
      <w:lang w:eastAsia="en-IN" w:bidi="ar-SA"/>
    </w:rPr>
    <w:tblPr>
      <w:tblStyleRowBandSize w:val="1"/>
      <w:tblStyleColBandSize w:val="1"/>
      <w:tblCellMar>
        <w:top w:w="0" w:type="dxa"/>
        <w:left w:w="0" w:type="dxa"/>
        <w:bottom w:w="0" w:type="dxa"/>
        <w:right w:w="0" w:type="dxa"/>
      </w:tblCellMar>
    </w:tblPr>
    <w:tblStylePr w:type="firstRow">
      <w:rPr>
        <w:color w:val="F2F2F2"/>
        <w:sz w:val="22"/>
      </w:rPr>
      <w:tblPr/>
      <w:tcPr>
        <w:shd w:val="clear" w:color="FF3D84" w:fill="FF3D84" w:themeFill="accent4" w:themeFillTint="9A"/>
      </w:tcPr>
    </w:tblStylePr>
    <w:tblStylePr w:type="lastRow">
      <w:rPr>
        <w:color w:val="F2F2F2"/>
        <w:sz w:val="22"/>
      </w:rPr>
      <w:tblPr/>
      <w:tcPr>
        <w:shd w:val="clear" w:color="FF3D84" w:fill="FF3D84" w:themeFill="accent4" w:themeFillTint="9A"/>
      </w:tcPr>
    </w:tblStylePr>
    <w:tblStylePr w:type="firstCol">
      <w:rPr>
        <w:color w:val="F2F2F2"/>
        <w:sz w:val="22"/>
      </w:rPr>
      <w:tblPr/>
      <w:tcPr>
        <w:shd w:val="clear" w:color="FF3D84" w:fill="FF3D84" w:themeFill="accent4" w:themeFillTint="9A"/>
      </w:tcPr>
    </w:tblStylePr>
    <w:tblStylePr w:type="lastCol">
      <w:rPr>
        <w:color w:val="F2F2F2"/>
        <w:sz w:val="22"/>
      </w:rPr>
      <w:tblPr/>
      <w:tcPr>
        <w:shd w:val="clear" w:color="FF3D84" w:fill="FF3D84" w:themeFill="accent4" w:themeFillTint="9A"/>
      </w:tcPr>
    </w:tblStylePr>
    <w:tblStylePr w:type="band1Vert">
      <w:rPr>
        <w:color w:val="404040"/>
        <w:sz w:val="22"/>
      </w:rPr>
    </w:tblStylePr>
    <w:tblStylePr w:type="band2Vert">
      <w:rPr>
        <w:color w:val="404040"/>
        <w:sz w:val="22"/>
      </w:rPr>
      <w:tblPr/>
      <w:tcPr>
        <w:shd w:val="clear" w:color="FFBDD5" w:fill="FFBDD5" w:themeFill="accent4" w:themeFillTint="34"/>
      </w:tcPr>
    </w:tblStylePr>
    <w:tblStylePr w:type="band1Horz">
      <w:rPr>
        <w:color w:val="404040"/>
        <w:sz w:val="22"/>
      </w:rPr>
    </w:tblStylePr>
    <w:tblStylePr w:type="band2Horz">
      <w:rPr>
        <w:color w:val="404040"/>
        <w:sz w:val="22"/>
      </w:rPr>
      <w:tblPr/>
      <w:tcPr>
        <w:shd w:val="clear" w:color="FFBDD5" w:fill="FFBDD5" w:themeFill="accent4" w:themeFillTint="34"/>
      </w:tcPr>
    </w:tblStylePr>
  </w:style>
  <w:style w:type="table" w:customStyle="1" w:styleId="Lined-Accent5">
    <w:name w:val="Lined - Accent 5"/>
    <w:uiPriority w:val="99"/>
    <w:rPr>
      <w:color w:val="404040"/>
      <w:sz w:val="20"/>
      <w:szCs w:val="20"/>
      <w:lang w:eastAsia="en-IN" w:bidi="ar-SA"/>
    </w:rPr>
    <w:tblPr>
      <w:tblStyleRowBandSize w:val="1"/>
      <w:tblStyleColBandSize w:val="1"/>
      <w:tblCellMar>
        <w:top w:w="0" w:type="dxa"/>
        <w:left w:w="0" w:type="dxa"/>
        <w:bottom w:w="0" w:type="dxa"/>
        <w:right w:w="0" w:type="dxa"/>
      </w:tblCellMar>
    </w:tblPr>
    <w:tblStylePr w:type="firstRow">
      <w:rPr>
        <w:color w:val="F2F2F2"/>
        <w:sz w:val="22"/>
      </w:rPr>
      <w:tblPr/>
      <w:tcPr>
        <w:shd w:val="clear" w:color="EB5000" w:fill="EB5000" w:themeFill="accent5"/>
      </w:tcPr>
    </w:tblStylePr>
    <w:tblStylePr w:type="lastRow">
      <w:rPr>
        <w:color w:val="F2F2F2"/>
        <w:sz w:val="22"/>
      </w:rPr>
      <w:tblPr/>
      <w:tcPr>
        <w:shd w:val="clear" w:color="EB5000" w:fill="EB5000" w:themeFill="accent5"/>
      </w:tcPr>
    </w:tblStylePr>
    <w:tblStylePr w:type="firstCol">
      <w:rPr>
        <w:color w:val="F2F2F2"/>
        <w:sz w:val="22"/>
      </w:rPr>
      <w:tblPr/>
      <w:tcPr>
        <w:shd w:val="clear" w:color="EB5000" w:fill="EB5000" w:themeFill="accent5"/>
      </w:tcPr>
    </w:tblStylePr>
    <w:tblStylePr w:type="lastCol">
      <w:rPr>
        <w:color w:val="F2F2F2"/>
        <w:sz w:val="22"/>
      </w:rPr>
      <w:tblPr/>
      <w:tcPr>
        <w:shd w:val="clear" w:color="EB5000" w:fill="EB5000" w:themeFill="accent5"/>
      </w:tcPr>
    </w:tblStylePr>
    <w:tblStylePr w:type="band1Vert">
      <w:rPr>
        <w:color w:val="404040"/>
        <w:sz w:val="22"/>
      </w:rPr>
    </w:tblStylePr>
    <w:tblStylePr w:type="band2Vert">
      <w:rPr>
        <w:color w:val="404040"/>
        <w:sz w:val="22"/>
      </w:rPr>
      <w:tblPr/>
      <w:tcPr>
        <w:shd w:val="clear" w:color="FFD9C6" w:fill="FFD9C6" w:themeFill="accent5" w:themeFillTint="34"/>
      </w:tcPr>
    </w:tblStylePr>
    <w:tblStylePr w:type="band1Horz">
      <w:rPr>
        <w:color w:val="404040"/>
        <w:sz w:val="22"/>
      </w:rPr>
    </w:tblStylePr>
    <w:tblStylePr w:type="band2Horz">
      <w:rPr>
        <w:color w:val="404040"/>
        <w:sz w:val="22"/>
      </w:rPr>
      <w:tblPr/>
      <w:tcPr>
        <w:shd w:val="clear" w:color="FFD9C6" w:fill="FFD9C6" w:themeFill="accent5" w:themeFillTint="34"/>
      </w:tcPr>
    </w:tblStylePr>
  </w:style>
  <w:style w:type="table" w:customStyle="1" w:styleId="Lined-Accent6">
    <w:name w:val="Lined - Accent 6"/>
    <w:uiPriority w:val="99"/>
    <w:rPr>
      <w:color w:val="404040"/>
      <w:sz w:val="20"/>
      <w:szCs w:val="20"/>
      <w:lang w:eastAsia="en-IN" w:bidi="ar-SA"/>
    </w:rPr>
    <w:tblPr>
      <w:tblStyleRowBandSize w:val="1"/>
      <w:tblStyleColBandSize w:val="1"/>
      <w:tblCellMar>
        <w:top w:w="0" w:type="dxa"/>
        <w:left w:w="0" w:type="dxa"/>
        <w:bottom w:w="0" w:type="dxa"/>
        <w:right w:w="0" w:type="dxa"/>
      </w:tblCellMar>
    </w:tblPr>
    <w:tblStylePr w:type="firstRow">
      <w:rPr>
        <w:color w:val="F2F2F2"/>
        <w:sz w:val="22"/>
      </w:rPr>
      <w:tblPr/>
      <w:tcPr>
        <w:shd w:val="clear" w:color="FFE600" w:fill="FFE600" w:themeFill="accent6"/>
      </w:tcPr>
    </w:tblStylePr>
    <w:tblStylePr w:type="lastRow">
      <w:rPr>
        <w:color w:val="F2F2F2"/>
        <w:sz w:val="22"/>
      </w:rPr>
      <w:tblPr/>
      <w:tcPr>
        <w:shd w:val="clear" w:color="FFE600" w:fill="FFE600" w:themeFill="accent6"/>
      </w:tcPr>
    </w:tblStylePr>
    <w:tblStylePr w:type="firstCol">
      <w:rPr>
        <w:color w:val="F2F2F2"/>
        <w:sz w:val="22"/>
      </w:rPr>
      <w:tblPr/>
      <w:tcPr>
        <w:shd w:val="clear" w:color="FFE600" w:fill="FFE600" w:themeFill="accent6"/>
      </w:tcPr>
    </w:tblStylePr>
    <w:tblStylePr w:type="lastCol">
      <w:rPr>
        <w:color w:val="F2F2F2"/>
        <w:sz w:val="22"/>
      </w:rPr>
      <w:tblPr/>
      <w:tcPr>
        <w:shd w:val="clear" w:color="FFE600" w:fill="FFE600" w:themeFill="accent6"/>
      </w:tcPr>
    </w:tblStylePr>
    <w:tblStylePr w:type="band1Vert">
      <w:rPr>
        <w:color w:val="404040"/>
        <w:sz w:val="22"/>
      </w:rPr>
    </w:tblStylePr>
    <w:tblStylePr w:type="band2Vert">
      <w:rPr>
        <w:color w:val="404040"/>
        <w:sz w:val="22"/>
      </w:rPr>
      <w:tblPr/>
      <w:tcPr>
        <w:shd w:val="clear" w:color="FFF9CB" w:fill="FFF9CB" w:themeFill="accent6" w:themeFillTint="34"/>
      </w:tcPr>
    </w:tblStylePr>
    <w:tblStylePr w:type="band1Horz">
      <w:rPr>
        <w:color w:val="404040"/>
        <w:sz w:val="22"/>
      </w:rPr>
    </w:tblStylePr>
    <w:tblStylePr w:type="band2Horz">
      <w:rPr>
        <w:color w:val="404040"/>
        <w:sz w:val="22"/>
      </w:rPr>
      <w:tblPr/>
      <w:tcPr>
        <w:shd w:val="clear" w:color="FFF9CB" w:fill="FFF9CB" w:themeFill="accent6" w:themeFillTint="34"/>
      </w:tcPr>
    </w:tblStylePr>
  </w:style>
  <w:style w:type="table" w:customStyle="1" w:styleId="BorderedLined-Accent">
    <w:name w:val="Bordered &amp; Lined - Accent"/>
    <w:uiPriority w:val="99"/>
    <w:rPr>
      <w:color w:val="404040"/>
      <w:sz w:val="20"/>
      <w:szCs w:val="20"/>
      <w:lang w:eastAsia="en-IN" w:bidi="ar-SA"/>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StylePr>
    <w:tblStylePr w:type="band2Vert">
      <w:rPr>
        <w:color w:val="404040"/>
        <w:sz w:val="22"/>
      </w:rPr>
      <w:tblPr/>
      <w:tcPr>
        <w:shd w:val="clear" w:color="F2F2F2" w:fill="FFFFFF" w:themeFill="text1" w:themeFillTint="00"/>
      </w:tcPr>
    </w:tblStylePr>
    <w:tblStylePr w:type="band1Horz">
      <w:rPr>
        <w:color w:val="404040"/>
        <w:sz w:val="22"/>
      </w:rPr>
    </w:tblStylePr>
    <w:tblStylePr w:type="band2Horz">
      <w:rPr>
        <w:color w:val="404040"/>
        <w:sz w:val="22"/>
      </w:rPr>
      <w:tblPr/>
      <w:tcPr>
        <w:shd w:val="clear" w:color="F2F2F2" w:fill="FFFFFF" w:themeFill="text1" w:themeFillTint="00"/>
      </w:tcPr>
    </w:tblStylePr>
  </w:style>
  <w:style w:type="table" w:customStyle="1" w:styleId="BorderedLined-Accent1">
    <w:name w:val="Bordered &amp; Lined - Accent 1"/>
    <w:uiPriority w:val="99"/>
    <w:rPr>
      <w:color w:val="404040"/>
      <w:sz w:val="20"/>
      <w:szCs w:val="20"/>
      <w:lang w:eastAsia="en-IN" w:bidi="ar-SA"/>
    </w:rPr>
    <w:tblPr>
      <w:tblStyleRowBandSize w:val="1"/>
      <w:tblStyleColBandSize w:val="1"/>
      <w:tblBorders>
        <w:top w:val="single" w:sz="4" w:space="0" w:color="64E6FF" w:themeColor="accent1"/>
        <w:left w:val="single" w:sz="4" w:space="0" w:color="64E6FF" w:themeColor="accent1"/>
        <w:bottom w:val="single" w:sz="4" w:space="0" w:color="64E6FF" w:themeColor="accent1"/>
        <w:right w:val="single" w:sz="4" w:space="0" w:color="64E6FF" w:themeColor="accent1"/>
        <w:insideH w:val="single" w:sz="4" w:space="0" w:color="64E6FF" w:themeColor="accent1"/>
        <w:insideV w:val="single" w:sz="4" w:space="0" w:color="64E6FF" w:themeColor="accent1"/>
      </w:tblBorders>
      <w:tblCellMar>
        <w:top w:w="0" w:type="dxa"/>
        <w:left w:w="0" w:type="dxa"/>
        <w:bottom w:w="0" w:type="dxa"/>
        <w:right w:w="0" w:type="dxa"/>
      </w:tblCellMar>
    </w:tblPr>
    <w:tblStylePr w:type="firstRow">
      <w:rPr>
        <w:color w:val="F2F2F2"/>
        <w:sz w:val="22"/>
      </w:rPr>
      <w:tblPr/>
      <w:tcPr>
        <w:shd w:val="clear" w:color="70E7FF" w:fill="70E7FF" w:themeFill="accent1" w:themeFillTint="EA"/>
      </w:tcPr>
    </w:tblStylePr>
    <w:tblStylePr w:type="lastRow">
      <w:rPr>
        <w:color w:val="F2F2F2"/>
        <w:sz w:val="22"/>
      </w:rPr>
      <w:tblPr/>
      <w:tcPr>
        <w:shd w:val="clear" w:color="70E7FF" w:fill="70E7FF" w:themeFill="accent1" w:themeFillTint="EA"/>
      </w:tcPr>
    </w:tblStylePr>
    <w:tblStylePr w:type="firstCol">
      <w:rPr>
        <w:color w:val="F2F2F2"/>
        <w:sz w:val="22"/>
      </w:rPr>
      <w:tblPr/>
      <w:tcPr>
        <w:shd w:val="clear" w:color="70E7FF" w:fill="70E7FF" w:themeFill="accent1" w:themeFillTint="EA"/>
      </w:tcPr>
    </w:tblStylePr>
    <w:tblStylePr w:type="lastCol">
      <w:rPr>
        <w:color w:val="F2F2F2"/>
        <w:sz w:val="22"/>
      </w:rPr>
      <w:tblPr/>
      <w:tcPr>
        <w:shd w:val="clear" w:color="70E7FF" w:fill="70E7FF" w:themeFill="accent1" w:themeFillTint="EA"/>
      </w:tcPr>
    </w:tblStylePr>
    <w:tblStylePr w:type="band1Vert">
      <w:rPr>
        <w:color w:val="404040"/>
        <w:sz w:val="22"/>
      </w:rPr>
    </w:tblStylePr>
    <w:tblStylePr w:type="band2Vert">
      <w:rPr>
        <w:color w:val="404040"/>
        <w:sz w:val="22"/>
      </w:rPr>
      <w:tblPr/>
      <w:tcPr>
        <w:shd w:val="clear" w:color="CEF6FF" w:fill="CEF6FF" w:themeFill="accent1" w:themeFillTint="50"/>
      </w:tcPr>
    </w:tblStylePr>
    <w:tblStylePr w:type="band1Horz">
      <w:rPr>
        <w:color w:val="404040"/>
        <w:sz w:val="22"/>
      </w:rPr>
    </w:tblStylePr>
    <w:tblStylePr w:type="band2Horz">
      <w:rPr>
        <w:color w:val="404040"/>
        <w:sz w:val="22"/>
      </w:rPr>
      <w:tblPr/>
      <w:tcPr>
        <w:shd w:val="clear" w:color="CEF6FF" w:fill="CEF6FF" w:themeFill="accent1" w:themeFillTint="50"/>
      </w:tcPr>
    </w:tblStylePr>
  </w:style>
  <w:style w:type="table" w:customStyle="1" w:styleId="BorderedLined-Accent2">
    <w:name w:val="Bordered &amp; Lined - Accent 2"/>
    <w:uiPriority w:val="99"/>
    <w:rPr>
      <w:color w:val="404040"/>
      <w:sz w:val="20"/>
      <w:szCs w:val="20"/>
      <w:lang w:eastAsia="en-IN" w:bidi="ar-SA"/>
    </w:rPr>
    <w:tblPr>
      <w:tblStyleRowBandSize w:val="1"/>
      <w:tblStyleColBandSize w:val="1"/>
      <w:tblBorders>
        <w:top w:val="single" w:sz="4" w:space="0" w:color="007DC5" w:themeColor="accent2"/>
        <w:left w:val="single" w:sz="4" w:space="0" w:color="007DC5" w:themeColor="accent2"/>
        <w:bottom w:val="single" w:sz="4" w:space="0" w:color="007DC5" w:themeColor="accent2"/>
        <w:right w:val="single" w:sz="4" w:space="0" w:color="007DC5" w:themeColor="accent2"/>
        <w:insideH w:val="single" w:sz="4" w:space="0" w:color="007DC5" w:themeColor="accent2"/>
        <w:insideV w:val="single" w:sz="4" w:space="0" w:color="007DC5" w:themeColor="accent2"/>
      </w:tblBorders>
      <w:tblCellMar>
        <w:top w:w="0" w:type="dxa"/>
        <w:left w:w="0" w:type="dxa"/>
        <w:bottom w:w="0" w:type="dxa"/>
        <w:right w:w="0" w:type="dxa"/>
      </w:tblCellMar>
    </w:tblPr>
    <w:tblStylePr w:type="firstRow">
      <w:rPr>
        <w:color w:val="F2F2F2"/>
        <w:sz w:val="22"/>
      </w:rPr>
      <w:tblPr/>
      <w:tcPr>
        <w:shd w:val="clear" w:color="45BAFF" w:fill="45BAFF" w:themeFill="accent2" w:themeFillTint="97"/>
      </w:tcPr>
    </w:tblStylePr>
    <w:tblStylePr w:type="lastRow">
      <w:rPr>
        <w:color w:val="F2F2F2"/>
        <w:sz w:val="22"/>
      </w:rPr>
      <w:tblPr/>
      <w:tcPr>
        <w:shd w:val="clear" w:color="45BAFF" w:fill="45BAFF" w:themeFill="accent2" w:themeFillTint="97"/>
      </w:tcPr>
    </w:tblStylePr>
    <w:tblStylePr w:type="firstCol">
      <w:rPr>
        <w:color w:val="F2F2F2"/>
        <w:sz w:val="22"/>
      </w:rPr>
      <w:tblPr/>
      <w:tcPr>
        <w:shd w:val="clear" w:color="45BAFF" w:fill="45BAFF" w:themeFill="accent2" w:themeFillTint="97"/>
      </w:tcPr>
    </w:tblStylePr>
    <w:tblStylePr w:type="lastCol">
      <w:rPr>
        <w:color w:val="F2F2F2"/>
        <w:sz w:val="22"/>
      </w:rPr>
      <w:tblPr/>
      <w:tcPr>
        <w:shd w:val="clear" w:color="45BAFF" w:fill="45BAFF" w:themeFill="accent2" w:themeFillTint="97"/>
      </w:tcPr>
    </w:tblStylePr>
    <w:tblStylePr w:type="band1Vert">
      <w:rPr>
        <w:color w:val="404040"/>
        <w:sz w:val="22"/>
      </w:rPr>
    </w:tblStylePr>
    <w:tblStylePr w:type="band2Vert">
      <w:rPr>
        <w:color w:val="404040"/>
        <w:sz w:val="22"/>
      </w:rPr>
      <w:tblPr/>
      <w:tcPr>
        <w:shd w:val="clear" w:color="C1E8FF" w:fill="C1E8FF" w:themeFill="accent2" w:themeFillTint="32"/>
      </w:tcPr>
    </w:tblStylePr>
    <w:tblStylePr w:type="band1Horz">
      <w:rPr>
        <w:color w:val="404040"/>
        <w:sz w:val="22"/>
      </w:rPr>
    </w:tblStylePr>
    <w:tblStylePr w:type="band2Horz">
      <w:rPr>
        <w:color w:val="404040"/>
        <w:sz w:val="22"/>
      </w:rPr>
      <w:tblPr/>
      <w:tcPr>
        <w:shd w:val="clear" w:color="C1E8FF" w:fill="C1E8FF" w:themeFill="accent2" w:themeFillTint="32"/>
      </w:tcPr>
    </w:tblStylePr>
  </w:style>
  <w:style w:type="table" w:customStyle="1" w:styleId="BorderedLined-Accent3">
    <w:name w:val="Bordered &amp; Lined - Accent 3"/>
    <w:uiPriority w:val="99"/>
    <w:rPr>
      <w:color w:val="404040"/>
      <w:sz w:val="20"/>
      <w:szCs w:val="20"/>
      <w:lang w:eastAsia="en-IN" w:bidi="ar-SA"/>
    </w:rPr>
    <w:tblPr>
      <w:tblStyleRowBandSize w:val="1"/>
      <w:tblStyleColBandSize w:val="1"/>
      <w:tblBorders>
        <w:top w:val="single" w:sz="4" w:space="0" w:color="4D2F9E" w:themeColor="accent3"/>
        <w:left w:val="single" w:sz="4" w:space="0" w:color="4D2F9E" w:themeColor="accent3"/>
        <w:bottom w:val="single" w:sz="4" w:space="0" w:color="4D2F9E" w:themeColor="accent3"/>
        <w:right w:val="single" w:sz="4" w:space="0" w:color="4D2F9E" w:themeColor="accent3"/>
        <w:insideH w:val="single" w:sz="4" w:space="0" w:color="4D2F9E" w:themeColor="accent3"/>
        <w:insideV w:val="single" w:sz="4" w:space="0" w:color="4D2F9E" w:themeColor="accent3"/>
      </w:tblBorders>
      <w:tblCellMar>
        <w:top w:w="0" w:type="dxa"/>
        <w:left w:w="0" w:type="dxa"/>
        <w:bottom w:w="0" w:type="dxa"/>
        <w:right w:w="0" w:type="dxa"/>
      </w:tblCellMar>
    </w:tblPr>
    <w:tblStylePr w:type="firstRow">
      <w:rPr>
        <w:color w:val="F2F2F2"/>
        <w:sz w:val="22"/>
      </w:rPr>
      <w:tblPr/>
      <w:tcPr>
        <w:shd w:val="clear" w:color="4D2F9E" w:fill="4D2F9E" w:themeFill="accent3" w:themeFillTint="FE"/>
      </w:tcPr>
    </w:tblStylePr>
    <w:tblStylePr w:type="lastRow">
      <w:rPr>
        <w:color w:val="F2F2F2"/>
        <w:sz w:val="22"/>
      </w:rPr>
      <w:tblPr/>
      <w:tcPr>
        <w:shd w:val="clear" w:color="4D2F9E" w:fill="4D2F9E" w:themeFill="accent3" w:themeFillTint="FE"/>
      </w:tcPr>
    </w:tblStylePr>
    <w:tblStylePr w:type="firstCol">
      <w:rPr>
        <w:color w:val="F2F2F2"/>
        <w:sz w:val="22"/>
      </w:rPr>
      <w:tblPr/>
      <w:tcPr>
        <w:shd w:val="clear" w:color="4D2F9E" w:fill="4D2F9E" w:themeFill="accent3" w:themeFillTint="FE"/>
      </w:tcPr>
    </w:tblStylePr>
    <w:tblStylePr w:type="lastCol">
      <w:rPr>
        <w:color w:val="F2F2F2"/>
        <w:sz w:val="22"/>
      </w:rPr>
      <w:tblPr/>
      <w:tcPr>
        <w:shd w:val="clear" w:color="4D2F9E" w:fill="4D2F9E" w:themeFill="accent3" w:themeFillTint="FE"/>
      </w:tcPr>
    </w:tblStylePr>
    <w:tblStylePr w:type="band1Vert">
      <w:rPr>
        <w:color w:val="404040"/>
        <w:sz w:val="22"/>
      </w:rPr>
    </w:tblStylePr>
    <w:tblStylePr w:type="band2Vert">
      <w:rPr>
        <w:color w:val="404040"/>
        <w:sz w:val="22"/>
      </w:rPr>
      <w:tblPr/>
      <w:tcPr>
        <w:shd w:val="clear" w:color="D7CEF0" w:fill="D7CEF0" w:themeFill="accent3" w:themeFillTint="34"/>
      </w:tcPr>
    </w:tblStylePr>
    <w:tblStylePr w:type="band1Horz">
      <w:rPr>
        <w:color w:val="404040"/>
        <w:sz w:val="22"/>
      </w:rPr>
    </w:tblStylePr>
    <w:tblStylePr w:type="band2Horz">
      <w:rPr>
        <w:color w:val="404040"/>
        <w:sz w:val="22"/>
      </w:rPr>
      <w:tblPr/>
      <w:tcPr>
        <w:shd w:val="clear" w:color="D7CEF0" w:fill="D7CEF0" w:themeFill="accent3" w:themeFillTint="34"/>
      </w:tcPr>
    </w:tblStylePr>
  </w:style>
  <w:style w:type="table" w:customStyle="1" w:styleId="BorderedLined-Accent4">
    <w:name w:val="Bordered &amp; Lined - Accent 4"/>
    <w:uiPriority w:val="99"/>
    <w:rPr>
      <w:color w:val="404040"/>
      <w:sz w:val="20"/>
      <w:szCs w:val="20"/>
      <w:lang w:eastAsia="en-IN" w:bidi="ar-SA"/>
    </w:rPr>
    <w:tblPr>
      <w:tblStyleRowBandSize w:val="1"/>
      <w:tblStyleColBandSize w:val="1"/>
      <w:tblBorders>
        <w:top w:val="single" w:sz="4" w:space="0" w:color="BE0046" w:themeColor="accent4"/>
        <w:left w:val="single" w:sz="4" w:space="0" w:color="BE0046" w:themeColor="accent4"/>
        <w:bottom w:val="single" w:sz="4" w:space="0" w:color="BE0046" w:themeColor="accent4"/>
        <w:right w:val="single" w:sz="4" w:space="0" w:color="BE0046" w:themeColor="accent4"/>
        <w:insideH w:val="single" w:sz="4" w:space="0" w:color="BE0046" w:themeColor="accent4"/>
        <w:insideV w:val="single" w:sz="4" w:space="0" w:color="BE0046" w:themeColor="accent4"/>
      </w:tblBorders>
      <w:tblCellMar>
        <w:top w:w="0" w:type="dxa"/>
        <w:left w:w="0" w:type="dxa"/>
        <w:bottom w:w="0" w:type="dxa"/>
        <w:right w:w="0" w:type="dxa"/>
      </w:tblCellMar>
    </w:tblPr>
    <w:tblStylePr w:type="firstRow">
      <w:rPr>
        <w:color w:val="F2F2F2"/>
        <w:sz w:val="22"/>
      </w:rPr>
      <w:tblPr/>
      <w:tcPr>
        <w:shd w:val="clear" w:color="FF3D84" w:fill="FF3D84" w:themeFill="accent4" w:themeFillTint="9A"/>
      </w:tcPr>
    </w:tblStylePr>
    <w:tblStylePr w:type="lastRow">
      <w:rPr>
        <w:color w:val="F2F2F2"/>
        <w:sz w:val="22"/>
      </w:rPr>
      <w:tblPr/>
      <w:tcPr>
        <w:shd w:val="clear" w:color="FF3D84" w:fill="FF3D84" w:themeFill="accent4" w:themeFillTint="9A"/>
      </w:tcPr>
    </w:tblStylePr>
    <w:tblStylePr w:type="firstCol">
      <w:rPr>
        <w:color w:val="F2F2F2"/>
        <w:sz w:val="22"/>
      </w:rPr>
      <w:tblPr/>
      <w:tcPr>
        <w:shd w:val="clear" w:color="FF3D84" w:fill="FF3D84" w:themeFill="accent4" w:themeFillTint="9A"/>
      </w:tcPr>
    </w:tblStylePr>
    <w:tblStylePr w:type="lastCol">
      <w:rPr>
        <w:color w:val="F2F2F2"/>
        <w:sz w:val="22"/>
      </w:rPr>
      <w:tblPr/>
      <w:tcPr>
        <w:shd w:val="clear" w:color="FF3D84" w:fill="FF3D84" w:themeFill="accent4" w:themeFillTint="9A"/>
      </w:tcPr>
    </w:tblStylePr>
    <w:tblStylePr w:type="band1Vert">
      <w:rPr>
        <w:color w:val="404040"/>
        <w:sz w:val="22"/>
      </w:rPr>
    </w:tblStylePr>
    <w:tblStylePr w:type="band2Vert">
      <w:rPr>
        <w:color w:val="404040"/>
        <w:sz w:val="22"/>
      </w:rPr>
      <w:tblPr/>
      <w:tcPr>
        <w:shd w:val="clear" w:color="FFBDD5" w:fill="FFBDD5" w:themeFill="accent4" w:themeFillTint="34"/>
      </w:tcPr>
    </w:tblStylePr>
    <w:tblStylePr w:type="band1Horz">
      <w:rPr>
        <w:color w:val="404040"/>
        <w:sz w:val="22"/>
      </w:rPr>
    </w:tblStylePr>
    <w:tblStylePr w:type="band2Horz">
      <w:rPr>
        <w:color w:val="404040"/>
        <w:sz w:val="22"/>
      </w:rPr>
      <w:tblPr/>
      <w:tcPr>
        <w:shd w:val="clear" w:color="FFBDD5" w:fill="FFBDD5" w:themeFill="accent4" w:themeFillTint="34"/>
      </w:tcPr>
    </w:tblStylePr>
  </w:style>
  <w:style w:type="table" w:customStyle="1" w:styleId="BorderedLined-Accent5">
    <w:name w:val="Bordered &amp; Lined - Accent 5"/>
    <w:uiPriority w:val="99"/>
    <w:rPr>
      <w:color w:val="404040"/>
      <w:sz w:val="20"/>
      <w:szCs w:val="20"/>
      <w:lang w:eastAsia="en-IN" w:bidi="ar-SA"/>
    </w:rPr>
    <w:tblPr>
      <w:tblStyleRowBandSize w:val="1"/>
      <w:tblStyleColBandSize w:val="1"/>
      <w:tblBorders>
        <w:top w:val="single" w:sz="4" w:space="0" w:color="EB5000" w:themeColor="accent5"/>
        <w:left w:val="single" w:sz="4" w:space="0" w:color="EB5000" w:themeColor="accent5"/>
        <w:bottom w:val="single" w:sz="4" w:space="0" w:color="EB5000" w:themeColor="accent5"/>
        <w:right w:val="single" w:sz="4" w:space="0" w:color="EB5000" w:themeColor="accent5"/>
        <w:insideH w:val="single" w:sz="4" w:space="0" w:color="EB5000" w:themeColor="accent5"/>
        <w:insideV w:val="single" w:sz="4" w:space="0" w:color="EB5000" w:themeColor="accent5"/>
      </w:tblBorders>
      <w:tblCellMar>
        <w:top w:w="0" w:type="dxa"/>
        <w:left w:w="0" w:type="dxa"/>
        <w:bottom w:w="0" w:type="dxa"/>
        <w:right w:w="0" w:type="dxa"/>
      </w:tblCellMar>
    </w:tblPr>
    <w:tblStylePr w:type="firstRow">
      <w:rPr>
        <w:color w:val="F2F2F2"/>
        <w:sz w:val="22"/>
      </w:rPr>
      <w:tblPr/>
      <w:tcPr>
        <w:shd w:val="clear" w:color="EB5000" w:fill="EB5000" w:themeFill="accent5"/>
      </w:tcPr>
    </w:tblStylePr>
    <w:tblStylePr w:type="lastRow">
      <w:rPr>
        <w:color w:val="F2F2F2"/>
        <w:sz w:val="22"/>
      </w:rPr>
      <w:tblPr/>
      <w:tcPr>
        <w:shd w:val="clear" w:color="EB5000" w:fill="EB5000" w:themeFill="accent5"/>
      </w:tcPr>
    </w:tblStylePr>
    <w:tblStylePr w:type="firstCol">
      <w:rPr>
        <w:color w:val="F2F2F2"/>
        <w:sz w:val="22"/>
      </w:rPr>
      <w:tblPr/>
      <w:tcPr>
        <w:shd w:val="clear" w:color="EB5000" w:fill="EB5000" w:themeFill="accent5"/>
      </w:tcPr>
    </w:tblStylePr>
    <w:tblStylePr w:type="lastCol">
      <w:rPr>
        <w:color w:val="F2F2F2"/>
        <w:sz w:val="22"/>
      </w:rPr>
      <w:tblPr/>
      <w:tcPr>
        <w:shd w:val="clear" w:color="EB5000" w:fill="EB5000" w:themeFill="accent5"/>
      </w:tcPr>
    </w:tblStylePr>
    <w:tblStylePr w:type="band1Vert">
      <w:rPr>
        <w:color w:val="404040"/>
        <w:sz w:val="22"/>
      </w:rPr>
    </w:tblStylePr>
    <w:tblStylePr w:type="band2Vert">
      <w:rPr>
        <w:color w:val="404040"/>
        <w:sz w:val="22"/>
      </w:rPr>
      <w:tblPr/>
      <w:tcPr>
        <w:shd w:val="clear" w:color="FFD9C6" w:fill="FFD9C6" w:themeFill="accent5" w:themeFillTint="34"/>
      </w:tcPr>
    </w:tblStylePr>
    <w:tblStylePr w:type="band1Horz">
      <w:rPr>
        <w:color w:val="404040"/>
        <w:sz w:val="22"/>
      </w:rPr>
    </w:tblStylePr>
    <w:tblStylePr w:type="band2Horz">
      <w:rPr>
        <w:color w:val="404040"/>
        <w:sz w:val="22"/>
      </w:rPr>
      <w:tblPr/>
      <w:tcPr>
        <w:shd w:val="clear" w:color="FFD9C6" w:fill="FFD9C6" w:themeFill="accent5" w:themeFillTint="34"/>
      </w:tcPr>
    </w:tblStylePr>
  </w:style>
  <w:style w:type="table" w:customStyle="1" w:styleId="BorderedLined-Accent6">
    <w:name w:val="Bordered &amp; Lined - Accent 6"/>
    <w:uiPriority w:val="99"/>
    <w:rPr>
      <w:color w:val="404040"/>
      <w:sz w:val="20"/>
      <w:szCs w:val="20"/>
      <w:lang w:eastAsia="en-IN" w:bidi="ar-SA"/>
    </w:rPr>
    <w:tblPr>
      <w:tblStyleRowBandSize w:val="1"/>
      <w:tblStyleColBandSize w:val="1"/>
      <w:tblBorders>
        <w:top w:val="single" w:sz="4" w:space="0" w:color="FFE600" w:themeColor="accent6"/>
        <w:left w:val="single" w:sz="4" w:space="0" w:color="FFE600" w:themeColor="accent6"/>
        <w:bottom w:val="single" w:sz="4" w:space="0" w:color="FFE600" w:themeColor="accent6"/>
        <w:right w:val="single" w:sz="4" w:space="0" w:color="FFE600" w:themeColor="accent6"/>
        <w:insideH w:val="single" w:sz="4" w:space="0" w:color="FFE600" w:themeColor="accent6"/>
        <w:insideV w:val="single" w:sz="4" w:space="0" w:color="FFE600" w:themeColor="accent6"/>
      </w:tblBorders>
      <w:tblCellMar>
        <w:top w:w="0" w:type="dxa"/>
        <w:left w:w="0" w:type="dxa"/>
        <w:bottom w:w="0" w:type="dxa"/>
        <w:right w:w="0" w:type="dxa"/>
      </w:tblCellMar>
    </w:tblPr>
    <w:tblStylePr w:type="firstRow">
      <w:rPr>
        <w:color w:val="F2F2F2"/>
        <w:sz w:val="22"/>
      </w:rPr>
      <w:tblPr/>
      <w:tcPr>
        <w:shd w:val="clear" w:color="FFE600" w:fill="FFE600" w:themeFill="accent6"/>
      </w:tcPr>
    </w:tblStylePr>
    <w:tblStylePr w:type="lastRow">
      <w:rPr>
        <w:color w:val="F2F2F2"/>
        <w:sz w:val="22"/>
      </w:rPr>
      <w:tblPr/>
      <w:tcPr>
        <w:shd w:val="clear" w:color="FFE600" w:fill="FFE600" w:themeFill="accent6"/>
      </w:tcPr>
    </w:tblStylePr>
    <w:tblStylePr w:type="firstCol">
      <w:rPr>
        <w:color w:val="F2F2F2"/>
        <w:sz w:val="22"/>
      </w:rPr>
      <w:tblPr/>
      <w:tcPr>
        <w:shd w:val="clear" w:color="FFE600" w:fill="FFE600" w:themeFill="accent6"/>
      </w:tcPr>
    </w:tblStylePr>
    <w:tblStylePr w:type="lastCol">
      <w:rPr>
        <w:color w:val="F2F2F2"/>
        <w:sz w:val="22"/>
      </w:rPr>
      <w:tblPr/>
      <w:tcPr>
        <w:shd w:val="clear" w:color="FFE600" w:fill="FFE600" w:themeFill="accent6"/>
      </w:tcPr>
    </w:tblStylePr>
    <w:tblStylePr w:type="band1Vert">
      <w:rPr>
        <w:color w:val="404040"/>
        <w:sz w:val="22"/>
      </w:rPr>
    </w:tblStylePr>
    <w:tblStylePr w:type="band2Vert">
      <w:rPr>
        <w:color w:val="404040"/>
        <w:sz w:val="22"/>
      </w:rPr>
      <w:tblPr/>
      <w:tcPr>
        <w:shd w:val="clear" w:color="FFF9CB" w:fill="FFF9CB" w:themeFill="accent6" w:themeFillTint="34"/>
      </w:tcPr>
    </w:tblStylePr>
    <w:tblStylePr w:type="band1Horz">
      <w:rPr>
        <w:color w:val="404040"/>
        <w:sz w:val="22"/>
      </w:rPr>
    </w:tblStylePr>
    <w:tblStylePr w:type="band2Horz">
      <w:rPr>
        <w:color w:val="404040"/>
        <w:sz w:val="22"/>
      </w:rPr>
      <w:tblPr/>
      <w:tcPr>
        <w:shd w:val="clear" w:color="FFF9CB" w:fill="FFF9CB" w:themeFill="accent6" w:themeFillTint="34"/>
      </w:tcPr>
    </w:tblStylePr>
  </w:style>
  <w:style w:type="table" w:customStyle="1" w:styleId="Bordered">
    <w:name w:val="Bordered"/>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color w:val="404040"/>
        <w:sz w:val="22"/>
      </w:rPr>
      <w:tblPr/>
      <w:tcPr>
        <w:tcBorders>
          <w:bottom w:val="single" w:sz="12" w:space="0" w:color="000000" w:themeColor="text1"/>
        </w:tcBorders>
      </w:tcPr>
    </w:tblStylePr>
    <w:tblStylePr w:type="lastRow">
      <w:rPr>
        <w:color w:val="404040"/>
        <w:sz w:val="22"/>
      </w:rPr>
      <w:tblPr/>
      <w:tcPr>
        <w:tcBorders>
          <w:top w:val="single" w:sz="12" w:space="0" w:color="000000" w:themeColor="text1"/>
        </w:tcBorders>
      </w:tcPr>
    </w:tblStylePr>
    <w:tblStylePr w:type="firstCol">
      <w:rPr>
        <w:color w:val="404040"/>
        <w:sz w:val="22"/>
      </w:rPr>
    </w:tblStylePr>
    <w:tblStylePr w:type="lastCol">
      <w:rPr>
        <w:color w:val="404040"/>
        <w:sz w:val="22"/>
      </w:rPr>
      <w:tblPr/>
      <w:tcPr>
        <w:tcBorders>
          <w:left w:val="single" w:sz="12" w:space="0" w:color="000000" w:themeColor="text1"/>
        </w:tcBorders>
      </w:tcPr>
    </w:tblStylePr>
    <w:tblStylePr w:type="band1Horz">
      <w:rPr>
        <w:color w:val="404040"/>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uiPriority w:val="99"/>
    <w:tblPr>
      <w:tblStyleRowBandSize w:val="1"/>
      <w:tblStyleColBandSize w:val="1"/>
      <w:tblBorders>
        <w:top w:val="single" w:sz="4" w:space="0" w:color="C0F4FF" w:themeColor="accent1" w:themeTint="67"/>
        <w:left w:val="single" w:sz="4" w:space="0" w:color="C0F4FF" w:themeColor="accent1" w:themeTint="67"/>
        <w:bottom w:val="single" w:sz="4" w:space="0" w:color="C0F4FF" w:themeColor="accent1" w:themeTint="67"/>
        <w:right w:val="single" w:sz="4" w:space="0" w:color="C0F4FF" w:themeColor="accent1" w:themeTint="67"/>
        <w:insideH w:val="single" w:sz="4" w:space="0" w:color="C0F4FF" w:themeColor="accent1" w:themeTint="67"/>
        <w:insideV w:val="single" w:sz="4" w:space="0" w:color="C0F4FF" w:themeColor="accent1" w:themeTint="67"/>
      </w:tblBorders>
      <w:tblCellMar>
        <w:top w:w="0" w:type="dxa"/>
        <w:left w:w="0" w:type="dxa"/>
        <w:bottom w:w="0" w:type="dxa"/>
        <w:right w:w="0" w:type="dxa"/>
      </w:tblCellMar>
    </w:tblPr>
    <w:tblStylePr w:type="firstRow">
      <w:rPr>
        <w:color w:val="404040"/>
        <w:sz w:val="22"/>
      </w:rPr>
      <w:tblPr/>
      <w:tcPr>
        <w:tcBorders>
          <w:bottom w:val="single" w:sz="12" w:space="0" w:color="64E6FF" w:themeColor="accent1"/>
        </w:tcBorders>
      </w:tcPr>
    </w:tblStylePr>
    <w:tblStylePr w:type="lastRow">
      <w:rPr>
        <w:color w:val="404040"/>
        <w:sz w:val="22"/>
      </w:rPr>
      <w:tblPr/>
      <w:tcPr>
        <w:tcBorders>
          <w:top w:val="single" w:sz="12" w:space="0" w:color="64E6FF" w:themeColor="accent1"/>
        </w:tcBorders>
      </w:tcPr>
    </w:tblStylePr>
    <w:tblStylePr w:type="firstCol">
      <w:rPr>
        <w:color w:val="404040"/>
        <w:sz w:val="22"/>
      </w:rPr>
    </w:tblStylePr>
    <w:tblStylePr w:type="lastCol">
      <w:rPr>
        <w:color w:val="404040"/>
        <w:sz w:val="22"/>
      </w:rPr>
      <w:tblPr/>
      <w:tcPr>
        <w:tcBorders>
          <w:left w:val="single" w:sz="12" w:space="0" w:color="64E6FF" w:themeColor="accent1"/>
        </w:tcBorders>
      </w:tcPr>
    </w:tblStylePr>
    <w:tblStylePr w:type="band1Horz">
      <w:rPr>
        <w:color w:val="404040"/>
        <w:sz w:val="22"/>
      </w:rPr>
      <w:tblPr/>
      <w:tcPr>
        <w:tcBorders>
          <w:top w:val="single" w:sz="4" w:space="0" w:color="64E6FF" w:themeColor="accent1"/>
          <w:left w:val="single" w:sz="4" w:space="0" w:color="64E6FF" w:themeColor="accent1"/>
          <w:bottom w:val="single" w:sz="4" w:space="0" w:color="64E6FF" w:themeColor="accent1"/>
          <w:right w:val="single" w:sz="4" w:space="0" w:color="64E6FF" w:themeColor="accent1"/>
        </w:tcBorders>
      </w:tcPr>
    </w:tblStylePr>
  </w:style>
  <w:style w:type="table" w:customStyle="1" w:styleId="Bordered-Accent2">
    <w:name w:val="Bordered - Accent 2"/>
    <w:uiPriority w:val="99"/>
    <w:tblPr>
      <w:tblStyleRowBandSize w:val="1"/>
      <w:tblStyleColBandSize w:val="1"/>
      <w:tblBorders>
        <w:top w:val="single" w:sz="4" w:space="0" w:color="80D0FF" w:themeColor="accent2" w:themeTint="67"/>
        <w:left w:val="single" w:sz="4" w:space="0" w:color="80D0FF" w:themeColor="accent2" w:themeTint="67"/>
        <w:bottom w:val="single" w:sz="4" w:space="0" w:color="80D0FF" w:themeColor="accent2" w:themeTint="67"/>
        <w:right w:val="single" w:sz="4" w:space="0" w:color="80D0FF" w:themeColor="accent2" w:themeTint="67"/>
        <w:insideH w:val="single" w:sz="4" w:space="0" w:color="80D0FF" w:themeColor="accent2" w:themeTint="67"/>
        <w:insideV w:val="single" w:sz="4" w:space="0" w:color="80D0FF" w:themeColor="accent2" w:themeTint="67"/>
      </w:tblBorders>
      <w:tblCellMar>
        <w:top w:w="0" w:type="dxa"/>
        <w:left w:w="0" w:type="dxa"/>
        <w:bottom w:w="0" w:type="dxa"/>
        <w:right w:w="0" w:type="dxa"/>
      </w:tblCellMar>
    </w:tblPr>
    <w:tblStylePr w:type="firstRow">
      <w:rPr>
        <w:color w:val="404040"/>
        <w:sz w:val="22"/>
      </w:rPr>
      <w:tblPr/>
      <w:tcPr>
        <w:tcBorders>
          <w:bottom w:val="single" w:sz="12" w:space="0" w:color="007DC5" w:themeColor="accent2"/>
        </w:tcBorders>
      </w:tcPr>
    </w:tblStylePr>
    <w:tblStylePr w:type="lastRow">
      <w:rPr>
        <w:color w:val="404040"/>
        <w:sz w:val="22"/>
      </w:rPr>
      <w:tblPr/>
      <w:tcPr>
        <w:tcBorders>
          <w:top w:val="single" w:sz="12" w:space="0" w:color="007DC5" w:themeColor="accent2"/>
        </w:tcBorders>
      </w:tcPr>
    </w:tblStylePr>
    <w:tblStylePr w:type="firstCol">
      <w:rPr>
        <w:color w:val="404040"/>
        <w:sz w:val="22"/>
      </w:rPr>
    </w:tblStylePr>
    <w:tblStylePr w:type="lastCol">
      <w:rPr>
        <w:color w:val="404040"/>
        <w:sz w:val="22"/>
      </w:rPr>
      <w:tblPr/>
      <w:tcPr>
        <w:tcBorders>
          <w:left w:val="single" w:sz="12" w:space="0" w:color="007DC5" w:themeColor="accent2"/>
        </w:tcBorders>
      </w:tcPr>
    </w:tblStylePr>
    <w:tblStylePr w:type="band1Horz">
      <w:rPr>
        <w:color w:val="404040"/>
        <w:sz w:val="22"/>
      </w:rPr>
      <w:tblPr/>
      <w:tcPr>
        <w:tcBorders>
          <w:top w:val="single" w:sz="4" w:space="0" w:color="007DC5" w:themeColor="accent2"/>
          <w:left w:val="single" w:sz="4" w:space="0" w:color="007DC5" w:themeColor="accent2"/>
          <w:bottom w:val="single" w:sz="4" w:space="0" w:color="007DC5" w:themeColor="accent2"/>
          <w:right w:val="single" w:sz="4" w:space="0" w:color="007DC5" w:themeColor="accent2"/>
        </w:tcBorders>
      </w:tcPr>
    </w:tblStylePr>
  </w:style>
  <w:style w:type="table" w:customStyle="1" w:styleId="Bordered-Accent3">
    <w:name w:val="Bordered - Accent 3"/>
    <w:uiPriority w:val="99"/>
    <w:tblPr>
      <w:tblStyleRowBandSize w:val="1"/>
      <w:tblStyleColBandSize w:val="1"/>
      <w:tblBorders>
        <w:top w:val="single" w:sz="4" w:space="0" w:color="B19FE2" w:themeColor="accent3" w:themeTint="67"/>
        <w:left w:val="single" w:sz="4" w:space="0" w:color="B19FE2" w:themeColor="accent3" w:themeTint="67"/>
        <w:bottom w:val="single" w:sz="4" w:space="0" w:color="B19FE2" w:themeColor="accent3" w:themeTint="67"/>
        <w:right w:val="single" w:sz="4" w:space="0" w:color="B19FE2" w:themeColor="accent3" w:themeTint="67"/>
        <w:insideH w:val="single" w:sz="4" w:space="0" w:color="B19FE2" w:themeColor="accent3" w:themeTint="67"/>
        <w:insideV w:val="single" w:sz="4" w:space="0" w:color="B19FE2" w:themeColor="accent3" w:themeTint="67"/>
      </w:tblBorders>
      <w:tblCellMar>
        <w:top w:w="0" w:type="dxa"/>
        <w:left w:w="0" w:type="dxa"/>
        <w:bottom w:w="0" w:type="dxa"/>
        <w:right w:w="0" w:type="dxa"/>
      </w:tblCellMar>
    </w:tblPr>
    <w:tblStylePr w:type="firstRow">
      <w:rPr>
        <w:color w:val="404040"/>
        <w:sz w:val="22"/>
      </w:rPr>
      <w:tblPr/>
      <w:tcPr>
        <w:tcBorders>
          <w:bottom w:val="single" w:sz="12" w:space="0" w:color="4D2F9E" w:themeColor="accent3"/>
        </w:tcBorders>
      </w:tcPr>
    </w:tblStylePr>
    <w:tblStylePr w:type="lastRow">
      <w:rPr>
        <w:color w:val="404040"/>
        <w:sz w:val="22"/>
      </w:rPr>
      <w:tblPr/>
      <w:tcPr>
        <w:tcBorders>
          <w:top w:val="single" w:sz="12" w:space="0" w:color="4D2F9E" w:themeColor="accent3"/>
        </w:tcBorders>
      </w:tcPr>
    </w:tblStylePr>
    <w:tblStylePr w:type="firstCol">
      <w:rPr>
        <w:color w:val="404040"/>
        <w:sz w:val="22"/>
      </w:rPr>
    </w:tblStylePr>
    <w:tblStylePr w:type="lastCol">
      <w:rPr>
        <w:color w:val="404040"/>
        <w:sz w:val="22"/>
      </w:rPr>
      <w:tblPr/>
      <w:tcPr>
        <w:tcBorders>
          <w:left w:val="single" w:sz="12" w:space="0" w:color="4D2F9E" w:themeColor="accent3"/>
        </w:tcBorders>
      </w:tcPr>
    </w:tblStylePr>
    <w:tblStylePr w:type="band1Horz">
      <w:rPr>
        <w:color w:val="404040"/>
        <w:sz w:val="22"/>
      </w:rPr>
      <w:tblPr/>
      <w:tcPr>
        <w:tcBorders>
          <w:top w:val="single" w:sz="4" w:space="0" w:color="4D2F9E" w:themeColor="accent3"/>
          <w:left w:val="single" w:sz="4" w:space="0" w:color="4D2F9E" w:themeColor="accent3"/>
          <w:bottom w:val="single" w:sz="4" w:space="0" w:color="4D2F9E" w:themeColor="accent3"/>
          <w:right w:val="single" w:sz="4" w:space="0" w:color="4D2F9E" w:themeColor="accent3"/>
        </w:tcBorders>
      </w:tcPr>
    </w:tblStylePr>
  </w:style>
  <w:style w:type="table" w:customStyle="1" w:styleId="Bordered-Accent4">
    <w:name w:val="Bordered - Accent 4"/>
    <w:uiPriority w:val="99"/>
    <w:tblPr>
      <w:tblStyleRowBandSize w:val="1"/>
      <w:tblStyleColBandSize w:val="1"/>
      <w:tblBorders>
        <w:top w:val="single" w:sz="4" w:space="0" w:color="FF7DAC" w:themeColor="accent4" w:themeTint="67"/>
        <w:left w:val="single" w:sz="4" w:space="0" w:color="FF7DAC" w:themeColor="accent4" w:themeTint="67"/>
        <w:bottom w:val="single" w:sz="4" w:space="0" w:color="FF7DAC" w:themeColor="accent4" w:themeTint="67"/>
        <w:right w:val="single" w:sz="4" w:space="0" w:color="FF7DAC" w:themeColor="accent4" w:themeTint="67"/>
        <w:insideH w:val="single" w:sz="4" w:space="0" w:color="FF7DAC" w:themeColor="accent4" w:themeTint="67"/>
        <w:insideV w:val="single" w:sz="4" w:space="0" w:color="FF7DAC" w:themeColor="accent4" w:themeTint="67"/>
      </w:tblBorders>
      <w:tblCellMar>
        <w:top w:w="0" w:type="dxa"/>
        <w:left w:w="0" w:type="dxa"/>
        <w:bottom w:w="0" w:type="dxa"/>
        <w:right w:w="0" w:type="dxa"/>
      </w:tblCellMar>
    </w:tblPr>
    <w:tblStylePr w:type="firstRow">
      <w:rPr>
        <w:color w:val="404040"/>
        <w:sz w:val="22"/>
      </w:rPr>
      <w:tblPr/>
      <w:tcPr>
        <w:tcBorders>
          <w:bottom w:val="single" w:sz="12" w:space="0" w:color="BE0046" w:themeColor="accent4"/>
        </w:tcBorders>
      </w:tcPr>
    </w:tblStylePr>
    <w:tblStylePr w:type="lastRow">
      <w:rPr>
        <w:color w:val="404040"/>
        <w:sz w:val="22"/>
      </w:rPr>
      <w:tblPr/>
      <w:tcPr>
        <w:tcBorders>
          <w:top w:val="single" w:sz="12" w:space="0" w:color="BE0046" w:themeColor="accent4"/>
        </w:tcBorders>
      </w:tcPr>
    </w:tblStylePr>
    <w:tblStylePr w:type="firstCol">
      <w:rPr>
        <w:color w:val="404040"/>
        <w:sz w:val="22"/>
      </w:rPr>
    </w:tblStylePr>
    <w:tblStylePr w:type="lastCol">
      <w:rPr>
        <w:color w:val="404040"/>
        <w:sz w:val="22"/>
      </w:rPr>
      <w:tblPr/>
      <w:tcPr>
        <w:tcBorders>
          <w:left w:val="single" w:sz="12" w:space="0" w:color="BE0046" w:themeColor="accent4"/>
        </w:tcBorders>
      </w:tcPr>
    </w:tblStylePr>
    <w:tblStylePr w:type="band1Horz">
      <w:rPr>
        <w:color w:val="404040"/>
        <w:sz w:val="22"/>
      </w:rPr>
      <w:tblPr/>
      <w:tcPr>
        <w:tcBorders>
          <w:top w:val="single" w:sz="4" w:space="0" w:color="BE0046" w:themeColor="accent4"/>
          <w:left w:val="single" w:sz="4" w:space="0" w:color="BE0046" w:themeColor="accent4"/>
          <w:bottom w:val="single" w:sz="4" w:space="0" w:color="BE0046" w:themeColor="accent4"/>
          <w:right w:val="single" w:sz="4" w:space="0" w:color="BE0046" w:themeColor="accent4"/>
        </w:tcBorders>
      </w:tcPr>
    </w:tblStylePr>
  </w:style>
  <w:style w:type="table" w:customStyle="1" w:styleId="Bordered-Accent5">
    <w:name w:val="Bordered - Accent 5"/>
    <w:uiPriority w:val="99"/>
    <w:tblPr>
      <w:tblStyleRowBandSize w:val="1"/>
      <w:tblStyleColBandSize w:val="1"/>
      <w:tblBorders>
        <w:top w:val="single" w:sz="4" w:space="0" w:color="FFB58F" w:themeColor="accent5" w:themeTint="67"/>
        <w:left w:val="single" w:sz="4" w:space="0" w:color="FFB58F" w:themeColor="accent5" w:themeTint="67"/>
        <w:bottom w:val="single" w:sz="4" w:space="0" w:color="FFB58F" w:themeColor="accent5" w:themeTint="67"/>
        <w:right w:val="single" w:sz="4" w:space="0" w:color="FFB58F" w:themeColor="accent5" w:themeTint="67"/>
        <w:insideH w:val="single" w:sz="4" w:space="0" w:color="FFB58F" w:themeColor="accent5" w:themeTint="67"/>
        <w:insideV w:val="single" w:sz="4" w:space="0" w:color="FFB58F" w:themeColor="accent5" w:themeTint="67"/>
      </w:tblBorders>
      <w:tblCellMar>
        <w:top w:w="0" w:type="dxa"/>
        <w:left w:w="0" w:type="dxa"/>
        <w:bottom w:w="0" w:type="dxa"/>
        <w:right w:w="0" w:type="dxa"/>
      </w:tblCellMar>
    </w:tblPr>
    <w:tblStylePr w:type="firstRow">
      <w:rPr>
        <w:color w:val="404040"/>
        <w:sz w:val="22"/>
      </w:rPr>
      <w:tblPr/>
      <w:tcPr>
        <w:tcBorders>
          <w:bottom w:val="single" w:sz="12" w:space="0" w:color="EB5000" w:themeColor="accent5"/>
        </w:tcBorders>
      </w:tcPr>
    </w:tblStylePr>
    <w:tblStylePr w:type="lastRow">
      <w:rPr>
        <w:color w:val="404040"/>
        <w:sz w:val="22"/>
      </w:rPr>
      <w:tblPr/>
      <w:tcPr>
        <w:tcBorders>
          <w:top w:val="single" w:sz="12" w:space="0" w:color="EB5000" w:themeColor="accent5"/>
        </w:tcBorders>
      </w:tcPr>
    </w:tblStylePr>
    <w:tblStylePr w:type="firstCol">
      <w:rPr>
        <w:color w:val="404040"/>
        <w:sz w:val="22"/>
      </w:rPr>
    </w:tblStylePr>
    <w:tblStylePr w:type="lastCol">
      <w:rPr>
        <w:color w:val="404040"/>
        <w:sz w:val="22"/>
      </w:rPr>
      <w:tblPr/>
      <w:tcPr>
        <w:tcBorders>
          <w:left w:val="single" w:sz="12" w:space="0" w:color="EB5000" w:themeColor="accent5"/>
        </w:tcBorders>
      </w:tcPr>
    </w:tblStylePr>
    <w:tblStylePr w:type="band1Horz">
      <w:rPr>
        <w:color w:val="404040"/>
        <w:sz w:val="22"/>
      </w:rPr>
      <w:tblPr/>
      <w:tcPr>
        <w:tcBorders>
          <w:top w:val="single" w:sz="4" w:space="0" w:color="EB5000" w:themeColor="accent5"/>
          <w:left w:val="single" w:sz="4" w:space="0" w:color="EB5000" w:themeColor="accent5"/>
          <w:bottom w:val="single" w:sz="4" w:space="0" w:color="EB5000" w:themeColor="accent5"/>
          <w:right w:val="single" w:sz="4" w:space="0" w:color="EB5000" w:themeColor="accent5"/>
        </w:tcBorders>
      </w:tcPr>
    </w:tblStylePr>
  </w:style>
  <w:style w:type="table" w:customStyle="1" w:styleId="Bordered-Accent6">
    <w:name w:val="Bordered - Accent 6"/>
    <w:uiPriority w:val="99"/>
    <w:tblPr>
      <w:tblStyleRowBandSize w:val="1"/>
      <w:tblStyleColBandSize w:val="1"/>
      <w:tblBorders>
        <w:top w:val="single" w:sz="4" w:space="0" w:color="FFF498" w:themeColor="accent6" w:themeTint="67"/>
        <w:left w:val="single" w:sz="4" w:space="0" w:color="FFF498" w:themeColor="accent6" w:themeTint="67"/>
        <w:bottom w:val="single" w:sz="4" w:space="0" w:color="FFF498" w:themeColor="accent6" w:themeTint="67"/>
        <w:right w:val="single" w:sz="4" w:space="0" w:color="FFF498" w:themeColor="accent6" w:themeTint="67"/>
        <w:insideH w:val="single" w:sz="4" w:space="0" w:color="FFF498" w:themeColor="accent6" w:themeTint="67"/>
        <w:insideV w:val="single" w:sz="4" w:space="0" w:color="FFF498" w:themeColor="accent6" w:themeTint="67"/>
      </w:tblBorders>
      <w:tblCellMar>
        <w:top w:w="0" w:type="dxa"/>
        <w:left w:w="0" w:type="dxa"/>
        <w:bottom w:w="0" w:type="dxa"/>
        <w:right w:w="0" w:type="dxa"/>
      </w:tblCellMar>
    </w:tblPr>
    <w:tblStylePr w:type="firstRow">
      <w:rPr>
        <w:color w:val="404040"/>
        <w:sz w:val="22"/>
      </w:rPr>
      <w:tblPr/>
      <w:tcPr>
        <w:tcBorders>
          <w:bottom w:val="single" w:sz="12" w:space="0" w:color="FFE600" w:themeColor="accent6"/>
        </w:tcBorders>
      </w:tcPr>
    </w:tblStylePr>
    <w:tblStylePr w:type="lastRow">
      <w:rPr>
        <w:color w:val="404040"/>
        <w:sz w:val="22"/>
      </w:rPr>
      <w:tblPr/>
      <w:tcPr>
        <w:tcBorders>
          <w:top w:val="single" w:sz="12" w:space="0" w:color="FFE600" w:themeColor="accent6"/>
        </w:tcBorders>
      </w:tcPr>
    </w:tblStylePr>
    <w:tblStylePr w:type="firstCol">
      <w:rPr>
        <w:color w:val="404040"/>
        <w:sz w:val="22"/>
      </w:rPr>
    </w:tblStylePr>
    <w:tblStylePr w:type="lastCol">
      <w:rPr>
        <w:color w:val="404040"/>
        <w:sz w:val="22"/>
      </w:rPr>
      <w:tblPr/>
      <w:tcPr>
        <w:tcBorders>
          <w:left w:val="single" w:sz="12" w:space="0" w:color="FFE600" w:themeColor="accent6"/>
        </w:tcBorders>
      </w:tcPr>
    </w:tblStylePr>
    <w:tblStylePr w:type="band1Horz">
      <w:rPr>
        <w:color w:val="404040"/>
        <w:sz w:val="22"/>
      </w:rPr>
      <w:tblPr/>
      <w:tcPr>
        <w:tcBorders>
          <w:top w:val="single" w:sz="4" w:space="0" w:color="FFE600" w:themeColor="accent6"/>
          <w:left w:val="single" w:sz="4" w:space="0" w:color="FFE600" w:themeColor="accent6"/>
          <w:bottom w:val="single" w:sz="4" w:space="0" w:color="FFE600" w:themeColor="accent6"/>
          <w:right w:val="single" w:sz="4" w:space="0" w:color="FFE600" w:themeColor="accent6"/>
        </w:tcBorders>
      </w:tcPr>
    </w:tblStylePr>
  </w:style>
  <w:style w:type="character" w:styleId="PlaceholderText">
    <w:name w:val="Placeholder Text"/>
    <w:basedOn w:val="DefaultParagraphFont"/>
    <w:uiPriority w:val="99"/>
    <w:semiHidden/>
    <w:rsid w:val="00125447"/>
    <w:rPr>
      <w:color w:val="666666"/>
    </w:rPr>
  </w:style>
  <w:style w:type="paragraph" w:styleId="NormalWeb">
    <w:name w:val="Normal (Web)"/>
    <w:basedOn w:val="Normal"/>
    <w:uiPriority w:val="99"/>
    <w:semiHidden/>
    <w:unhideWhenUsed/>
    <w:rsid w:val="00A05565"/>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52619">
      <w:bodyDiv w:val="1"/>
      <w:marLeft w:val="0"/>
      <w:marRight w:val="0"/>
      <w:marTop w:val="0"/>
      <w:marBottom w:val="0"/>
      <w:divBdr>
        <w:top w:val="none" w:sz="0" w:space="0" w:color="auto"/>
        <w:left w:val="none" w:sz="0" w:space="0" w:color="auto"/>
        <w:bottom w:val="none" w:sz="0" w:space="0" w:color="auto"/>
        <w:right w:val="none" w:sz="0" w:space="0" w:color="auto"/>
      </w:divBdr>
    </w:div>
    <w:div w:id="86270368">
      <w:bodyDiv w:val="1"/>
      <w:marLeft w:val="0"/>
      <w:marRight w:val="0"/>
      <w:marTop w:val="0"/>
      <w:marBottom w:val="0"/>
      <w:divBdr>
        <w:top w:val="none" w:sz="0" w:space="0" w:color="auto"/>
        <w:left w:val="none" w:sz="0" w:space="0" w:color="auto"/>
        <w:bottom w:val="none" w:sz="0" w:space="0" w:color="auto"/>
        <w:right w:val="none" w:sz="0" w:space="0" w:color="auto"/>
      </w:divBdr>
    </w:div>
    <w:div w:id="220947603">
      <w:bodyDiv w:val="1"/>
      <w:marLeft w:val="0"/>
      <w:marRight w:val="0"/>
      <w:marTop w:val="0"/>
      <w:marBottom w:val="0"/>
      <w:divBdr>
        <w:top w:val="none" w:sz="0" w:space="0" w:color="auto"/>
        <w:left w:val="none" w:sz="0" w:space="0" w:color="auto"/>
        <w:bottom w:val="none" w:sz="0" w:space="0" w:color="auto"/>
        <w:right w:val="none" w:sz="0" w:space="0" w:color="auto"/>
      </w:divBdr>
    </w:div>
    <w:div w:id="554240128">
      <w:bodyDiv w:val="1"/>
      <w:marLeft w:val="0"/>
      <w:marRight w:val="0"/>
      <w:marTop w:val="0"/>
      <w:marBottom w:val="0"/>
      <w:divBdr>
        <w:top w:val="none" w:sz="0" w:space="0" w:color="auto"/>
        <w:left w:val="none" w:sz="0" w:space="0" w:color="auto"/>
        <w:bottom w:val="none" w:sz="0" w:space="0" w:color="auto"/>
        <w:right w:val="none" w:sz="0" w:space="0" w:color="auto"/>
      </w:divBdr>
    </w:div>
    <w:div w:id="802427220">
      <w:bodyDiv w:val="1"/>
      <w:marLeft w:val="0"/>
      <w:marRight w:val="0"/>
      <w:marTop w:val="0"/>
      <w:marBottom w:val="0"/>
      <w:divBdr>
        <w:top w:val="none" w:sz="0" w:space="0" w:color="auto"/>
        <w:left w:val="none" w:sz="0" w:space="0" w:color="auto"/>
        <w:bottom w:val="none" w:sz="0" w:space="0" w:color="auto"/>
        <w:right w:val="none" w:sz="0" w:space="0" w:color="auto"/>
      </w:divBdr>
    </w:div>
    <w:div w:id="869879083">
      <w:bodyDiv w:val="1"/>
      <w:marLeft w:val="0"/>
      <w:marRight w:val="0"/>
      <w:marTop w:val="0"/>
      <w:marBottom w:val="0"/>
      <w:divBdr>
        <w:top w:val="none" w:sz="0" w:space="0" w:color="auto"/>
        <w:left w:val="none" w:sz="0" w:space="0" w:color="auto"/>
        <w:bottom w:val="none" w:sz="0" w:space="0" w:color="auto"/>
        <w:right w:val="none" w:sz="0" w:space="0" w:color="auto"/>
      </w:divBdr>
    </w:div>
    <w:div w:id="884371892">
      <w:bodyDiv w:val="1"/>
      <w:marLeft w:val="0"/>
      <w:marRight w:val="0"/>
      <w:marTop w:val="0"/>
      <w:marBottom w:val="0"/>
      <w:divBdr>
        <w:top w:val="none" w:sz="0" w:space="0" w:color="auto"/>
        <w:left w:val="none" w:sz="0" w:space="0" w:color="auto"/>
        <w:bottom w:val="none" w:sz="0" w:space="0" w:color="auto"/>
        <w:right w:val="none" w:sz="0" w:space="0" w:color="auto"/>
      </w:divBdr>
    </w:div>
    <w:div w:id="1193299258">
      <w:bodyDiv w:val="1"/>
      <w:marLeft w:val="0"/>
      <w:marRight w:val="0"/>
      <w:marTop w:val="0"/>
      <w:marBottom w:val="0"/>
      <w:divBdr>
        <w:top w:val="none" w:sz="0" w:space="0" w:color="auto"/>
        <w:left w:val="none" w:sz="0" w:space="0" w:color="auto"/>
        <w:bottom w:val="none" w:sz="0" w:space="0" w:color="auto"/>
        <w:right w:val="none" w:sz="0" w:space="0" w:color="auto"/>
      </w:divBdr>
    </w:div>
    <w:div w:id="1303535210">
      <w:bodyDiv w:val="1"/>
      <w:marLeft w:val="0"/>
      <w:marRight w:val="0"/>
      <w:marTop w:val="0"/>
      <w:marBottom w:val="0"/>
      <w:divBdr>
        <w:top w:val="none" w:sz="0" w:space="0" w:color="auto"/>
        <w:left w:val="none" w:sz="0" w:space="0" w:color="auto"/>
        <w:bottom w:val="none" w:sz="0" w:space="0" w:color="auto"/>
        <w:right w:val="none" w:sz="0" w:space="0" w:color="auto"/>
      </w:divBdr>
    </w:div>
    <w:div w:id="1514756411">
      <w:bodyDiv w:val="1"/>
      <w:marLeft w:val="0"/>
      <w:marRight w:val="0"/>
      <w:marTop w:val="0"/>
      <w:marBottom w:val="0"/>
      <w:divBdr>
        <w:top w:val="none" w:sz="0" w:space="0" w:color="auto"/>
        <w:left w:val="none" w:sz="0" w:space="0" w:color="auto"/>
        <w:bottom w:val="none" w:sz="0" w:space="0" w:color="auto"/>
        <w:right w:val="none" w:sz="0" w:space="0" w:color="auto"/>
      </w:divBdr>
    </w:div>
    <w:div w:id="1595281619">
      <w:bodyDiv w:val="1"/>
      <w:marLeft w:val="0"/>
      <w:marRight w:val="0"/>
      <w:marTop w:val="0"/>
      <w:marBottom w:val="0"/>
      <w:divBdr>
        <w:top w:val="none" w:sz="0" w:space="0" w:color="auto"/>
        <w:left w:val="none" w:sz="0" w:space="0" w:color="auto"/>
        <w:bottom w:val="none" w:sz="0" w:space="0" w:color="auto"/>
        <w:right w:val="none" w:sz="0" w:space="0" w:color="auto"/>
      </w:divBdr>
    </w:div>
    <w:div w:id="1799645951">
      <w:bodyDiv w:val="1"/>
      <w:marLeft w:val="0"/>
      <w:marRight w:val="0"/>
      <w:marTop w:val="0"/>
      <w:marBottom w:val="0"/>
      <w:divBdr>
        <w:top w:val="none" w:sz="0" w:space="0" w:color="auto"/>
        <w:left w:val="none" w:sz="0" w:space="0" w:color="auto"/>
        <w:bottom w:val="none" w:sz="0" w:space="0" w:color="auto"/>
        <w:right w:val="none" w:sz="0" w:space="0" w:color="auto"/>
      </w:divBdr>
    </w:div>
    <w:div w:id="1962302419">
      <w:bodyDiv w:val="1"/>
      <w:marLeft w:val="0"/>
      <w:marRight w:val="0"/>
      <w:marTop w:val="0"/>
      <w:marBottom w:val="0"/>
      <w:divBdr>
        <w:top w:val="none" w:sz="0" w:space="0" w:color="auto"/>
        <w:left w:val="none" w:sz="0" w:space="0" w:color="auto"/>
        <w:bottom w:val="none" w:sz="0" w:space="0" w:color="auto"/>
        <w:right w:val="none" w:sz="0" w:space="0" w:color="auto"/>
      </w:divBdr>
    </w:div>
    <w:div w:id="202447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anish-Fav">
  <a:themeElements>
    <a:clrScheme name="Manish-Fav">
      <a:dk1>
        <a:sysClr val="windowText" lastClr="000000"/>
      </a:dk1>
      <a:lt1>
        <a:sysClr val="window" lastClr="FFFFFF"/>
      </a:lt1>
      <a:dk2>
        <a:srgbClr val="1E2323"/>
      </a:dk2>
      <a:lt2>
        <a:srgbClr val="F4F3F9"/>
      </a:lt2>
      <a:accent1>
        <a:srgbClr val="64E6FF"/>
      </a:accent1>
      <a:accent2>
        <a:srgbClr val="007DC5"/>
      </a:accent2>
      <a:accent3>
        <a:srgbClr val="4D2F9E"/>
      </a:accent3>
      <a:accent4>
        <a:srgbClr val="BE0046"/>
      </a:accent4>
      <a:accent5>
        <a:srgbClr val="EB5000"/>
      </a:accent5>
      <a:accent6>
        <a:srgbClr val="FFE600"/>
      </a:accent6>
      <a:hlink>
        <a:srgbClr val="007DC5"/>
      </a:hlink>
      <a:folHlink>
        <a:srgbClr val="005B9C"/>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10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FE2A72-F5B6-45E7-B330-7970D6834A70}">
  <we:reference id="wa200000011" version="1.0.1.0" store="en-US" storeType="OMEX"/>
  <we:alternateReferences>
    <we:reference id="WA200000011" version="1.0.1.0" store="" storeType="OMEX"/>
  </we:alternateReferences>
  <we:properties>
    <we:property name="theme" value="&quot;Googlecode&quot;"/>
    <we:property name="language" value="&quot;Pytho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FB5D0-0E22-48E4-B442-D26FE806C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13</Pages>
  <Words>3487</Words>
  <Characters>19879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Generative AI Notes</vt:lpstr>
    </vt:vector>
  </TitlesOfParts>
  <Company/>
  <LinksUpToDate>false</LinksUpToDate>
  <CharactersWithSpaces>23320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Generative AI Notes</dc:title>
  <dc:subject>Notes from various Generative AI courses</dc:subject>
  <dc:creator>Manish Bhobe</dc:creator>
  <cp:keywords>#GenAI</cp:keywords>
  <dc:description/>
  <cp:lastModifiedBy>Manish Bhobe</cp:lastModifiedBy>
  <cp:revision>80</cp:revision>
  <dcterms:created xsi:type="dcterms:W3CDTF">2023-07-22T23:35:00Z</dcterms:created>
  <dcterms:modified xsi:type="dcterms:W3CDTF">2024-09-17T15:14:00Z</dcterms:modified>
  <dc:language>en-IN</dc:language>
</cp:coreProperties>
</file>