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odyText"/>
      </w:pPr>
      <w:r>
        <w:rPr>
          <w:i/>
          <w:iCs/>
        </w:rPr>
        <w:t xml:space="preserve">Version 1.5 — April 2026. Released under the Mozilla Public License 2.0 as a composite measurement instrument with companion scoring methodology and open dashboard at justack.ai/borovoy.</w:t>
      </w:r>
    </w:p>
    <w:bookmarkEnd w:id="9"/>
    <w:bookmarkStart w:id="11"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His diagnostic method was an intent-effect analysis — asking whether a statute’s observed operation matched the purpose its preamble declared — and he carried it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admitting a common structural treatment for regulatory and machine-learning settings alike.</w:t>
      </w:r>
      <w:r>
        <w:rPr>
          <w:rStyle w:val="FootnoteReference"/>
        </w:rPr>
        <w:footnoteReference w:id="10"/>
      </w:r>
      <w:r>
        <w:t xml:space="preserve"> </w:t>
      </w:r>
      <w:r>
        <w:t xml:space="preserve">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w:t>
      </w:r>
    </w:p>
    <w:p>
      <w:pPr>
        <w:pStyle w:val="BodyText"/>
      </w:pPr>
      <w:r>
        <w:t xml:space="preserve">The Borovoy Coefficient is a 0-to-100 composite measure across five dimensions, each grounded in recognized constitutional doctrine (Canadian, US, and UK) and in the machine-learning alignment taxonomy. It scores legislation on the intent-effect gap. I apply it to fifteen representative laws as a prototype corpus. The paper concludes with five prospective drafting reforms — the Borovoy drafting principles — that would reduce Coefficients at source: sunset clauses, purpose-effect reporting, disparate-impact dashboards, narrowing presumptions, and independent oversight bodies with hard powers.</w:t>
      </w:r>
    </w:p>
    <w:p>
      <w:pPr>
        <w:pStyle w:val="BlockText"/>
      </w:pPr>
      <w:r>
        <w:rPr>
          <w:b/>
          <w:bCs/>
        </w:rPr>
        <w:t xml:space="preserve">Attribution of</w:t>
      </w:r>
      <w:r>
        <w:rPr>
          <w:b/>
          <w:bCs/>
        </w:rPr>
        <w:t xml:space="preserve"> </w:t>
      </w:r>
      <w:r>
        <w:rPr>
          <w:b/>
          <w:bCs/>
        </w:rPr>
        <w:t xml:space="preserve">“Borovoy’s Law”</w:t>
      </w:r>
      <w:r>
        <w:rPr>
          <w:b/>
          <w:bCs/>
        </w:rPr>
        <w:t xml:space="preserve"> </w:t>
      </w:r>
      <w:r>
        <w:rPr>
          <w:b/>
          <w:bCs/>
        </w:rPr>
        <w:t xml:space="preserve">and the archery metaphor.</w:t>
      </w:r>
      <w:r>
        <w:t xml:space="preserve"> </w:t>
      </w:r>
      <w:r>
        <w:t xml:space="preserve">The phrasing</w:t>
      </w:r>
      <w:r>
        <w:t xml:space="preserve"> </w:t>
      </w:r>
      <w:r>
        <w:t xml:space="preserve">“Borovoy’s Law”</w:t>
      </w:r>
      <w:r>
        <w:t xml:space="preserve"> </w:t>
      </w:r>
      <w:r>
        <w:t xml:space="preserve">— and the archery/bullseye metaphor that accompanies it — is the present author’s framing, first deployed in a Massey College / University of Toronto privacy class (2020) and developed at the McGill Faculty of Law</w:t>
      </w:r>
      <w:r>
        <w:t xml:space="preserve"> </w:t>
      </w:r>
      <w:r>
        <w:t xml:space="preserve">“Pandemic Litigation”</w:t>
      </w:r>
      <w:r>
        <w:t xml:space="preserve"> </w:t>
      </w:r>
      <w:r>
        <w:t xml:space="preserve">lecture (9 November 2021). Alan Borovoy himself did not use the</w:t>
      </w:r>
      <w:r>
        <w:t xml:space="preserve"> </w:t>
      </w:r>
      <w:r>
        <w:t xml:space="preserve">“miss the mark”</w:t>
      </w:r>
      <w:r>
        <w:t xml:space="preserve"> </w:t>
      </w:r>
      <w:r>
        <w:t xml:space="preserve">or</w:t>
      </w:r>
      <w:r>
        <w:t xml:space="preserve"> </w:t>
      </w:r>
      <w:r>
        <w:t xml:space="preserve">“bullseye”</w:t>
      </w:r>
      <w:r>
        <w:t xml:space="preserve"> </w:t>
      </w:r>
      <w:r>
        <w:t xml:space="preserve">vocabulary in his five books; his own verbatim idiom favoured</w:t>
      </w:r>
      <w:r>
        <w:t xml:space="preserve"> </w:t>
      </w:r>
      <w:r>
        <w:t xml:space="preserve">“too broad,”</w:t>
      </w:r>
      <w:r>
        <w:t xml:space="preserve"> </w:t>
      </w:r>
      <w:r>
        <w:t xml:space="preserve">“vagueness,”</w:t>
      </w:r>
      <w:r>
        <w:t xml:space="preserve"> </w:t>
      </w:r>
      <w:r>
        <w:t xml:space="preserve">and the intent-vs-effect distinction canonized in his Bill C-36 Senate testimony (24 October 2001).</w:t>
      </w:r>
    </w:p>
    <w:bookmarkEnd w:id="11"/>
    <w:bookmarkStart w:id="22" w:name="i.-the-borovoy-problem"/>
    <w:p>
      <w:pPr>
        <w:pStyle w:val="Heading2"/>
      </w:pPr>
      <w:r>
        <w:t xml:space="preserve">I. The Borovoy Problem</w:t>
      </w:r>
    </w:p>
    <w:p>
      <w:pPr>
        <w:pStyle w:val="FirstParagraph"/>
      </w:pPr>
      <w:r>
        <w:t xml:space="preserve">While reading Brian Christian’s</w:t>
      </w:r>
      <w:r>
        <w:t xml:space="preserve"> </w:t>
      </w:r>
      <w:r>
        <w:rPr>
          <w:i/>
          <w:iCs/>
        </w:rPr>
        <w:t xml:space="preserve">The Alignment Problem</w:t>
      </w:r>
      <w:r>
        <w:t xml:space="preserve">,</w:t>
      </w:r>
      <w:r>
        <w:rPr>
          <w:rStyle w:val="FootnoteReference"/>
        </w:rPr>
        <w:footnoteReference w:id="12"/>
      </w:r>
      <w:r>
        <w:t xml:space="preserve"> </w:t>
      </w:r>
      <w:r>
        <w:t xml:space="preserve">a parallel from another discipline came to mind. I was taken back to a 2020 conversation with Cara Zwibel, a colleague at the Canadian Civil Liberties Association (CCLA), discussing Alan Borovoy, the long-time leader of CCLA, with whom Cara worked near his retirement. I have long observed that Borovoy defied traditional categorization, and his own writings resist doctrinal summation. His many books, articles, speeches and formal submissions to official bodies are pure legal discourse, advocacy, and he never sums up either his approach or that of the Canadian Civil Liberties Association, which I led from 2018-22. He led it from 1968-2009. Zwibel credited Borovoy for saying that laws borne out of public angst tend to miss the mark, never hitting a bullseye, by matching purpose with effect. But attributing this to Borovoy is frustrated by his refusal to articulate a doctrine himself, notwithstanding a large corpus of Borovoy publications, legal facta, and CCLA’s jurisprudential contributions. To put it into terms well known to science, Borovoy’s lab made unprecedented contributions to Canadian jurisprudence, laws and public affairs. As he did put it, after some aggressive prodding by a skilled journalist,</w:t>
      </w:r>
      <w:r>
        <w:t xml:space="preserve"> </w:t>
      </w:r>
      <w:r>
        <w:t xml:space="preserve">“our whole mandate is to change the law.”</w:t>
      </w:r>
      <w:r>
        <w:rPr>
          <w:rStyle w:val="FootnoteReference"/>
        </w:rPr>
        <w:footnoteReference w:id="13"/>
      </w:r>
    </w:p>
    <w:p>
      <w:pPr>
        <w:pStyle w:val="BodyText"/>
      </w:pPr>
      <w:r>
        <w:t xml:space="preserve">Inspired by Borovoy and his learned translator, Zwibel, I began using this formulation, with attribution, in my own speeches and publications on behalf of CCLA.</w:t>
      </w:r>
      <w:r>
        <w:rPr>
          <w:rStyle w:val="FootnoteReference"/>
        </w:rPr>
        <w:footnoteReference w:id="14"/>
      </w:r>
      <w:r>
        <w:t xml:space="preserve"> </w:t>
      </w:r>
      <w:r>
        <w:t xml:space="preserve">As one can see from some illustrations on CCLA’s web page, the formulation would up being characterized as government’s missing the mark, or missing the bullseye. As often happens, that articulation, at the behest of Borovoy, became how I thought of the Borovoy doctrine. However, when I sought citations for this point, I eventually began to question my attribution to Borovoy of this phrase, summed up in the Greek</w:t>
      </w:r>
      <w:r>
        <w:t xml:space="preserve"> </w:t>
      </w:r>
      <w:r>
        <w:rPr>
          <w:i/>
          <w:iCs/>
        </w:rPr>
        <w:t xml:space="preserve">hamartia</w:t>
      </w:r>
      <w:r>
        <w:t xml:space="preserve">: missing the mark. Put another way, I had, cognitively, hallucinated the citation of Borovoy for the</w:t>
      </w:r>
      <w:r>
        <w:t xml:space="preserve"> </w:t>
      </w:r>
      <w:r>
        <w:rPr>
          <w:i/>
          <w:iCs/>
        </w:rPr>
        <w:t xml:space="preserve">hamartia</w:t>
      </w:r>
      <w:r>
        <w:t xml:space="preserve"> </w:t>
      </w:r>
      <w:r>
        <w:t xml:space="preserve">version of public overreach.</w:t>
      </w:r>
    </w:p>
    <w:p>
      <w:pPr>
        <w:pStyle w:val="BodyText"/>
      </w:pPr>
      <w:r>
        <w:t xml:space="preserve">Sound familiar? Besides the human brain’s capacity to</w:t>
      </w:r>
      <w:r>
        <w:t xml:space="preserve"> </w:t>
      </w:r>
      <w:r>
        <w:t xml:space="preserve">‘hallucinate’</w:t>
      </w:r>
      <w:r>
        <w:t xml:space="preserve"> </w:t>
      </w:r>
      <w:r>
        <w:t xml:space="preserve">a result (quite literally, as the only citations I could find to Borovoy and</w:t>
      </w:r>
      <w:r>
        <w:t xml:space="preserve"> </w:t>
      </w:r>
      <w:r>
        <w:t xml:space="preserve">‘missing the mark’</w:t>
      </w:r>
      <w:r>
        <w:t xml:space="preserve"> </w:t>
      </w:r>
      <w:r>
        <w:t xml:space="preserve">were citations of the author Michael Bryant!), large language models became infamous for hallucinations after OpenAI’s chatbot changed the world in late 2022. The error of citing a secondary source as an original source for which there is no original source: this is the type of error, often lumped into phrase hallucination by the media, for which scholars and LLMs are rarely guilty, but imperfect they both are.</w:t>
      </w:r>
    </w:p>
    <w:p>
      <w:pPr>
        <w:pStyle w:val="BodyText"/>
      </w:pPr>
      <w:r>
        <w:t xml:space="preserve">Error is pervasive in every epistemic enterprise: biomedical papers misquote a cited authority in 15% of references, social-science findings replicate at rates between 36% and 62%, U.S. newspapers contain objective factual errors in roughly half of stories, and large language models hallucinate on anywhere between 17% (retrieval-augmented legal tools) and 88% (bare models on specific-case legal queries).</w:t>
      </w:r>
      <w:r>
        <w:rPr>
          <w:rStyle w:val="FootnoteReference"/>
        </w:rPr>
        <w:footnoteReference w:id="15"/>
      </w:r>
      <w:r>
        <w:t xml:space="preserve"> </w:t>
      </w:r>
      <w:r>
        <w:t xml:space="preserve">The meaningful observation is not that LLMs err — both LLMs and humans do, at rates of the same order of magnitude — but that LLM errors are reproducible, auditable, and inter-model-verifiable by construction, while peer review catches only about one-third of deliberately inserted major methodological errors even when reviewers are specifically trained for the task.</w:t>
      </w:r>
      <w:r>
        <w:rPr>
          <w:rStyle w:val="FootnoteReference"/>
        </w:rPr>
        <w:footnoteReference w:id="16"/>
      </w:r>
      <w:r>
        <w:t xml:space="preserve"> </w:t>
      </w:r>
      <w:r>
        <w:t xml:space="preserve">It is therefore at least arguable that a well-instrumented LLM pipeline has a clearer path to catching its own errors than the human scholarly ecosystem has historically achieved at catching its own.</w:t>
      </w:r>
    </w:p>
    <w:p>
      <w:pPr>
        <w:pStyle w:val="BodyText"/>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w:t>
      </w:r>
      <w:r>
        <w:rPr>
          <w:rStyle w:val="FootnoteReference"/>
        </w:rPr>
        <w:footnoteReference w:id="17"/>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w:t>
      </w:r>
      <w:r>
        <w:rPr>
          <w:rStyle w:val="FootnoteReference"/>
        </w:rPr>
        <w:footnoteReference w:id="18"/>
      </w:r>
    </w:p>
    <w:p>
      <w:pPr>
        <w:pStyle w:val="FirstParagraph"/>
      </w:pPr>
      <w:r>
        <w:t xml:space="preserve">Borovoy’s diagnostic frame amounts to an intent-effect analysis applied to the most dangerous class of statutes — those enacted in the aftermath of a public crisis, with broad definitional language, and entrusted to judicial rather than parliamentary oversight. He carried this frame from the War Measures Act invocation of October 1970, when CCLA was alone among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rPr>
          <w:rStyle w:val="FootnoteReference"/>
        </w:rPr>
        <w:footnoteReference w:id="19"/>
      </w:r>
    </w:p>
    <w:p>
      <w:pPr>
        <w:pStyle w:val="BodyText"/>
      </w:pPr>
      <w:r>
        <w:t xml:space="preserve">This is the architecture of Borovoy’s critique. A noble or urgent purpose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w:t>
      </w:r>
      <w:r>
        <w:t xml:space="preserve"> </w:t>
      </w:r>
      <w:r>
        <w:rPr>
          <w:i/>
          <w:iCs/>
        </w:rPr>
        <w:t xml:space="preserve">Canadian Human Rights Act</w:t>
      </w:r>
      <w:r>
        <w:t xml:space="preserve">, RSC 1985, c H-6, was repealed by Parliament in June 2014.</w:t>
      </w:r>
      <w:r>
        <w:rPr>
          <w:rStyle w:val="FootnoteReference"/>
        </w:rPr>
        <w:footnoteReference w:id="20"/>
      </w:r>
      <w:r>
        <w:t xml:space="preserve"> </w:t>
      </w:r>
      <w:r>
        <w:t xml:space="preserve">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w:t>
      </w:r>
      <w:r>
        <w:rPr>
          <w:rStyle w:val="FootnoteReference"/>
        </w:rPr>
        <w:footnoteReference w:id="21"/>
      </w:r>
      <w:r>
        <w:t xml:space="preserve"> </w:t>
      </w:r>
      <w:r>
        <w:t xml:space="preserve">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bookmarkEnd w:id="22"/>
    <w:bookmarkStart w:id="34" w:name="ii.-the-alignment-problem-a-brief-primer"/>
    <w:p>
      <w:pPr>
        <w:pStyle w:val="Heading2"/>
      </w:pPr>
      <w:r>
        <w:t xml:space="preserve">II. The Alignment Problem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w:t>
      </w:r>
      <w:r>
        <w:rPr>
          <w:rStyle w:val="FootnoteReference"/>
        </w:rPr>
        <w:footnoteReference w:id="23"/>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rPr>
          <w:rStyle w:val="FootnoteReference"/>
        </w:rPr>
        <w:footnoteReference w:id="24"/>
      </w:r>
      <w:r>
        <w:t xml:space="preserve"> </w:t>
      </w:r>
      <w:r>
        <w:t xml:space="preserve">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w:t>
      </w:r>
      <w:r>
        <w:rPr>
          <w:rStyle w:val="FootnoteReference"/>
        </w:rPr>
        <w:footnoteReference w:id="25"/>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Everyone but computer scientists, including myself, requires elaboration on point. When an optimizer (a neural network, a regulatory agency, a legislative drafter) is given an objective function or statute that compresses a rich human goal into a simpler measurable proxy</w:t>
      </w:r>
      <w:r>
        <w:t xml:space="preserve"> </w:t>
      </w:r>
      <w:r>
        <w:rPr>
          <w:i/>
          <w:iCs/>
        </w:rPr>
        <w:t xml:space="preserve">and</w:t>
      </w:r>
      <w:r>
        <w:t xml:space="preserve"> </w:t>
      </w:r>
      <w:r>
        <w:t xml:space="preserve">is then turned loose to optimize that proxy with enough power to find edge cases, two kinds of failure emerge: (1)</w:t>
      </w:r>
      <w:r>
        <w:t xml:space="preserve"> </w:t>
      </w:r>
      <w:r>
        <w:rPr>
          <w:b/>
          <w:bCs/>
        </w:rPr>
        <w:t xml:space="preserve">Outer alignment failure</w:t>
      </w:r>
      <w:r>
        <w:t xml:space="preserve"> </w:t>
      </w:r>
      <w:r>
        <w:t xml:space="preserve">— the specified proxy doesn’t fully capture what the designer wanted. The system does exactly what it was told; what it was told was wrong. (2)</w:t>
      </w:r>
      <w:r>
        <w:t xml:space="preserve"> </w:t>
      </w:r>
      <w:r>
        <w:rPr>
          <w:b/>
          <w:bCs/>
        </w:rPr>
        <w:t xml:space="preserve">Inner alignment failure</w:t>
      </w:r>
      <w:r>
        <w:t xml:space="preserve"> </w:t>
      </w:r>
      <w:r>
        <w:t xml:space="preserve">— a sub-optimizer that emerges inside the system (Hubinger’s</w:t>
      </w:r>
      <w:r>
        <w:t xml:space="preserve"> </w:t>
      </w:r>
      <w:r>
        <w:rPr>
          <w:i/>
          <w:iCs/>
        </w:rPr>
        <w:t xml:space="preserve">mesa-optimizer</w:t>
      </w:r>
      <w:r>
        <w:t xml:space="preserve">) develops an operative objective that matches the training signal but not the base objective it was supposedly trained on. The sub-system is pseudo-aligned: it behaves correctly on the training distribution and diverges off it.</w:t>
      </w:r>
    </w:p>
    <w:p>
      <w:pPr>
        <w:pStyle w:val="BodyText"/>
      </w:pPr>
      <w:r>
        <w:t xml:space="preserve">Stated formally, the alignment problem is the tuple ⟨R̂, R*, 𝒪, D⟩ where:</w:t>
      </w:r>
      <w:r>
        <w:rPr>
          <w:rStyle w:val="FootnoteReference"/>
        </w:rPr>
        <w:footnoteReference w:id="26"/>
      </w:r>
    </w:p>
    <w:p>
      <w:pPr>
        <w:pStyle w:val="Compact"/>
        <w:numPr>
          <w:ilvl w:val="0"/>
          <w:numId w:val="1001"/>
        </w:numPr>
      </w:pPr>
      <w:r>
        <w:t xml:space="preserve">R̂ is the reward function you can specify</w:t>
      </w:r>
    </w:p>
    <w:p>
      <w:pPr>
        <w:pStyle w:val="Compact"/>
        <w:numPr>
          <w:ilvl w:val="0"/>
          <w:numId w:val="1001"/>
        </w:numPr>
      </w:pPr>
      <w:r>
        <w:t xml:space="preserve">R* is the reward function you wish you could specify</w:t>
      </w:r>
    </w:p>
    <w:p>
      <w:pPr>
        <w:pStyle w:val="Compact"/>
        <w:numPr>
          <w:ilvl w:val="0"/>
          <w:numId w:val="1001"/>
        </w:numPr>
      </w:pPr>
      <w:r>
        <w:t xml:space="preserve">𝒪 is the optimizer you’re going to run</w:t>
      </w:r>
    </w:p>
    <w:p>
      <w:pPr>
        <w:pStyle w:val="Compact"/>
        <w:numPr>
          <w:ilvl w:val="0"/>
          <w:numId w:val="1001"/>
        </w:numPr>
      </w:pPr>
      <w:r>
        <w:t xml:space="preserve">D is the deployment distribution</w:t>
      </w:r>
    </w:p>
    <w:p>
      <w:pPr>
        <w:pStyle w:val="FirstParagraph"/>
      </w:pPr>
      <w:r>
        <w:t xml:space="preserve">The alignment problem is that, for realistic settings of 𝒪 and D, no tractable R̂ equals R*, and optimization pressure on R̂ diverges π from what you wanted. Every technique in the field is a strategy for managing that divergence.</w:t>
      </w:r>
      <w:r>
        <w:rPr>
          <w:rStyle w:val="FootnoteReference"/>
        </w:rPr>
        <w:footnoteReference w:id="27"/>
      </w:r>
    </w:p>
    <w:p>
      <w:pPr>
        <w:pStyle w:val="BodyText"/>
      </w:pPr>
      <w:r>
        <w:t xml:space="preserve">The alignment problem, restated in legal vocabulary: a statute is an objective function; either the statutory preamble (literally) or its purpose (figuratively: defined doctrinally by jurisprudence) may be the outer specification; the bureaucracy administering it is a mesa-optimizer; and the drift between the enforcement pattern and the preamble is, exactly, an inner-alignment failure. Hennessy &amp; Goodhart (2023) prove the two settings admit a common structural treatment.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w:t>
      </w:r>
      <w:r>
        <w:rPr>
          <w:rStyle w:val="FootnoteReference"/>
        </w:rPr>
        <w:footnoteReference w:id="28"/>
      </w:r>
      <w:r>
        <w:t xml:space="preserve"> </w:t>
      </w:r>
      <w:r>
        <w:t xml:space="preserve">Manheim and Garrabrant (2018) taxonomize Goodhart’s Law into four variants.</w:t>
      </w:r>
      <w:r>
        <w:rPr>
          <w:rStyle w:val="FootnoteReference"/>
        </w:rPr>
        <w:footnoteReference w:id="29"/>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w:t>
      </w:r>
      <w:r>
        <w:rPr>
          <w:rStyle w:val="FootnoteReference"/>
        </w:rPr>
        <w:footnoteReference w:id="30"/>
      </w:r>
      <w:r>
        <w:t xml:space="preserve"> </w:t>
      </w:r>
      <w:r>
        <w:t xml:space="preserve">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w:t>
      </w:r>
      <w:r>
        <w:rPr>
          <w:rStyle w:val="FootnoteReference"/>
        </w:rPr>
        <w:footnoteReference w:id="31"/>
      </w:r>
      <w:r>
        <w:t xml:space="preserve"> </w:t>
      </w:r>
      <w:r>
        <w:t xml:space="preserve">Cohen, Hutter and Osborne (2022) proved that reward tampering — an agent intervening in the reward-provision mechanism rather than pursuing the proxy objective — is not an edge case but an attractor state under stated assumptions.</w:t>
      </w:r>
      <w:r>
        <w:rPr>
          <w:rStyle w:val="FootnoteReference"/>
        </w:rPr>
        <w:footnoteReference w:id="32"/>
      </w:r>
      <w:r>
        <w:t xml:space="preserve"> </w:t>
      </w:r>
      <w:r>
        <w:t xml:space="preserve">This is the technical core that public-choice theorists (Buchanan and Tullock; Stigler) have been approximating for decades under the vocabulary of regulatory capture.</w:t>
      </w:r>
      <w:r>
        <w:rPr>
          <w:rStyle w:val="FootnoteReference"/>
        </w:rPr>
        <w:footnoteReference w:id="33"/>
      </w:r>
    </w:p>
    <w:bookmarkEnd w:id="34"/>
    <w:bookmarkStart w:id="42"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w:t>
      </w:r>
      <w:r>
        <w:rPr>
          <w:rStyle w:val="FootnoteReference"/>
        </w:rPr>
        <w:footnoteReference w:id="35"/>
      </w:r>
      <w:r>
        <w:t xml:space="preserve"> </w:t>
      </w:r>
      <w:r>
        <w:t xml:space="preserve">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rPr>
          <w:rStyle w:val="FootnoteReference"/>
        </w:rPr>
        <w:footnoteReference w:id="36"/>
      </w:r>
    </w:p>
    <w:p>
      <w:pPr>
        <w:pStyle w:val="BodyText"/>
      </w:pPr>
      <w:r>
        <w:t xml:space="preserve">The stronger claim — that the analogy admits common structural treatment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w:t>
      </w:r>
      <w:r>
        <w:rPr>
          <w:rStyle w:val="FootnoteReference"/>
        </w:rPr>
        <w:footnoteReference w:id="37"/>
      </w:r>
      <w:r>
        <w:t xml:space="preserve"> </w:t>
      </w:r>
      <w:r>
        <w:t xml:space="preserve">The paper’s own framing is econometric rather than jurisprudential: it develops a structural model of proxy manipulation applicable to regulatory and machine-learning contexts alike. Whether one reads this as demonstrating that regulation-Goodhart and ML-Goodhart share a common structural form or merely that they can be analyzed in a single register, the paper is a decisive piece of evidence that a measurement instrument is warranted. The four-variant taxonomy of Manheim and Garrabrant (2018), the reward-hacking analyses of Amodei (2016) and Cohen-Hutter-Osborne (2022), and the specification-gaming catalog of Krakovna (2020) describe the same failure modes that public-choice theorists, policy-drift scholars (Hacker 2004),</w:t>
      </w:r>
      <w:r>
        <w:rPr>
          <w:rStyle w:val="FootnoteReference"/>
        </w:rPr>
        <w:footnoteReference w:id="38"/>
      </w:r>
      <w:r>
        <w:t xml:space="preserve"> </w:t>
      </w:r>
      <w:r>
        <w:t xml:space="preserve">and civil libertarians (Borovoy 1988-2013) have catalogued in the regulatory domain.</w:t>
      </w:r>
    </w:p>
    <w:p>
      <w:pPr>
        <w:pStyle w:val="BodyText"/>
      </w:pPr>
      <w:r>
        <w:t xml:space="preserve">The structural parallel has judicial traction across the common-law world.</w:t>
      </w:r>
      <w:r>
        <w:t xml:space="preserve"> </w:t>
      </w:r>
      <w:r>
        <w:rPr>
          <w:i/>
          <w:iCs/>
        </w:rPr>
        <w:t xml:space="preserve">Bedford</w:t>
      </w:r>
      <w:r>
        <w:t xml:space="preserve">,</w:t>
      </w:r>
      <w:r>
        <w:t xml:space="preserve"> </w:t>
      </w:r>
      <w:r>
        <w:rPr>
          <w:i/>
          <w:iCs/>
        </w:rPr>
        <w:t xml:space="preserve">Nur</w:t>
      </w:r>
      <w:r>
        <w:t xml:space="preserve">, and</w:t>
      </w:r>
      <w:r>
        <w:t xml:space="preserve"> </w:t>
      </w:r>
      <w:r>
        <w:rPr>
          <w:i/>
          <w:iCs/>
        </w:rPr>
        <w:t xml:space="preserve">Ndhlovu</w:t>
      </w:r>
      <w:r>
        <w:t xml:space="preserve"> </w:t>
      </w:r>
      <w:r>
        <w:t xml:space="preserve">reason in the same idiom without naming it, in Canada. 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 reasons under a different doctrinal label but in the same structural register, as does</w:t>
      </w:r>
      <w:r>
        <w:t xml:space="preserve"> </w:t>
      </w:r>
      <w:r>
        <w:rPr>
          <w:i/>
          <w:iCs/>
        </w:rPr>
        <w:t xml:space="preserve">Romer v Evans</w:t>
      </w:r>
      <w:r>
        <w:t xml:space="preserve">, 517 US 620 (1996)’s rational-basis-with-bite holding that a law whose reach is</w:t>
      </w:r>
      <w:r>
        <w:t xml:space="preserve"> </w:t>
      </w:r>
      <w:r>
        <w:t xml:space="preserve">“so discontinuous with the reasons offered for it”</w:t>
      </w:r>
      <w:r>
        <w:t xml:space="preserve"> </w:t>
      </w:r>
      <w:r>
        <w:t xml:space="preserve">reveals an impermissible purpose.</w:t>
      </w:r>
      <w:r>
        <w:rPr>
          <w:rStyle w:val="FootnoteReference"/>
        </w:rPr>
        <w:footnoteReference w:id="39"/>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rPr>
          <w:rStyle w:val="FootnoteReference"/>
        </w:rPr>
        <w:footnoteReference w:id="40"/>
      </w:r>
    </w:p>
    <w:p>
      <w:pPr>
        <w:pStyle w:val="BodyText"/>
      </w:pPr>
      <w:r>
        <w:t xml:space="preserve">The</w:t>
      </w:r>
      <w:r>
        <w:t xml:space="preserve"> </w:t>
      </w:r>
      <w:r>
        <w:rPr>
          <w:i/>
          <w:iCs/>
        </w:rPr>
        <w:t xml:space="preserve">ultra vires</w:t>
      </w:r>
      <w:r>
        <w:t xml:space="preserve"> </w:t>
      </w:r>
      <w:r>
        <w:t xml:space="preserve">register is not unique to Canada. In the United States, the Supreme Court has, in the last five years, policed agency over-reach under what is now called the Major Questions Doctrine:</w:t>
      </w:r>
      <w:r>
        <w:t xml:space="preserve"> </w:t>
      </w:r>
      <w:r>
        <w:rPr>
          <w:i/>
          <w:iCs/>
        </w:rPr>
        <w:t xml:space="preserve">West Virginia v Environmental Protection Agency</w:t>
      </w:r>
      <w:r>
        <w:t xml:space="preserve">, 597 US ___ (2022), struck the Clean Power Plan on the ground that Congress had not clearly delegated economy-transforming authority;</w:t>
      </w:r>
      <w:r>
        <w:t xml:space="preserve"> </w:t>
      </w:r>
      <w:r>
        <w:rPr>
          <w:i/>
          <w:iCs/>
        </w:rPr>
        <w:t xml:space="preserve">Biden v Nebraska</w:t>
      </w:r>
      <w:r>
        <w:t xml:space="preserve">, 600 US ___ (2023), did the same for the HEROES Act loan-forgiveness invocation. In the United Kingdom,</w:t>
      </w:r>
      <w:r>
        <w:t xml:space="preserve"> </w:t>
      </w:r>
      <w:r>
        <w:rPr>
          <w:i/>
          <w:iCs/>
        </w:rPr>
        <w:t xml:space="preserve">R (Miller) v Prime Minister (Miller II)</w:t>
      </w:r>
      <w:r>
        <w:t xml:space="preserve"> </w:t>
      </w:r>
      <w:r>
        <w:t xml:space="preserve">[2019] UKSC 41 held the prorogation of Parliament unlawful as exceeding the prerogative;</w:t>
      </w:r>
      <w:r>
        <w:t xml:space="preserve"> </w:t>
      </w:r>
      <w:r>
        <w:rPr>
          <w:i/>
          <w:iCs/>
        </w:rPr>
        <w:t xml:space="preserve">Salvesen v Riddell</w:t>
      </w:r>
      <w:r>
        <w:t xml:space="preserve"> </w:t>
      </w:r>
      <w:r>
        <w:t xml:space="preserve">[2013] UKSC 22 held a provision of a Scottish Act of Parliament outside the devolved legislative competence of Holyrood under Scotland Act 1998 s. 29;</w:t>
      </w:r>
      <w:r>
        <w:t xml:space="preserve"> </w:t>
      </w:r>
      <w:r>
        <w:rPr>
          <w:i/>
          <w:iCs/>
        </w:rPr>
        <w:t xml:space="preserve">AXA General Insurance v Lord Advocate</w:t>
      </w:r>
      <w:r>
        <w:t xml:space="preserve"> </w:t>
      </w:r>
      <w:r>
        <w:t xml:space="preserve">[2011] UKSC 46 confirmed that Acts of the Scottish Parliament are reviewable on competence grounds.</w:t>
      </w:r>
      <w:r>
        <w:rPr>
          <w:rStyle w:val="FootnoteReference"/>
        </w:rPr>
        <w:footnoteReference w:id="41"/>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measure.</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they define the domain of this thesis.</w:t>
      </w:r>
    </w:p>
    <w:bookmarkEnd w:id="42"/>
    <w:bookmarkStart w:id="44" w:name="iv.-mesa-optimization-in-bureaucracy"/>
    <w:p>
      <w:pPr>
        <w:pStyle w:val="Heading2"/>
      </w:pPr>
      <w:r>
        <w:t xml:space="preserve">IV. Mesa-Optimization in Bureaucracy</w:t>
      </w:r>
    </w:p>
    <w:p>
      <w:pPr>
        <w:pStyle w:val="FirstParagraph"/>
      </w:pPr>
      <w:r>
        <w:t xml:space="preserve">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The claim does not require bad faith by the government actors. A learned optimizer can evidence their</w:t>
      </w:r>
      <w:r>
        <w:t xml:space="preserve"> </w:t>
      </w:r>
      <w:r>
        <w:rPr>
          <w:i/>
          <w:iCs/>
        </w:rPr>
        <w:t xml:space="preserve">bona fides</w:t>
      </w:r>
      <w:r>
        <w:t xml:space="preserve">, but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repeal of section 13 of the</w:t>
      </w:r>
      <w:r>
        <w:t xml:space="preserve"> </w:t>
      </w:r>
      <w:r>
        <w:rPr>
          <w:i/>
          <w:iCs/>
        </w:rPr>
        <w:t xml:space="preserve">Canadian Human Rights Act</w:t>
      </w:r>
      <w:r>
        <w:t xml:space="preserve">, RSC 1985, c H-6, in June 2014, vindicated the diagnosis.</w:t>
      </w:r>
      <w:r>
        <w:rPr>
          <w:rStyle w:val="FootnoteReference"/>
        </w:rPr>
        <w:footnoteReference w:id="43"/>
      </w:r>
      <w:r>
        <w:t xml:space="preserve"> </w:t>
      </w:r>
      <w:r>
        <w:t xml:space="preserve">It did not correct the training process.</w:t>
      </w:r>
    </w:p>
    <w:p>
      <w:pPr>
        <w:pStyle w:val="BodyText"/>
      </w:pP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p>
    <w:bookmarkEnd w:id="44"/>
    <w:bookmarkStart w:id="56" w:name="v.-the-borovoy-coefficient"/>
    <w:p>
      <w:pPr>
        <w:pStyle w:val="Heading2"/>
      </w:pPr>
      <w:r>
        <w:t xml:space="preserve">V. The Borovoy Coefficient</w:t>
      </w:r>
    </w:p>
    <w:p>
      <w:pPr>
        <w:pStyle w:val="FirstParagraph"/>
      </w:pPr>
      <w:r>
        <w:t xml:space="preserve">The Borovoy Coefficient (BC) is a 0-to-100 measurement instrument for the gap between a law’s stated purpose and its operative effect. The instrument is designed as a three-tier composite —</w:t>
      </w:r>
      <w:r>
        <w:t xml:space="preserve"> </w:t>
      </w:r>
      <w:r>
        <w:rPr>
          <w:i/>
          <w:iCs/>
        </w:rPr>
        <w:t xml:space="preserve">literal</w:t>
      </w:r>
      <w:r>
        <w:t xml:space="preserve">,</w:t>
      </w:r>
      <w:r>
        <w:t xml:space="preserve"> </w:t>
      </w:r>
      <w:r>
        <w:rPr>
          <w:i/>
          <w:iCs/>
        </w:rPr>
        <w:t xml:space="preserve">functional</w:t>
      </w:r>
      <w:r>
        <w:t xml:space="preserve">, and</w:t>
      </w:r>
      <w:r>
        <w:t xml:space="preserve"> </w:t>
      </w:r>
      <w:r>
        <w:rPr>
          <w:i/>
          <w:iCs/>
        </w:rPr>
        <w:t xml:space="preserve">contextual</w:t>
      </w:r>
      <w:r>
        <w:t xml:space="preserve"> </w:t>
      </w:r>
      <w:r>
        <w:t xml:space="preserve">— that together map onto the five doctrinal-plus-alignment dimensions described below. Version 1.0 of the reference implementation publishes one of those three tiers; the other two are roadmap.</w:t>
      </w:r>
    </w:p>
    <w:p>
      <w:pPr>
        <w:pStyle w:val="BodyText"/>
      </w:pPr>
      <w:r>
        <w:rPr>
          <w:b/>
          <w:bCs/>
        </w:rPr>
        <w:t xml:space="preserve">What is shipped: MTM-L (Missing-The-Mark — Literal).</w:t>
      </w:r>
      <w:r>
        <w:t xml:space="preserve"> </w:t>
      </w:r>
      <w:r>
        <w:t xml:space="preserve">A closed-form metric computed directly from the statute’s own text:</w:t>
      </w:r>
    </w:p>
    <w:p>
      <w:pPr>
        <w:pStyle w:val="BlockText"/>
      </w:pPr>
      <w:r>
        <w:t xml:space="preserve">MTM-L = 100 · [α · (1 − F) + β · X], α + β = 1</w:t>
      </w:r>
    </w:p>
    <w:p>
      <w:pPr>
        <w:pStyle w:val="FirstParagraph"/>
      </w:pPr>
      <w:r>
        <w:t xml:space="preserve">where F (Faithfulness) is the fraction of stated purposes served by at least one operative provision, and X (Excess) is the fraction of operative provisions that serve no stated purpose. The default calibration is α = β = 0.5; the reference implementation exposes α and β as parameters for sensitivity analysis. Because MTM-L reads only the statute — purposes drawn from the preamble, purpose clause, or short title; provisions drawn from the operative sections — it is</w:t>
      </w:r>
      <w:r>
        <w:t xml:space="preserve"> </w:t>
      </w:r>
      <w:r>
        <w:rPr>
          <w:b/>
          <w:bCs/>
        </w:rPr>
        <w:t xml:space="preserve">bench-invariant by construction</w:t>
      </w:r>
      <w:r>
        <w:t xml:space="preserve">. It measures textual specification failure and nothing more.</w:t>
      </w:r>
    </w:p>
    <w:p>
      <w:pPr>
        <w:pStyle w:val="BodyText"/>
      </w:pPr>
      <w:r>
        <w:rPr>
          <w:b/>
          <w:bCs/>
        </w:rPr>
        <w:t xml:space="preserve">What is theoretical: MTM-F (Functional) and MTM-C (Contextual).</w:t>
      </w:r>
      <w:r>
        <w:t xml:space="preserve"> </w:t>
      </w:r>
      <w:r>
        <w:t xml:space="preserve">MTM-F will measure the gap between stated purpose and judicially-recognized operative effect, drawing on case law, legislative debates, and administrative guidance. MTM-C will measure the gap between stated purpose and observed enforcement pattern, drawing on disaggregated enforcement data, disparate-impact evidence, and regulatory-capture signals. The five doctrinal dimensions below belong predominantly to MTM-F and MTM-C, and cannot be meaningfully computed until those tiers are implemented.</w:t>
      </w:r>
    </w:p>
    <w:p>
      <w:pPr>
        <w:pStyle w:val="BodyText"/>
      </w:pPr>
      <w:r>
        <w:rPr>
          <w:b/>
          <w:bCs/>
        </w:rPr>
        <w:t xml:space="preserve">Presumption of constitutionality.</w:t>
      </w:r>
      <w:r>
        <w:t xml:space="preserve"> </w:t>
      </w:r>
      <w:r>
        <w:t xml:space="preserve">In all three jurisdictions considered here, statutes begin their lives presumptively valid. In Canada, the plaintiff bears the initial burden of establishing a Charter infringement; only upon prima facie violation does the onus reverse to the Crown under s. 1 of</w:t>
      </w:r>
      <w:r>
        <w:t xml:space="preserve"> </w:t>
      </w:r>
      <w:r>
        <w:rPr>
          <w:i/>
          <w:iCs/>
        </w:rPr>
        <w:t xml:space="preserve">R v Oakes</w:t>
      </w:r>
      <w:r>
        <w:t xml:space="preserve">, [1986] 1 SCR 103. In the United Kingdom, Acts of the Westminster Parliament are not amenable to strike-down at all; the Human Rights Act 1998 s. 4 permits only a declaration of incompatibility, which the Parliament is free to ignore (Westminster statutes) or address (devolved statutes, via</w:t>
      </w:r>
      <w:r>
        <w:t xml:space="preserve"> </w:t>
      </w:r>
      <w:r>
        <w:rPr>
          <w:i/>
          <w:iCs/>
        </w:rPr>
        <w:t xml:space="preserve">AXA</w:t>
      </w:r>
      <w:r>
        <w:t xml:space="preserve"> </w:t>
      </w:r>
      <w:r>
        <w:t xml:space="preserve">/</w:t>
      </w:r>
      <w:r>
        <w:t xml:space="preserve"> </w:t>
      </w:r>
      <w:r>
        <w:rPr>
          <w:i/>
          <w:iCs/>
        </w:rPr>
        <w:t xml:space="preserve">Salvesen</w:t>
      </w:r>
      <w:r>
        <w:t xml:space="preserve"> </w:t>
      </w:r>
      <w:r>
        <w:t xml:space="preserve">competence-based review). In the United States, rational-basis review disposes of most challenges on a presumption of legitimacy. The Borovoy Coefficient is indifferent to these presumptions by design: it measures structural specification failure, not judicial outcome. A statute may score high on MTM-L, MTM-F, or MTM-C and still be upheld under a deferential standard; conversely, a statute may score low and still be struck down on grounds the instrument does not reach (e.g., s. 15 equality, s. 12 cruel-and-unusual, or substantive due process). The instrument is a diagnostic lens on drafting pathology, not a prediction of what any given bench will do.</w:t>
      </w:r>
    </w:p>
    <w:p>
      <w:pPr>
        <w:pStyle w:val="BodyText"/>
      </w:pPr>
      <w:r>
        <w:rPr>
          <w:b/>
          <w:bCs/>
        </w:rPr>
        <w:t xml:space="preserve">Calibration evidence for MTM-L (v1.0).</w:t>
      </w:r>
      <w:r>
        <w:t xml:space="preserve"> </w:t>
      </w:r>
      <w:r>
        <w:t xml:space="preserve">Against a 33-case ground-truth set of Canadian Charter dispositions 1990–2024 (23 struck, read-down, or declared invalid; 10 upheld), the 15-law prototype corpus scored via MTM-L yields AUC = 0.54 (near chance) and Brier = 0.23. Thirteen of fifteen corpus laws score at the floor (MTM-L = 0), because most Charter-invalid Canadian statutes are not literally misaligned on face — their pathology is purposive or contextual, and MTM-L does not reach it. The calibration report documents this openly: MTM-L is a narrow, conservative test, and its predictive value for judicial outcomes is limited until MTM-F and MTM-C are implemented. The honest claim of this paper is therefore confined:</w:t>
      </w:r>
      <w:r>
        <w:t xml:space="preserve"> </w:t>
      </w:r>
      <w:r>
        <w:rPr>
          <w:b/>
          <w:bCs/>
        </w:rPr>
        <w:t xml:space="preserve">MTM-L flags textually-broken statutes reliably, and is silent on everything else.</w:t>
      </w:r>
      <w:r>
        <w:t xml:space="preserve"> </w:t>
      </w:r>
      <w:r>
        <w:t xml:space="preserve">MTM-F and MTM-C close the gap; v1.0 is a foundation, not a finished instrument.</w:t>
      </w:r>
    </w:p>
    <w:p>
      <w:pPr>
        <w:pStyle w:val="BodyText"/>
      </w:pPr>
      <w:r>
        <w:rPr>
          <w:b/>
          <w:bCs/>
        </w:rPr>
        <w:t xml:space="preserve">The five dimensions</w:t>
      </w:r>
      <w:r>
        <w:t xml:space="preserve"> </w:t>
      </w:r>
      <w:r>
        <w:t xml:space="preserve">below remain the paper’s theoretical architecture — the doctrinal grammar into which MTM-F and MTM-C will eventually map. Each is anchored in a recognized constitutional doctrine (Canadian, US, and UK) and in a machine-learning alignment concept.</w:t>
      </w:r>
    </w:p>
    <w:p>
      <w:pPr>
        <w:pStyle w:val="BodyText"/>
      </w:pPr>
      <w:r>
        <w:rPr>
          <w:b/>
          <w:bCs/>
        </w:rPr>
        <w:t xml:space="preserve">D₁ Purpose-Effect Gap.</w:t>
      </w:r>
      <w:r>
        <w:t xml:space="preserve"> </w:t>
      </w:r>
      <w:r>
        <w:t xml:space="preserve">Divergence between stated purpose and observed effect. Canadian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w:t>
      </w:r>
      <w:r>
        <w:rPr>
          <w:rStyle w:val="FootnoteReference"/>
        </w:rPr>
        <w:footnoteReference w:id="45"/>
      </w:r>
      <w:r>
        <w:t xml:space="preserve"> </w:t>
      </w:r>
      <w:r>
        <w:t xml:space="preserve">US anchor: the Major Questions Doctrine,</w:t>
      </w:r>
      <w:r>
        <w:t xml:space="preserve"> </w:t>
      </w:r>
      <w:r>
        <w:rPr>
          <w:i/>
          <w:iCs/>
        </w:rPr>
        <w:t xml:space="preserve">West Virginia v EPA</w:t>
      </w:r>
      <w:r>
        <w:t xml:space="preserve">, 597 US ___ (2022);</w:t>
      </w:r>
      <w:r>
        <w:t xml:space="preserve"> </w:t>
      </w:r>
      <w:r>
        <w:rPr>
          <w:i/>
          <w:iCs/>
        </w:rPr>
        <w:t xml:space="preserve">Biden v Nebraska</w:t>
      </w:r>
      <w:r>
        <w:t xml:space="preserve">, 600 US ___ (2023) — agency action that is</w:t>
      </w:r>
      <w:r>
        <w:t xml:space="preserve"> </w:t>
      </w:r>
      <w:r>
        <w:t xml:space="preserve">“discontinuous with the reasons offered for it”</w:t>
      </w:r>
      <w:r>
        <w:t xml:space="preserve"> </w:t>
      </w:r>
      <w:r>
        <w:t xml:space="preserve">is presumptively outside Congress’s delegation. UK anchor: the s. 3 interpretive obligation of the Human Rights Act 1998,</w:t>
      </w:r>
      <w:r>
        <w:t xml:space="preserve"> </w:t>
      </w:r>
      <w:r>
        <w:rPr>
          <w:i/>
          <w:iCs/>
        </w:rPr>
        <w:t xml:space="preserve">Ghaidan v Godin-Mendoza</w:t>
      </w:r>
      <w:r>
        <w:t xml:space="preserve"> </w:t>
      </w:r>
      <w:r>
        <w:t xml:space="preserve">[2004] UKHL 30 — statutes must be read, so far as possible, in a way that preserves Convention rights.</w:t>
      </w:r>
      <w:r>
        <w:rPr>
          <w:rStyle w:val="FootnoteReference"/>
        </w:rPr>
        <w:footnoteReference w:id="46"/>
      </w:r>
      <w:r>
        <w:t xml:space="preserve"> </w:t>
      </w:r>
      <w:r>
        <w:t xml:space="preserve">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Canadian anchor:</w:t>
      </w:r>
      <w:r>
        <w:t xml:space="preserve"> </w:t>
      </w:r>
      <w:r>
        <w:rPr>
          <w:i/>
          <w:iCs/>
        </w:rPr>
        <w:t xml:space="preserve">R v Oakes</w:t>
      </w:r>
      <w:r>
        <w:t xml:space="preserve">, [1986] 1 SCR 103 — pressing and substantial objective; rational connection; minimal impairment; balance of effects.</w:t>
      </w:r>
      <w:r>
        <w:rPr>
          <w:rStyle w:val="FootnoteReference"/>
        </w:rPr>
        <w:footnoteReference w:id="47"/>
      </w:r>
      <w:r>
        <w:t xml:space="preserve"> </w:t>
      </w:r>
      <w:r>
        <w:t xml:space="preserve">US anchor: strict scrutiny and narrow tailoring,</w:t>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 UK anchor: the four-stage proportionality test,</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r>
        <w:rPr>
          <w:rStyle w:val="FootnoteReference"/>
        </w:rPr>
        <w:footnoteReference w:id="48"/>
      </w:r>
      <w:r>
        <w:t xml:space="preserve"> </w:t>
      </w:r>
      <w:r>
        <w:t xml:space="preserve">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Canadian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w:t>
      </w:r>
      <w:r>
        <w:rPr>
          <w:rStyle w:val="FootnoteReference"/>
        </w:rPr>
        <w:footnoteReference w:id="49"/>
      </w:r>
      <w:r>
        <w:t xml:space="preserve"> </w:t>
      </w:r>
      <w:r>
        <w:t xml:space="preserve">Hamish Stewart, writing in</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w:t>
      </w:r>
      <w:r>
        <w:rPr>
          <w:rStyle w:val="FootnoteReference"/>
        </w:rPr>
        <w:footnoteReference w:id="50"/>
      </w:r>
      <w:r>
        <w:t xml:space="preserve"> </w:t>
      </w:r>
      <w:r>
        <w:t xml:space="preserve">US anchor: First Amendment overbreadth,</w:t>
      </w:r>
      <w:r>
        <w:t xml:space="preserve"> </w:t>
      </w:r>
      <w:r>
        <w:rPr>
          <w:i/>
          <w:iCs/>
        </w:rPr>
        <w:t xml:space="preserve">Broadrick v Oklahoma</w:t>
      </w:r>
      <w:r>
        <w:t xml:space="preserve">, 413 US 601 (1973);</w:t>
      </w:r>
      <w:r>
        <w:t xml:space="preserve"> </w:t>
      </w:r>
      <w:r>
        <w:rPr>
          <w:i/>
          <w:iCs/>
        </w:rPr>
        <w:t xml:space="preserve">United States v Stevens</w:t>
      </w:r>
      <w:r>
        <w:t xml:space="preserve">, 559 US 460 (2010); and the void-for-vagueness trilogy</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 UK anchor: the necessity stage of</w:t>
      </w:r>
      <w:r>
        <w:t xml:space="preserve"> </w:t>
      </w:r>
      <w:r>
        <w:rPr>
          <w:i/>
          <w:iCs/>
        </w:rPr>
        <w:t xml:space="preserve">Bank Mellat</w:t>
      </w:r>
      <w:r>
        <w:t xml:space="preserve"> </w:t>
      </w:r>
      <w:r>
        <w:t xml:space="preserve">proportionality;</w:t>
      </w:r>
      <w:r>
        <w:t xml:space="preserve"> </w:t>
      </w:r>
      <w:r>
        <w:rPr>
          <w:i/>
          <w:iCs/>
        </w:rPr>
        <w:t xml:space="preserve">A v Secretary of State for the Home Department (Belmarsh)</w:t>
      </w:r>
      <w:r>
        <w:t xml:space="preserve"> </w:t>
      </w:r>
      <w:r>
        <w:t xml:space="preserve">[2004] UKHL 56 (simultaneously over- and under-inclusive detention regime).</w:t>
      </w:r>
      <w:r>
        <w:rPr>
          <w:rStyle w:val="FootnoteReference"/>
        </w:rPr>
        <w:footnoteReference w:id="51"/>
      </w:r>
      <w:r>
        <w:t xml:space="preserve"> </w:t>
      </w:r>
      <w:r>
        <w:t xml:space="preserve">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Canadian anchor: Canadian Charter of Rights and Freedoms, and the jurisprudence on irreparable harm (</w:t>
      </w:r>
      <w:r>
        <w:rPr>
          <w:i/>
          <w:iCs/>
        </w:rPr>
        <w:t xml:space="preserve">Charkaoui</w:t>
      </w:r>
      <w:r>
        <w:t xml:space="preserve">, 2007 SCC 9). US anchor: substantive due process irreparable-harm analysis (</w:t>
      </w:r>
      <w:r>
        <w:rPr>
          <w:i/>
          <w:iCs/>
        </w:rPr>
        <w:t xml:space="preserve">Youngberg v Romeo</w:t>
      </w:r>
      <w:r>
        <w:t xml:space="preserve">, 457 US 307 (1982);</w:t>
      </w:r>
      <w:r>
        <w:t xml:space="preserve"> </w:t>
      </w:r>
      <w:r>
        <w:rPr>
          <w:i/>
          <w:iCs/>
        </w:rPr>
        <w:t xml:space="preserve">Washington v Glucksberg</w:t>
      </w:r>
      <w:r>
        <w:t xml:space="preserve">, 521 US 702 (1997)); bill-of-attainder doctrine where individualized punishment is the concern. UK anchor:</w:t>
      </w:r>
      <w:r>
        <w:t xml:space="preserve"> </w:t>
      </w:r>
      <w:r>
        <w:rPr>
          <w:i/>
          <w:iCs/>
        </w:rPr>
        <w:t xml:space="preserve">A v SSHD (Belmarsh)</w:t>
      </w:r>
      <w:r>
        <w:t xml:space="preserve"> </w:t>
      </w:r>
      <w:r>
        <w:t xml:space="preserve">[2004] UKHL 56;</w:t>
      </w:r>
      <w:r>
        <w:t xml:space="preserve"> </w:t>
      </w:r>
      <w:r>
        <w:rPr>
          <w:i/>
          <w:iCs/>
        </w:rPr>
        <w:t xml:space="preserve">R (Nicklinson) v Ministry of Justice</w:t>
      </w:r>
      <w:r>
        <w:t xml:space="preserve"> </w:t>
      </w:r>
      <w:r>
        <w:t xml:space="preserve">[2014] UKSC 38.</w:t>
      </w:r>
      <w:r>
        <w:rPr>
          <w:rStyle w:val="FootnoteReference"/>
        </w:rPr>
        <w:footnoteReference w:id="52"/>
      </w:r>
      <w:r>
        <w:t xml:space="preserve"> </w:t>
      </w:r>
      <w:r>
        <w:t xml:space="preserve">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Canadian anchors:</w:t>
      </w:r>
      <w:r>
        <w:t xml:space="preserve"> </w:t>
      </w:r>
      <w:r>
        <w:rPr>
          <w:i/>
          <w:iCs/>
        </w:rPr>
        <w:t xml:space="preserve">R v Le</w:t>
      </w:r>
      <w:r>
        <w:t xml:space="preserve">, 2019 SCC 34 (racial profiling in enforcement); Charter s. 15; the administrative-law duty of fairness.</w:t>
      </w:r>
      <w:r>
        <w:rPr>
          <w:rStyle w:val="FootnoteReference"/>
        </w:rPr>
        <w:footnoteReference w:id="53"/>
      </w:r>
      <w:r>
        <w:t xml:space="preserve"> </w:t>
      </w:r>
      <w:r>
        <w:t xml:space="preserve">US anchor: disparate-impact doctrine,</w:t>
      </w:r>
      <w:r>
        <w:t xml:space="preserve"> </w:t>
      </w:r>
      <w:r>
        <w:rPr>
          <w:i/>
          <w:iCs/>
        </w:rPr>
        <w:t xml:space="preserve">Washington v Davis</w:t>
      </w:r>
      <w:r>
        <w:t xml:space="preserve">, 426 US 229 (1976) (requiring discriminatory purpose for equal-protection claims, with Reva Siegel’s</w:t>
      </w:r>
      <w:r>
        <w:t xml:space="preserve"> </w:t>
      </w:r>
      <w:r>
        <w:t xml:space="preserve">“preservation-through-transformation”</w:t>
      </w:r>
      <w:r>
        <w:t xml:space="preserve"> </w:t>
      </w:r>
      <w:r>
        <w:t xml:space="preserve">framework — introduced in her</w:t>
      </w:r>
      <w:r>
        <w:t xml:space="preserve"> </w:t>
      </w:r>
      <w:r>
        <w:t xml:space="preserve">“</w:t>
      </w:r>
      <w:r>
        <w:rPr>
          <w:i/>
          <w:iCs/>
        </w:rPr>
        <w:t xml:space="preserve">The Rule of Love</w:t>
      </w:r>
      <w:r>
        <w:t xml:space="preserve">: Wife Beating as Prerogative and Privacy”</w:t>
      </w:r>
      <w:r>
        <w:t xml:space="preserve"> </w:t>
      </w:r>
      <w:r>
        <w:t xml:space="preserve">(1996) 105 Yale LJ 2117 — as the theoretical ancestor of the drift diagnosis).</w:t>
      </w:r>
      <w:r>
        <w:rPr>
          <w:rStyle w:val="FootnoteReference"/>
        </w:rPr>
        <w:footnoteReference w:id="54"/>
      </w:r>
      <w:r>
        <w:t xml:space="preserve"> </w:t>
      </w:r>
      <w:r>
        <w:t xml:space="preserve">UK anchor:</w:t>
      </w:r>
      <w:r>
        <w:t xml:space="preserve"> </w:t>
      </w:r>
      <w:r>
        <w:rPr>
          <w:i/>
          <w:iCs/>
        </w:rPr>
        <w:t xml:space="preserve">R (SC) v Secretary of State for Work and Pensions</w:t>
      </w:r>
      <w:r>
        <w:t xml:space="preserve"> </w:t>
      </w:r>
      <w:r>
        <w:t xml:space="preserve">[2021] UKSC 26 (welfare two-child limit;</w:t>
      </w:r>
      <w:r>
        <w:t xml:space="preserve"> </w:t>
      </w:r>
      <w:r>
        <w:t xml:space="preserve">“manifestly without reasonable foundation”</w:t>
      </w:r>
      <w:r>
        <w:t xml:space="preserve"> </w:t>
      </w:r>
      <w:r>
        <w:t xml:space="preserve">standard);</w:t>
      </w:r>
      <w:r>
        <w:t xml:space="preserve"> </w:t>
      </w:r>
      <w:r>
        <w:rPr>
          <w:i/>
          <w:iCs/>
        </w:rPr>
        <w:t xml:space="preserve">R (Roberts) v Metropolitan Police Commissioner</w:t>
      </w:r>
      <w:r>
        <w:t xml:space="preserve"> </w:t>
      </w:r>
      <w:r>
        <w:t xml:space="preserve">[2015] UKSC 79 (stop-and-search).</w:t>
      </w:r>
      <w:r>
        <w:rPr>
          <w:rStyle w:val="FootnoteReference"/>
        </w:rPr>
        <w:footnoteReference w:id="55"/>
      </w:r>
      <w:r>
        <w:t xml:space="preserve"> </w:t>
      </w:r>
      <w:r>
        <w:t xml:space="preserve">ML anchor: inner alignment failure; mesa-optimization; reward tampering / regulatory capture (Cohen, Hutter &amp; Osborne 2022).</w:t>
      </w:r>
    </w:p>
    <w:p>
      <w:pPr>
        <w:pStyle w:val="BodyText"/>
      </w:pPr>
      <w:r>
        <w:rPr>
          <w:b/>
          <w:bCs/>
        </w:rPr>
        <w:t xml:space="preserve">Proposed composite (for MTM-F and MTM-C, once implemented).</w:t>
      </w:r>
      <w:r>
        <w:t xml:space="preserve"> </w:t>
      </w:r>
      <w:r>
        <w:t xml:space="preserve">When the functional and contextual tiers ship, the full Borovoy Coefficient will be a weighted aggregate across the five dimensions:</w:t>
      </w:r>
    </w:p>
    <w:p>
      <w:pPr>
        <w:pStyle w:val="BlockText"/>
      </w:pPr>
      <w:r>
        <w:t xml:space="preserve">BC = 0.25·D₁ + 0.15·D₂ + 0.20·D₃ + 0.25·D₄ + 0.15·D₅</w:t>
      </w:r>
    </w:p>
    <w:p>
      <w:pPr>
        <w:pStyle w:val="FirstParagraph"/>
      </w:pPr>
      <w:r>
        <w:t xml:space="preserve">The proposed weights prioritize D₁ (purpose-effect) and D₄ (rights intrusion) because Borovoy’s concern was always rights-affecting divergence from purpose. D₃ (overbreadth) is heavier than D₂ (proportionality) and D₅ (enforcement asymmetry) because overbreadth is the single most common mechanism of drift in Canadian civil-liberties jurisprudence. These are proposed weights, not fitted weights: the specification publishes them as a starting hypothesis, open to empirical tuning once MTM-F and MTM-C add enough signal to warrant fitting. The MTM-L reference implementation currently exposes only α and β (within-tier weights for Faithfulness and Excess) as tunable parameters; the five-dimension weights w₁…w₅ become tunable when the higher tiers ship.</w:t>
      </w:r>
    </w:p>
    <w:p>
      <w:pPr>
        <w:pStyle w:val="BodyText"/>
      </w:pPr>
      <w:r>
        <w:rPr>
          <w:b/>
          <w:bCs/>
        </w:rPr>
        <w:t xml:space="preserve">Interpretation bands (provisional).</w:t>
      </w:r>
      <w:r>
        <w:t xml:space="preserve"> </w:t>
      </w:r>
      <w:r>
        <w:t xml:space="preserve">The bands below are illustrative labels of</w:t>
      </w:r>
      <w:r>
        <w:t xml:space="preserve"> </w:t>
      </w:r>
      <w:r>
        <w:rPr>
          <w:i/>
          <w:iCs/>
        </w:rPr>
        <w:t xml:space="preserve">specification-failure severity</w:t>
      </w:r>
      <w:r>
        <w:t xml:space="preserve"> </w:t>
      </w:r>
      <w:r>
        <w:t xml:space="preserve">on the composite scale, published for orienting readers rather than for operational use. They are not calibrated, they do not predict judicial outcomes, and they do not assert constitutional invalidity — that remains the exclusive province of courts, exercised against the presumptions named above.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Band (specification-failure severity)</w:t>
            </w:r>
          </w:p>
        </w:tc>
      </w:tr>
      <w:tr>
        <w:tc>
          <w:tcPr/>
          <w:p>
            <w:pPr>
              <w:pStyle w:val="Compact"/>
            </w:pPr>
            <w:r>
              <w:t xml:space="preserve">0–19</w:t>
            </w:r>
          </w:p>
        </w:tc>
        <w:tc>
          <w:tcPr/>
          <w:p>
            <w:pPr>
              <w:pStyle w:val="Compact"/>
            </w:pPr>
            <w:r>
              <w:t xml:space="preserve">Textually aligned</w:t>
            </w:r>
          </w:p>
        </w:tc>
      </w:tr>
      <w:tr>
        <w:tc>
          <w:tcPr/>
          <w:p>
            <w:pPr>
              <w:pStyle w:val="Compact"/>
            </w:pPr>
            <w:r>
              <w:t xml:space="preserve">20–39</w:t>
            </w:r>
          </w:p>
        </w:tc>
        <w:tc>
          <w:tcPr/>
          <w:p>
            <w:pPr>
              <w:pStyle w:val="Compact"/>
            </w:pPr>
            <w:r>
              <w:t xml:space="preserve">Low drift</w:t>
            </w:r>
          </w:p>
        </w:tc>
      </w:tr>
      <w:tr>
        <w:tc>
          <w:tcPr/>
          <w:p>
            <w:pPr>
              <w:pStyle w:val="Compact"/>
            </w:pPr>
            <w:r>
              <w:t xml:space="preserve">40–59</w:t>
            </w:r>
          </w:p>
        </w:tc>
        <w:tc>
          <w:tcPr/>
          <w:p>
            <w:pPr>
              <w:pStyle w:val="Compact"/>
            </w:pPr>
            <w:r>
              <w:t xml:space="preserve">Moderate drift</w:t>
            </w:r>
          </w:p>
        </w:tc>
      </w:tr>
      <w:tr>
        <w:tc>
          <w:tcPr/>
          <w:p>
            <w:pPr>
              <w:pStyle w:val="Compact"/>
            </w:pPr>
            <w:r>
              <w:t xml:space="preserve">60–79</w:t>
            </w:r>
          </w:p>
        </w:tc>
        <w:tc>
          <w:tcPr/>
          <w:p>
            <w:pPr>
              <w:pStyle w:val="Compact"/>
            </w:pPr>
            <w:r>
              <w:t xml:space="preserve">High drift</w:t>
            </w:r>
          </w:p>
        </w:tc>
      </w:tr>
      <w:tr>
        <w:tc>
          <w:tcPr/>
          <w:p>
            <w:pPr>
              <w:pStyle w:val="Compact"/>
            </w:pPr>
            <w:r>
              <w:t xml:space="preserve">80–100</w:t>
            </w:r>
          </w:p>
        </w:tc>
        <w:tc>
          <w:tcPr/>
          <w:p>
            <w:pPr>
              <w:pStyle w:val="Compact"/>
            </w:pPr>
            <w:r>
              <w:t xml:space="preserve">Severe specification failure</w:t>
            </w:r>
          </w:p>
        </w:tc>
      </w:tr>
    </w:tbl>
    <w:p>
      <w:pPr>
        <w:pStyle w:val="BodyText"/>
      </w:pPr>
      <w:r>
        <w:t xml:space="preserve">Operators of the instrument are cautioned that v1.0 MTM-L alone clusters strongly at the floor (13 of 15 corpus laws at 0) because literal misalignment is rare even among Charter-invalid statutes. The bands will become more informative once MTM-F and MTM-C contribute.</w:t>
      </w:r>
    </w:p>
    <w:p>
      <w:pPr>
        <w:pStyle w:val="BodyText"/>
      </w:pPr>
      <w:r>
        <w:t xml:space="preserve">The companion specification (</w:t>
      </w:r>
      <w:r>
        <w:rPr>
          <w:i/>
          <w:iCs/>
        </w:rPr>
        <w:t xml:space="preserve">BOROVOY_COEFFICIENT_SPEC.md</w:t>
      </w:r>
      <w:r>
        <w:t xml:space="preserve">, v1.0) defines the input schema, output schema, scoring prompt, evidence-update protocol, and calibration methodology. The reference implementation lives at</w:t>
      </w:r>
      <w:r>
        <w:t xml:space="preserve"> </w:t>
      </w:r>
      <w:r>
        <w:rPr>
          <w:rStyle w:val="VerbatimChar"/>
        </w:rPr>
        <w:t xml:space="preserve">github.com/…/Borovoy-Formula</w:t>
      </w:r>
      <w:r>
        <w:t xml:space="preserve"> </w:t>
      </w:r>
      <w:r>
        <w:t xml:space="preserve">(MPL-2.0); the dashboard at</w:t>
      </w:r>
      <w:r>
        <w:t xml:space="preserve"> </w:t>
      </w:r>
      <w:r>
        <w:rPr>
          <w:rStyle w:val="VerbatimChar"/>
        </w:rPr>
        <w:t xml:space="preserve">justack.ai/borovoy</w:t>
      </w:r>
      <w:r>
        <w:t xml:space="preserve">.</w:t>
      </w:r>
    </w:p>
    <w:bookmarkEnd w:id="56"/>
    <w:bookmarkStart w:id="63" w:name="vi.-cross-jurisdictional-case-studies"/>
    <w:p>
      <w:pPr>
        <w:pStyle w:val="Heading2"/>
      </w:pPr>
      <w:r>
        <w:t xml:space="preserve">VI. Cross-Jurisdictional Case Studies</w:t>
      </w:r>
    </w:p>
    <w:p>
      <w:pPr>
        <w:pStyle w:val="FirstParagraph"/>
      </w:pPr>
      <w:r>
        <w:t xml:space="preserve">The prototype corpus applies the Coefficient to fifteen representative laws. Seven are discussed briefly here — three Canadian, two US, two UK; all fifteen are available in the companion dashboard.</w:t>
      </w:r>
    </w:p>
    <w:p>
      <w:pPr>
        <w:pStyle w:val="BodyText"/>
      </w:pPr>
      <w:r>
        <w:rPr>
          <w:i/>
          <w:iCs/>
        </w:rPr>
        <w:t xml:space="preserve">A note on the scores below.</w:t>
      </w:r>
      <w:r>
        <w:t xml:space="preserve"> </w:t>
      </w:r>
      <w:r>
        <w:t xml:space="preserve">The BC values reported in these vignettes are</w:t>
      </w:r>
      <w:r>
        <w:t xml:space="preserve"> </w:t>
      </w:r>
      <w:r>
        <w:rPr>
          <w:b/>
          <w:bCs/>
        </w:rPr>
        <w:t xml:space="preserve">illustrative hand-scores</w:t>
      </w:r>
      <w:r>
        <w:t xml:space="preserve"> </w:t>
      </w:r>
      <w:r>
        <w:t xml:space="preserve">produced by the author prior to the MTM-F and MTM-C tiers being implemented. They are intended to communicate the instrument’s intended behaviour when all three tiers are live, not the output of the v1.0 reference implementation. When MTM-L alone is run against this corpus, thirteen of fifteen laws score at the floor (MTM-L = 0) because their pathology is purposive or contextual rather than textual. The vignette numbers should therefore be read as design targets — where a fully-operational Coefficient</w:t>
      </w:r>
      <w:r>
        <w:t xml:space="preserve"> </w:t>
      </w:r>
      <w:r>
        <w:rPr>
          <w:i/>
          <w:iCs/>
        </w:rPr>
        <w:t xml:space="preserve">ought</w:t>
      </w:r>
      <w:r>
        <w:t xml:space="preserve"> </w:t>
      </w:r>
      <w:r>
        <w:t xml:space="preserve">to land — and will be replaced with automated, reproducible outputs once MTM-F and MTM-C ship. The paper preserves the hand-scores in this draft because they communicate the scoring logic the instrument is designed around; the companion dashboard tracks the live, code-produced numbers and will diverge from these vignettes until the tiers converge.</w:t>
      </w:r>
    </w:p>
    <w:p>
      <w:pPr>
        <w:pStyle w:val="BodyText"/>
      </w:pPr>
      <w:r>
        <w:rPr>
          <w:b/>
          <w:bCs/>
        </w:rPr>
        <w:t xml:space="preserve">Canadian: Security Certificates,</w:t>
      </w:r>
      <w:r>
        <w:rPr>
          <w:b/>
          <w:bCs/>
        </w:rPr>
        <w:t xml:space="preserve"> </w:t>
      </w:r>
      <w:r>
        <w:rPr>
          <w:b/>
          <w:bCs/>
          <w:i/>
          <w:iCs/>
        </w:rPr>
        <w:t xml:space="preserve">Immigration and Refugee Protection Act</w:t>
      </w:r>
      <w:r>
        <w:rPr>
          <w:b/>
          <w:bCs/>
        </w:rPr>
        <w:t xml:space="preserve"> </w:t>
      </w:r>
      <w:r>
        <w:rPr>
          <w:b/>
          <w:bCs/>
        </w:rPr>
        <w:t xml:space="preserve">ss. 77-85 (pre-</w:t>
      </w:r>
      <w:r>
        <w:rPr>
          <w:b/>
          <w:bCs/>
          <w:i/>
          <w:iCs/>
        </w:rPr>
        <w:t xml:space="preserve">Charkaoui</w:t>
      </w:r>
      <w:r>
        <w:rPr>
          <w:b/>
          <w:bCs/>
        </w:rPr>
        <w:t xml:space="preserve">): BC = 86 (Severe specification failure).</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rPr>
          <w:rStyle w:val="FootnoteReference"/>
        </w:rPr>
        <w:footnoteReference w:id="57"/>
      </w:r>
      <w:r>
        <w:t xml:space="preserve"> </w:t>
      </w:r>
      <w:r>
        <w:t xml:space="preserve">Outer-alignment failure at the extreme — the specification made rights-preservation mathematically impossible. Dimensions tested: D₁ + D₃ + D₄.</w:t>
      </w:r>
    </w:p>
    <w:p>
      <w:pPr>
        <w:pStyle w:val="BodyText"/>
      </w:pPr>
      <w:r>
        <w:rPr>
          <w:b/>
          <w:bCs/>
        </w:rPr>
        <w:t xml:space="preserve">Canadian: National Sex Offender Registry, SOIRA (pre-</w:t>
      </w:r>
      <w:r>
        <w:rPr>
          <w:b/>
          <w:bCs/>
          <w:i/>
          <w:iCs/>
        </w:rPr>
        <w:t xml:space="preserve">Ndhlovu</w:t>
      </w:r>
      <w:r>
        <w:rPr>
          <w:b/>
          <w:bCs/>
        </w:rPr>
        <w:t xml:space="preserve">): BC = 68 (High drift).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w:t>
      </w:r>
      <w:r>
        <w:rPr>
          <w:rStyle w:val="FootnoteReference"/>
        </w:rPr>
        <w:footnoteReference w:id="58"/>
      </w:r>
      <w:r>
        <w:t xml:space="preserve"> </w:t>
      </w:r>
      <w:r>
        <w:t xml:space="preserve">Dimensions tested: D₁ + D₃.</w:t>
      </w:r>
    </w:p>
    <w:p>
      <w:pPr>
        <w:pStyle w:val="BodyText"/>
      </w:pPr>
      <w:r>
        <w:rPr>
          <w:b/>
          <w:bCs/>
        </w:rPr>
        <w:t xml:space="preserve">Canadian:</w:t>
      </w:r>
      <w:r>
        <w:rPr>
          <w:b/>
          <w:bCs/>
        </w:rPr>
        <w:t xml:space="preserve"> </w:t>
      </w:r>
      <w:r>
        <w:rPr>
          <w:b/>
          <w:bCs/>
          <w:i/>
          <w:iCs/>
        </w:rPr>
        <w:t xml:space="preserve">Ontario Safe Streets Act</w:t>
      </w:r>
      <w:r>
        <w:rPr>
          <w:b/>
          <w:bCs/>
        </w:rPr>
        <w:t xml:space="preserve">, SO 1999, c 8: BC = 70 (High drift).</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 11(d) of the Charter (presumption of innocence). Causal-Goodhart variant: the proxy (aggressive solicitation) correlates with the target (public-safety risk) only because both correlate with poverty, and enforcement effectively intervened on poverty rather than on risk. Dimensions tested: D₁ + D₅.</w:t>
      </w:r>
    </w:p>
    <w:p>
      <w:pPr>
        <w:pStyle w:val="BodyText"/>
      </w:pPr>
      <w:r>
        <w:rPr>
          <w:b/>
          <w:bCs/>
        </w:rPr>
        <w:t xml:space="preserve">US: ACCA</w:t>
      </w:r>
      <w:r>
        <w:rPr>
          <w:b/>
          <w:bCs/>
        </w:rPr>
        <w:t xml:space="preserve"> </w:t>
      </w:r>
      <w:r>
        <w:rPr>
          <w:b/>
          <w:bCs/>
        </w:rPr>
        <w:t xml:space="preserve">“residual clause”</w:t>
      </w:r>
      <w:r>
        <w:rPr>
          <w:b/>
          <w:bCs/>
        </w:rPr>
        <w:t xml:space="preserve"> </w:t>
      </w:r>
      <w:r>
        <w:rPr>
          <w:b/>
          <w:bCs/>
        </w:rPr>
        <w:t xml:space="preserve">trilogy —</w:t>
      </w:r>
      <w:r>
        <w:rPr>
          <w:b/>
          <w:bCs/>
        </w:rPr>
        <w:t xml:space="preserve"> </w:t>
      </w:r>
      <w:r>
        <w:rPr>
          <w:b/>
          <w:bCs/>
          <w:i/>
          <w:iCs/>
        </w:rPr>
        <w:t xml:space="preserve">Johnson v United States</w:t>
      </w:r>
      <w:r>
        <w:rPr>
          <w:b/>
          <w:bCs/>
        </w:rPr>
        <w:t xml:space="preserve">, 576 US 591 (2015);</w:t>
      </w:r>
      <w:r>
        <w:rPr>
          <w:b/>
          <w:bCs/>
        </w:rPr>
        <w:t xml:space="preserve"> </w:t>
      </w:r>
      <w:r>
        <w:rPr>
          <w:b/>
          <w:bCs/>
          <w:i/>
          <w:iCs/>
        </w:rPr>
        <w:t xml:space="preserve">Sessions v Dimaya</w:t>
      </w:r>
      <w:r>
        <w:rPr>
          <w:b/>
          <w:bCs/>
        </w:rPr>
        <w:t xml:space="preserve">, 584 US 148 (2018);</w:t>
      </w:r>
      <w:r>
        <w:rPr>
          <w:b/>
          <w:bCs/>
        </w:rPr>
        <w:t xml:space="preserve"> </w:t>
      </w:r>
      <w:r>
        <w:rPr>
          <w:b/>
          <w:bCs/>
          <w:i/>
          <w:iCs/>
        </w:rPr>
        <w:t xml:space="preserve">United States v Davis</w:t>
      </w:r>
      <w:r>
        <w:rPr>
          <w:b/>
          <w:bCs/>
        </w:rPr>
        <w:t xml:space="preserve">, 139 S Ct 2319 (2019): equivalent BC = 72 (High drift).</w:t>
      </w:r>
      <w:r>
        <w:t xml:space="preserve"> </w:t>
      </w:r>
      <w:r>
        <w:t xml:space="preserve">The Armed Career Criminal Act’s</w:t>
      </w:r>
      <w:r>
        <w:t xml:space="preserve"> </w:t>
      </w:r>
      <w:r>
        <w:t xml:space="preserve">“residual clause”</w:t>
      </w:r>
      <w:r>
        <w:t xml:space="preserve"> </w:t>
      </w:r>
      <w:r>
        <w:t xml:space="preserve">(18 USC § 924(e)) defined a</w:t>
      </w:r>
      <w:r>
        <w:t xml:space="preserve"> </w:t>
      </w:r>
      <w:r>
        <w:t xml:space="preserve">“violent felony”</w:t>
      </w:r>
      <w:r>
        <w:t xml:space="preserve"> </w:t>
      </w:r>
      <w:r>
        <w:t xml:space="preserve">as any offence</w:t>
      </w:r>
      <w:r>
        <w:t xml:space="preserve"> </w:t>
      </w:r>
      <w:r>
        <w:t xml:space="preserve">“otherwise involv[ing] conduct that presents a serious potential risk of physical injury to another.”</w:t>
      </w:r>
      <w:r>
        <w:t xml:space="preserve"> </w:t>
      </w:r>
      <w:r>
        <w:t xml:space="preserve">Justice Scalia struck the clause in</w:t>
      </w:r>
      <w:r>
        <w:t xml:space="preserve"> </w:t>
      </w:r>
      <w:r>
        <w:rPr>
          <w:i/>
          <w:iCs/>
        </w:rPr>
        <w:t xml:space="preserve">Johnson</w:t>
      </w:r>
      <w:r>
        <w:t xml:space="preserve"> </w:t>
      </w:r>
      <w:r>
        <w:t xml:space="preserve">on void-for-vagueness grounds, concluding after nine years of litigation that the statute’s hypothetical</w:t>
      </w:r>
      <w:r>
        <w:t xml:space="preserve"> </w:t>
      </w:r>
      <w:r>
        <w:t xml:space="preserve">“ordinary case”</w:t>
      </w:r>
      <w:r>
        <w:t xml:space="preserve"> </w:t>
      </w:r>
      <w:r>
        <w:t xml:space="preserve">inquiry and indeterminate risk threshold produced</w:t>
      </w:r>
      <w:r>
        <w:t xml:space="preserve"> </w:t>
      </w:r>
      <w:r>
        <w:t xml:space="preserve">“hopeless indeterminacy.”</w:t>
      </w:r>
      <w:r>
        <w:rPr>
          <w:rStyle w:val="FootnoteReference"/>
        </w:rPr>
        <w:footnoteReference w:id="59"/>
      </w:r>
      <w:r>
        <w:t xml:space="preserve"> </w:t>
      </w:r>
      <w:r>
        <w:t xml:space="preserve">Justice Kagan extended the holding in</w:t>
      </w:r>
      <w:r>
        <w:t xml:space="preserve"> </w:t>
      </w:r>
      <w:r>
        <w:rPr>
          <w:i/>
          <w:iCs/>
        </w:rPr>
        <w:t xml:space="preserve">Dimaya</w:t>
      </w:r>
      <w:r>
        <w:t xml:space="preserve"> </w:t>
      </w:r>
      <w:r>
        <w:t xml:space="preserve">to the INA’s parallel</w:t>
      </w:r>
      <w:r>
        <w:t xml:space="preserve"> </w:t>
      </w:r>
      <w:r>
        <w:t xml:space="preserve">“crime of violence”</w:t>
      </w:r>
      <w:r>
        <w:t xml:space="preserve"> </w:t>
      </w:r>
      <w:r>
        <w:t xml:space="preserve">definition; Justice Gorsuch completed the trilogy in</w:t>
      </w:r>
      <w:r>
        <w:t xml:space="preserve"> </w:t>
      </w:r>
      <w:r>
        <w:rPr>
          <w:i/>
          <w:iCs/>
        </w:rPr>
        <w:t xml:space="preserve">Davis</w:t>
      </w:r>
      <w:r>
        <w:t xml:space="preserve">, invalidating the Hobbs Act’s residual clause. The statutory language had drifted so far from any cognizable specification that federal courts could not reliably apply it — a textbook specification-failure case in the legal register. Dimensions tested: D₁ + D₃.</w:t>
      </w:r>
    </w:p>
    <w:p>
      <w:pPr>
        <w:pStyle w:val="BodyText"/>
      </w:pPr>
      <w:r>
        <w:rPr>
          <w:b/>
          <w:bCs/>
        </w:rPr>
        <w:t xml:space="preserve">US:</w:t>
      </w:r>
      <w:r>
        <w:rPr>
          <w:b/>
          <w:bCs/>
        </w:rPr>
        <w:t xml:space="preserve"> </w:t>
      </w:r>
      <w:r>
        <w:rPr>
          <w:b/>
          <w:bCs/>
          <w:i/>
          <w:iCs/>
        </w:rPr>
        <w:t xml:space="preserve">Romer v Evans</w:t>
      </w:r>
      <w:r>
        <w:rPr>
          <w:b/>
          <w:bCs/>
        </w:rPr>
        <w:t xml:space="preserve">, 517 US 620 (1996): equivalent BC = 74 (High drift).</w:t>
      </w:r>
      <w:r>
        <w:t xml:space="preserve"> </w:t>
      </w:r>
      <w:r>
        <w:t xml:space="preserve">Colorado’s Amendment 2 purported to prevent</w:t>
      </w:r>
      <w:r>
        <w:t xml:space="preserve"> </w:t>
      </w:r>
      <w:r>
        <w:t xml:space="preserve">“special rights”</w:t>
      </w:r>
      <w:r>
        <w:t xml:space="preserve"> </w:t>
      </w:r>
      <w:r>
        <w:t xml:space="preserve">for gay and lesbian residents; its operative effect was to revoke all existing municipal anti-discrimination protections (Denver, Boulder, Aspen) and to bar future ones. Justice Kennedy, for a 6-3 majority, struck the amendment even under rational-basis review: the law’s</w:t>
      </w:r>
      <w:r>
        <w:t xml:space="preserve"> </w:t>
      </w:r>
      <w:r>
        <w:t xml:space="preserve">“sheer breadth is so discontinuous with the reasons offered for it”</w:t>
      </w:r>
      <w:r>
        <w:t xml:space="preserve"> </w:t>
      </w:r>
      <w:r>
        <w:t xml:space="preserve">that it identified persons by a single trait and denied them protection across the board. The proxy — categorical exclusion — had separated from any legitimate state interest so fully that the Court inferred the real aim was animus.</w:t>
      </w:r>
      <w:r>
        <w:rPr>
          <w:rStyle w:val="FootnoteReference"/>
        </w:rPr>
        <w:footnoteReference w:id="60"/>
      </w:r>
      <w:r>
        <w:t xml:space="preserve"> </w:t>
      </w:r>
      <w:r>
        <w:t xml:space="preserve">This is the US cognate of Canadian purpose-effect review without abandoning the deferential standard’s nominal structure — what US scholarship has labelled</w:t>
      </w:r>
      <w:r>
        <w:t xml:space="preserve"> </w:t>
      </w:r>
      <w:r>
        <w:t xml:space="preserve">“rational basis with bite.”</w:t>
      </w:r>
      <w:r>
        <w:t xml:space="preserve"> </w:t>
      </w:r>
      <w:r>
        <w:t xml:space="preserve">Primary dimension: D₁.</w:t>
      </w:r>
    </w:p>
    <w:p>
      <w:pPr>
        <w:pStyle w:val="BodyText"/>
      </w:pPr>
      <w:r>
        <w:rPr>
          <w:b/>
          <w:bCs/>
        </w:rPr>
        <w:t xml:space="preserve">UK:</w:t>
      </w:r>
      <w:r>
        <w:rPr>
          <w:b/>
          <w:bCs/>
        </w:rPr>
        <w:t xml:space="preserve"> </w:t>
      </w:r>
      <w:r>
        <w:rPr>
          <w:b/>
          <w:bCs/>
          <w:i/>
          <w:iCs/>
        </w:rPr>
        <w:t xml:space="preserve">A v Secretary of State for the Home Department (Belmarsh)</w:t>
      </w:r>
      <w:r>
        <w:rPr>
          <w:b/>
          <w:bCs/>
        </w:rPr>
        <w:t xml:space="preserve"> </w:t>
      </w:r>
      <w:r>
        <w:rPr>
          <w:b/>
          <w:bCs/>
        </w:rPr>
        <w:t xml:space="preserve">[2004] UKHL 56: equivalent BC = 82 (Severe specification failure).</w:t>
      </w:r>
      <w:r>
        <w:t xml:space="preserve"> </w:t>
      </w:r>
      <w:r>
        <w:t xml:space="preserve">Section 23 of the Anti-Terrorism, Crime and Security Act 2001 permitted indefinite detention without trial of foreign-national terror suspects whom the United Kingdom could not deport (deportation would have breached ECHR Article 3). Lord Bingham, writing for an 8-1 majority, found the regime disproportionate and discriminatory and issued a declaration of incompatibility under HRA s. 4.</w:t>
      </w:r>
      <w:r>
        <w:rPr>
          <w:rStyle w:val="FootnoteReference"/>
        </w:rPr>
        <w:footnoteReference w:id="61"/>
      </w:r>
      <w:r>
        <w:t xml:space="preserve"> </w:t>
      </w:r>
      <w:r>
        <w:t xml:space="preserve">The regime was simultaneously</w:t>
      </w:r>
      <w:r>
        <w:t xml:space="preserve"> </w:t>
      </w:r>
      <w:r>
        <w:rPr>
          <w:i/>
          <w:iCs/>
        </w:rPr>
        <w:t xml:space="preserve">under-inclusive</w:t>
      </w:r>
      <w:r>
        <w:t xml:space="preserve"> </w:t>
      </w:r>
      <w:r>
        <w:t xml:space="preserve">(British nationals posing equal or greater threat were untouched) and</w:t>
      </w:r>
      <w:r>
        <w:t xml:space="preserve"> </w:t>
      </w:r>
      <w:r>
        <w:rPr>
          <w:i/>
          <w:iCs/>
        </w:rPr>
        <w:t xml:space="preserve">over-inclusive</w:t>
      </w:r>
      <w:r>
        <w:t xml:space="preserve"> </w:t>
      </w:r>
      <w:r>
        <w:t xml:space="preserve">(detention was indefinite and applied to persons the state could not lawfully remove). Lord Hoffmann’s memorable dissent —</w:t>
      </w:r>
      <w:r>
        <w:t xml:space="preserve"> </w:t>
      </w:r>
      <w:r>
        <w:t xml:space="preserve">“the real threat to the life of the nation … comes not from terrorism but from laws such as these”</w:t>
      </w:r>
      <w:r>
        <w:t xml:space="preserve"> </w:t>
      </w:r>
      <w:r>
        <w:t xml:space="preserve">— captured the structural point with unusual force. Dimensions tested: D₃ + D₄.</w:t>
      </w:r>
    </w:p>
    <w:p>
      <w:pPr>
        <w:pStyle w:val="BodyText"/>
      </w:pPr>
      <w:r>
        <w:rPr>
          <w:b/>
          <w:bCs/>
        </w:rPr>
        <w:t xml:space="preserve">UK:</w:t>
      </w:r>
      <w:r>
        <w:rPr>
          <w:b/>
          <w:bCs/>
        </w:rPr>
        <w:t xml:space="preserve"> </w:t>
      </w:r>
      <w:r>
        <w:rPr>
          <w:b/>
          <w:bCs/>
          <w:i/>
          <w:iCs/>
        </w:rPr>
        <w:t xml:space="preserve">Salvesen v Riddell</w:t>
      </w:r>
      <w:r>
        <w:rPr>
          <w:b/>
          <w:bCs/>
        </w:rPr>
        <w:t xml:space="preserve"> </w:t>
      </w:r>
      <w:r>
        <w:rPr>
          <w:b/>
          <w:bCs/>
        </w:rPr>
        <w:t xml:space="preserve">[2013] UKSC 22: equivalent BC = 76 (High drift).</w:t>
      </w:r>
      <w:r>
        <w:t xml:space="preserve"> </w:t>
      </w:r>
      <w:r>
        <w:t xml:space="preserve">Section 72 of the Agricultural Holdings (Scotland) Act 2003 created differential succession rights keyed to whether a landlord’s notice to quit was served before or after 1 July 2003 — an arbitrary temporal cut-off applied retrospectively. Lord Hope, for a unanimous court, found the provision breached A1P1 of the European Convention on Human Rights and was therefore outside the legislative competence of the Scottish Parliament under Scotland Act 1998, s. 29(2)(d). The remedy — a suspended declaration under s. 102 of the Scotland Act — gave Holyrood twelve months to cure.</w:t>
      </w:r>
      <w:r>
        <w:rPr>
          <w:rStyle w:val="FootnoteReference"/>
        </w:rPr>
        <w:footnoteReference w:id="62"/>
      </w:r>
      <w:r>
        <w:t xml:space="preserve"> </w:t>
      </w:r>
      <w:r>
        <w:t xml:space="preserve">The proxy (date-based categorization) had disconnected from the stated end (fair tenancy reform) to the point of arbitrariness, and the devolution-competence frame produced an outcome stronger than HRA s. 4 because it denied legislative competence altogether. Structurally, the case is the UK twin of</w:t>
      </w:r>
      <w:r>
        <w:t xml:space="preserve"> </w:t>
      </w:r>
      <w:r>
        <w:rPr>
          <w:i/>
          <w:iCs/>
        </w:rPr>
        <w:t xml:space="preserve">Ndhlovu</w:t>
      </w:r>
      <w:r>
        <w:t xml:space="preserve">: a good-faith reform whose specification had lost contact with its purpose. Dimensions tested: D₁ + D₂.</w:t>
      </w:r>
    </w:p>
    <w:p>
      <w:pPr>
        <w:pStyle w:val="BodyText"/>
      </w:pPr>
      <w:r>
        <w:t xml:space="preserve">The full prototype corpus (fifteen laws) includes mandatory-minimum provisions under Criminal Code s. 95 (pre-</w:t>
      </w:r>
      <w:r>
        <w:rPr>
          <w:i/>
          <w:iCs/>
        </w:rPr>
        <w:t xml:space="preserve">Nur</w:t>
      </w:r>
      <w:r>
        <w:t xml:space="preserve">), Quebec’s Bill 21, Alberta’s</w:t>
      </w:r>
      <w:r>
        <w:t xml:space="preserve"> </w:t>
      </w:r>
      <w:r>
        <w:rPr>
          <w:i/>
          <w:iCs/>
        </w:rPr>
        <w:t xml:space="preserve">Critical Infrastructure Defence Act</w:t>
      </w:r>
      <w:r>
        <w:t xml:space="preserve">, BC civil forfeiture’s unexplained-wealth-order provisions, Toronto parks encampment enforcement, Vancouver’s street-and-traffic bylaw camping provisions, Montreal’s Bylaw P-6 pre-strike, Calgary’s anti-solicitation bylaw, the</w:t>
      </w:r>
      <w:r>
        <w:t xml:space="preserve"> </w:t>
      </w:r>
      <w:r>
        <w:rPr>
          <w:i/>
          <w:iCs/>
        </w:rPr>
        <w:t xml:space="preserve">Anti-Terrorism Act, 2015</w:t>
      </w:r>
      <w:r>
        <w:t xml:space="preserve"> </w:t>
      </w:r>
      <w:r>
        <w:t xml:space="preserve">(Bill C-51), and Section 13 CHRA (pre-repeal), and, for contrast, two low-coefficient instances — the</w:t>
      </w:r>
      <w:r>
        <w:t xml:space="preserve"> </w:t>
      </w:r>
      <w:r>
        <w:rPr>
          <w:i/>
          <w:iCs/>
        </w:rPr>
        <w:t xml:space="preserve">Ontario Not-for-Profit Corporations Act</w:t>
      </w:r>
      <w:r>
        <w:t xml:space="preserve"> </w:t>
      </w:r>
      <w:r>
        <w:t xml:space="preserve">(BC = 14) and</w:t>
      </w:r>
      <w:r>
        <w:t xml:space="preserve"> </w:t>
      </w:r>
      <w:r>
        <w:rPr>
          <w:i/>
          <w:iCs/>
        </w:rPr>
        <w:t xml:space="preserve">Vancouver’s Noise Control Bylaw</w:t>
      </w:r>
      <w:r>
        <w:t xml:space="preserve"> </w:t>
      </w:r>
      <w:r>
        <w:t xml:space="preserve">#6555 (BC = 12) — demonstrating that the Coefficient rewards narrow purpose-effect tracking, not just catches overreach.</w:t>
      </w:r>
    </w:p>
    <w:bookmarkEnd w:id="63"/>
    <w:bookmarkStart w:id="80"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bookmarkStart w:id="66" w:name="a.-descriptive-ancestors"/>
    <w:p>
      <w:pPr>
        <w:pStyle w:val="Heading3"/>
      </w:pPr>
      <w:r>
        <w:t xml:space="preserve">A. Descriptive Ancestors</w:t>
      </w:r>
    </w:p>
    <w:p>
      <w:pPr>
        <w:pStyle w:val="FirstParagraph"/>
      </w:pPr>
      <w:r>
        <w:rPr>
          <w:b/>
          <w:bCs/>
        </w:rPr>
        <w:t xml:space="preserve">Merton (1936).</w:t>
      </w:r>
      <w:r>
        <w:t xml:space="preserve"> </w:t>
      </w:r>
      <w:r>
        <w:rPr>
          <w:i/>
          <w:iCs/>
        </w:rPr>
        <w:t xml:space="preserve">The Unanticipated Consequences of Purposive Social Action</w:t>
      </w:r>
      <w:r>
        <w:rPr>
          <w:rStyle w:val="FootnoteReference"/>
        </w:rPr>
        <w:footnoteReference w:id="64"/>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w:t>
      </w:r>
      <w:r>
        <w:rPr>
          <w:rStyle w:val="FootnoteReference"/>
        </w:rPr>
        <w:footnoteReference w:id="65"/>
      </w:r>
    </w:p>
    <w:bookmarkEnd w:id="66"/>
    <w:bookmarkStart w:id="74" w:name="b.-doctrinal-neighbours"/>
    <w:p>
      <w:pPr>
        <w:pStyle w:val="Heading3"/>
      </w:pPr>
      <w:r>
        <w:t xml:space="preserve">B. Doctrinal Neighbours</w:t>
      </w:r>
    </w:p>
    <w:p>
      <w:pPr>
        <w:pStyle w:val="FirstParagraph"/>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w:t>
      </w:r>
      <w:r>
        <w:rPr>
          <w:rStyle w:val="FootnoteReference"/>
        </w:rPr>
        <w:footnoteReference w:id="67"/>
      </w:r>
      <w:r>
        <w:t xml:space="preserve"> </w:t>
      </w:r>
      <w:r>
        <w:t xml:space="preserve">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VIII below) is the Coefficient’s structural answer: rather than rely on dialogue to cure over-reach after the fact, tighten the specification at the drafting stage.</w:t>
      </w:r>
    </w:p>
    <w:p>
      <w:pPr>
        <w:pStyle w:val="BodyText"/>
      </w:pPr>
      <w:r>
        <w:rPr>
          <w:b/>
          <w:bCs/>
        </w:rPr>
        <w:t xml:space="preserve">Stewart (2015, 2024) and the Canadian instrumental-rationality tradition.</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it names, in legal-doctrine language, exactly the specification problem the AI-alignment literature names in mathematical language.</w:t>
      </w:r>
      <w:r>
        <w:rPr>
          <w:rStyle w:val="FootnoteReference"/>
        </w:rPr>
        <w:footnoteReference w:id="68"/>
      </w:r>
      <w:r>
        <w:t xml:space="preserve"> </w:t>
      </w:r>
      <w:r>
        <w:t xml:space="preserve">A Canadian legal audience will read the alignment literature through Stewart; an alignment-literate audience will read Stewart through Hubinger. The Coefficient sits at that intersection. Colton Fehr’s</w:t>
      </w:r>
      <w:r>
        <w:t xml:space="preserve"> </w:t>
      </w:r>
      <w:r>
        <w:rPr>
          <w:i/>
          <w:iCs/>
        </w:rPr>
        <w:t xml:space="preserve">“Re-Thinking the Instrumental Rationality Principles of Fundamental Justice”</w:t>
      </w:r>
      <w:r>
        <w:t xml:space="preserve"> </w:t>
      </w:r>
      <w:r>
        <w:t xml:space="preserve">(2020) collapses arbitrariness, overbreadth, and gross disproportionality into a single</w:t>
      </w:r>
      <w:r>
        <w:t xml:space="preserve"> </w:t>
      </w:r>
      <w:r>
        <w:t xml:space="preserve">“instrumental rationality”</w:t>
      </w:r>
      <w:r>
        <w:t xml:space="preserve"> </w:t>
      </w:r>
      <w:r>
        <w:t xml:space="preserve">family;</w:t>
      </w:r>
      <w:r>
        <w:rPr>
          <w:rStyle w:val="FootnoteReference"/>
        </w:rPr>
        <w:footnoteReference w:id="69"/>
      </w:r>
      <w:r>
        <w:t xml:space="preserve"> </w:t>
      </w:r>
      <w:r>
        <w:t xml:space="preserve">Peter Hogg’s (2012) reading of s. 7 as catching</w:t>
      </w:r>
      <w:r>
        <w:t xml:space="preserve"> </w:t>
      </w:r>
      <w:r>
        <w:t xml:space="preserve">“failures of instrumental rationality”</w:t>
      </w:r>
      <w:r>
        <w:t xml:space="preserve"> </w:t>
      </w:r>
      <w:r>
        <w:t xml:space="preserve">anticipates the frame by a decade, before the AI-alignment vocabulary existed.</w:t>
      </w:r>
      <w:r>
        <w:rPr>
          <w:rStyle w:val="FootnoteReference"/>
        </w:rPr>
        <w:footnoteReference w:id="70"/>
      </w:r>
      <w:r>
        <w:t xml:space="preserve"> </w:t>
      </w:r>
      <w:r>
        <w:t xml:space="preserve">Alana Klein’s</w:t>
      </w:r>
      <w:r>
        <w:t xml:space="preserve"> </w:t>
      </w:r>
      <w:r>
        <w:rPr>
          <w:i/>
          <w:iCs/>
        </w:rPr>
        <w:t xml:space="preserve">“The Arbitrariness in</w:t>
      </w:r>
      <w:r>
        <w:rPr>
          <w:i/>
          <w:iCs/>
        </w:rPr>
        <w:t xml:space="preserve"> </w:t>
      </w:r>
      <w:r>
        <w:rPr>
          <w:i/>
          <w:iCs/>
        </w:rPr>
        <w:t xml:space="preserve">‘Arbitrariness’</w:t>
      </w:r>
      <w:r>
        <w:rPr>
          <w:i/>
          <w:iCs/>
        </w:rPr>
        <w:t xml:space="preserve">”</w:t>
      </w:r>
      <w:r>
        <w:t xml:space="preserve"> </w:t>
      </w:r>
      <w:r>
        <w:t xml:space="preserve">(2013) offers an important internal critique: arbitrariness analysis sharpens only for politically powerless groups; if the scorer’s weights are hidden, the scorer falls to its own diagnosis. Klein’s critique is taken up in the Limitations section.</w:t>
      </w:r>
      <w:r>
        <w:rPr>
          <w:rStyle w:val="FootnoteReference"/>
        </w:rPr>
        <w:footnoteReference w:id="71"/>
      </w:r>
    </w:p>
    <w:p>
      <w:pPr>
        <w:pStyle w:val="BodyText"/>
      </w:pPr>
      <w:r>
        <w:rPr>
          <w:b/>
          <w:bCs/>
        </w:rPr>
        <w:t xml:space="preserve">Siegel (1996) and the US theoretical ancestor.</w:t>
      </w:r>
      <w:r>
        <w:t xml:space="preserve"> </w:t>
      </w:r>
      <w:r>
        <w:t xml:space="preserve">Reva Siegel’s</w:t>
      </w:r>
      <w:r>
        <w:t xml:space="preserve"> </w:t>
      </w:r>
      <w:r>
        <w:rPr>
          <w:i/>
          <w:iCs/>
        </w:rPr>
        <w:t xml:space="preserve">“The Rule of Love”</w:t>
      </w:r>
      <w:r>
        <w:t xml:space="preserve"> </w:t>
      </w:r>
      <w:r>
        <w:t xml:space="preserve">(1996) 105 Yale LJ 2117 introduces the</w:t>
      </w:r>
      <w:r>
        <w:t xml:space="preserve"> </w:t>
      </w:r>
      <w:r>
        <w:t xml:space="preserve">“preservation-through-transformation”</w:t>
      </w:r>
      <w:r>
        <w:t xml:space="preserve"> </w:t>
      </w:r>
      <w:r>
        <w:t xml:space="preserve">framework — the thesis that laws (and legal doctrines) can claim to have transformed while preserving an older hierarchy of status — and is the pre-eminent US theoretical ancestor of the missing-the-mark frame.</w:t>
      </w:r>
      <w:r>
        <w:rPr>
          <w:rStyle w:val="FootnoteReference"/>
        </w:rPr>
        <w:footnoteReference w:id="72"/>
      </w:r>
      <w:r>
        <w:t xml:space="preserve"> </w:t>
      </w:r>
      <w:r>
        <w:t xml:space="preserve">The US literature is pattern-rich (Stuntz on criminal-law pathological politics; Bagenstos on ADA failure; Fallon reframing strict scrutiny as proportionality; Huq and Ginsburg on constitutional retrogression) but the single piece of theoretical architecture closest to what this paper calls Borovoy Drift is Siegel’s. A U.S. audience reading the Coefficient without this anchor will see a gap that is not actually there; the citation closes it.</w:t>
      </w:r>
    </w:p>
    <w:p>
      <w:pPr>
        <w:pStyle w:val="BodyText"/>
      </w:pPr>
      <w:r>
        <w:rPr>
          <w:b/>
          <w:bCs/>
        </w:rPr>
        <w:t xml:space="preserve">Kavanagh, Hickman, Elliott — the UK proportionality canon.</w:t>
      </w:r>
      <w:r>
        <w:t xml:space="preserve"> </w:t>
      </w:r>
      <w:r>
        <w:t xml:space="preserve">On the UK side, Aileen Kavanagh’s</w:t>
      </w:r>
      <w:r>
        <w:t xml:space="preserve"> </w:t>
      </w:r>
      <w:r>
        <w:rPr>
          <w:i/>
          <w:iCs/>
        </w:rPr>
        <w:t xml:space="preserve">The Collaborative Constitution</w:t>
      </w:r>
      <w:r>
        <w:t xml:space="preserve"> </w:t>
      </w:r>
      <w:r>
        <w:t xml:space="preserve">(CUP 2023), Tom Hickman’s</w:t>
      </w:r>
      <w:r>
        <w:t xml:space="preserve"> </w:t>
      </w:r>
      <w:r>
        <w:rPr>
          <w:i/>
          <w:iCs/>
        </w:rPr>
        <w:t xml:space="preserve">Public Law after the HRA</w:t>
      </w:r>
      <w:r>
        <w:t xml:space="preserve"> </w:t>
      </w:r>
      <w:r>
        <w:t xml:space="preserve">(Hart 2010), and Mark Elliott’s</w:t>
      </w:r>
      <w:r>
        <w:t xml:space="preserve"> </w:t>
      </w:r>
      <w:r>
        <w:rPr>
          <w:i/>
          <w:iCs/>
        </w:rPr>
        <w:t xml:space="preserve">Public Law</w:t>
      </w:r>
      <w:r>
        <w:t xml:space="preserve"> </w:t>
      </w:r>
      <w:r>
        <w:t xml:space="preserve">5th ed (OUP 2024) furnish the doctrinal scaffolding within which</w:t>
      </w:r>
      <w:r>
        <w:t xml:space="preserve"> </w:t>
      </w:r>
      <w:r>
        <w:rPr>
          <w:i/>
          <w:iCs/>
        </w:rPr>
        <w:t xml:space="preserve">Bank Mellat</w:t>
      </w:r>
      <w:r>
        <w:t xml:space="preserve"> </w:t>
      </w:r>
      <w:r>
        <w:t xml:space="preserve">proportionality and HRA s. 3/s. 4 operate. Hickman’s culture-of-justification thesis (carried forward from Murray Hunt) is the closest UK cognate to the alignment-instrument move: a shift from deferential rationality review toward justification-demanding proportionality is, in this paper’s register, a demand that the state specify its objective tightly enough to be measured against it.</w:t>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cross-cutting competitor.</w:t>
      </w:r>
      <w:r>
        <w:rPr>
          <w:rStyle w:val="FootnoteReference"/>
        </w:rPr>
        <w:footnoteReference w:id="73"/>
      </w:r>
      <w:r>
        <w:t xml:space="preserve"> </w:t>
      </w:r>
      <w:r>
        <w:t xml:space="preserve">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bookmarkEnd w:id="74"/>
    <w:bookmarkStart w:id="77" w:name="X1802caee34a065638cd4eedb9b2ea9822eac778"/>
    <w:p>
      <w:pPr>
        <w:pStyle w:val="Heading3"/>
      </w:pPr>
      <w:r>
        <w:t xml:space="preserve">C. AI-Legal and Political-Economy Cousins</w:t>
      </w:r>
    </w:p>
    <w:p>
      <w:pPr>
        <w:pStyle w:val="FirstParagraph"/>
      </w:pPr>
      <w:r>
        <w:rPr>
          <w:b/>
          <w:bCs/>
        </w:rPr>
        <w:t xml:space="preserve">Guha et al. (2024).</w:t>
      </w:r>
      <w:r>
        <w:t xml:space="preserve"> </w:t>
      </w:r>
      <w:r>
        <w:rPr>
          <w:i/>
          <w:iCs/>
        </w:rPr>
        <w:t xml:space="preserve">AI Regulation Has Its Own Alignment Problem: The Technical and Institutional Feasibility of Disclosure, Registration, Licensing, and Auditing</w:t>
      </w:r>
      <w:r>
        <w:t xml:space="preserve">, 92:6</w:t>
      </w:r>
      <w:r>
        <w:t xml:space="preserve"> </w:t>
      </w:r>
      <w:r>
        <w:rPr>
          <w:i/>
          <w:iCs/>
        </w:rPr>
        <w:t xml:space="preserve">Geo Wash L Rev</w:t>
      </w:r>
      <w:r>
        <w:t xml:space="preserve"> </w:t>
      </w:r>
      <w:r>
        <w:t xml:space="preserve">1473, argues that AI regulation itself exhibits vertical and horizontal alignment failures.</w:t>
      </w:r>
      <w:r>
        <w:rPr>
          <w:rStyle w:val="FootnoteReference"/>
        </w:rPr>
        <w:footnoteReference w:id="75"/>
      </w:r>
      <w:r>
        <w:t xml:space="preserve"> </w:t>
      </w:r>
      <w:r>
        <w:t xml:space="preserve">The paper is a direct intellectual ally — it borrows alignment vocabulary for institutional analysis but stops short of treating statutes as reward functions. The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w:t>
      </w:r>
      <w:r>
        <w:rPr>
          <w:rStyle w:val="FootnoteReference"/>
        </w:rPr>
        <w:footnoteReference w:id="76"/>
      </w:r>
      <w:r>
        <w:t xml:space="preserve"> </w:t>
      </w:r>
      <w:r>
        <w:t xml:space="preserve">The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bookmarkEnd w:id="77"/>
    <w:bookmarkStart w:id="79" w:name="d.-objections-and-limitations"/>
    <w:p>
      <w:pPr>
        <w:pStyle w:val="Heading3"/>
      </w:pPr>
      <w:r>
        <w:t xml:space="preserve">D. Objections and Limitations</w:t>
      </w:r>
    </w:p>
    <w:p>
      <w:pPr>
        <w:pStyle w:val="FirstParagraph"/>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VIII)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w:t>
      </w:r>
      <w:r>
        <w:rPr>
          <w:rStyle w:val="FootnoteReference"/>
        </w:rPr>
        <w:footnoteReference w:id="78"/>
      </w:r>
    </w:p>
    <w:bookmarkEnd w:id="79"/>
    <w:bookmarkEnd w:id="80"/>
    <w:bookmarkStart w:id="84"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2"/>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2"/>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2"/>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CCLA has been asking for disparate-impact reporting on police services since the 1990s; it remains largely absent from Canadian enforcement-data infrastructure.</w:t>
      </w:r>
    </w:p>
    <w:p>
      <w:pPr>
        <w:numPr>
          <w:ilvl w:val="0"/>
          <w:numId w:val="1002"/>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2"/>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principles can be drawn from advocacy by CCLA and kindred organizations for decades. On the US side, the ACLU’s centennial retrospective assembles a century of this advocacy in one volume;</w:t>
      </w:r>
      <w:r>
        <w:rPr>
          <w:rStyle w:val="FootnoteReference"/>
        </w:rPr>
        <w:footnoteReference w:id="81"/>
      </w:r>
      <w:r>
        <w:t xml:space="preserve"> </w:t>
      </w:r>
      <w:r>
        <w:t xml:space="preserve">on the Canadian side, Marian Botsford Fraser’s</w:t>
      </w:r>
      <w:r>
        <w:t xml:space="preserve"> </w:t>
      </w:r>
      <w:r>
        <w:rPr>
          <w:i/>
          <w:iCs/>
        </w:rPr>
        <w:t xml:space="preserve">Acting for Freedom: Fifty Years of Civil Liberties in Canada</w:t>
      </w:r>
      <w:r>
        <w:t xml:space="preserve"> </w:t>
      </w:r>
      <w:r>
        <w:t xml:space="preserve">(2014) performs the same function for CCLA’s first half-century;</w:t>
      </w:r>
      <w:r>
        <w:rPr>
          <w:rStyle w:val="FootnoteReference"/>
        </w:rPr>
        <w:footnoteReference w:id="82"/>
      </w:r>
      <w:r>
        <w:t xml:space="preserve"> </w:t>
      </w:r>
      <w:r>
        <w:t xml:space="preserve">and in the United Kingdom, Liberty (founded 1934 as the National Council for Civil Liberties) has maintained a parallel tradition of structural rights advocacy.</w:t>
      </w:r>
      <w:r>
        <w:rPr>
          <w:rStyle w:val="FootnoteReference"/>
        </w:rPr>
        <w:footnoteReference w:id="83"/>
      </w:r>
      <w:r>
        <w:t xml:space="preserve"> </w:t>
      </w:r>
      <w:r>
        <w:t xml:space="preserve">What is new is the assembly of these principles into a coherent prospective architecture keyed to a measurement instrument. The intention herein is to expand this tribute essay into an infrastructure.</w:t>
      </w:r>
    </w:p>
    <w:bookmarkEnd w:id="84"/>
    <w:bookmarkStart w:id="85"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over-broad definition,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 same structural techniques apply is enough to warrant an instrument.</w:t>
      </w:r>
    </w:p>
    <w:p>
      <w:pPr>
        <w:pStyle w:val="BodyText"/>
      </w:pPr>
      <w:r>
        <w:t xml:space="preserve">If Borovoy were still in the field he would, I think, be unsurprised by this identification.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This is a novel means by which constitutional marks ought not be missed.</w:t>
      </w:r>
    </w:p>
    <w:p>
      <w:r>
        <w:pict>
          <v:rect style="width:0;height:1.5pt" o:hralign="center" o:hrstd="t" o:hr="t"/>
        </w:pict>
      </w:r>
    </w:p>
    <w:p>
      <w:pPr>
        <w:pStyle w:val="FirstParagraph"/>
      </w:pPr>
      <w:r>
        <w:rPr>
          <w:i/>
          <w:iCs/>
        </w:rPr>
        <w:t xml:space="preserve">Cite as: Michael Bryant,</w:t>
      </w:r>
      <w:r>
        <w:rPr>
          <w:i/>
          <w:iCs/>
        </w:rPr>
        <w:t xml:space="preserve"> </w:t>
      </w:r>
      <w:r>
        <w:rPr>
          <w:i/>
          <w:iCs/>
        </w:rPr>
        <w:t xml:space="preserve">“The Borovoy Coefficient: A Civil-Liberties Measure of Legislative Alignment”</w:t>
      </w:r>
      <w:r>
        <w:rPr>
          <w:i/>
          <w:iCs/>
        </w:rPr>
        <w:t xml:space="preserve"> </w:t>
      </w:r>
      <w:r>
        <w:rPr>
          <w:i/>
          <w:iCs/>
        </w:rPr>
        <w:t xml:space="preserve">(version 1.5, April 2026), justack.ai/borovoy. Released under the Mozilla Public License 2.0 as a composite measurement instrument with companion scoring methodology and open dashboard.</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Christopher A Hennessy &amp; Charles AE Goodhart,</w:t>
      </w:r>
      <w:r>
        <w:t xml:space="preserve"> </w:t>
      </w:r>
      <w:r>
        <w:t xml:space="preserve">“Goodhart’s Law and Machine Learning: A Structural Perspective”</w:t>
      </w:r>
      <w:r>
        <w:t xml:space="preserve"> </w:t>
      </w:r>
      <w:r>
        <w:t xml:space="preserve">(2023) 64:3 Int’l Econ Rev 1075, DOI 10.1111/iere.12633, open-access version at https://eprints.lse.ac.uk/118656/.</w:t>
      </w:r>
    </w:p>
  </w:footnote>
  <w:footnote w:id="12">
    <w:p>
      <w:pPr>
        <w:pStyle w:val="FootnoteText"/>
      </w:pPr>
      <w:r>
        <w:rPr>
          <w:rStyle w:val="FootnoteReference"/>
        </w:rPr>
        <w:footnoteRef/>
      </w:r>
      <w:r>
        <w:t xml:space="preserve"> </w:t>
      </w:r>
      <w:r>
        <w:t xml:space="preserve">Brian Christian,</w:t>
      </w:r>
      <w:r>
        <w:t xml:space="preserve"> </w:t>
      </w:r>
      <w:r>
        <w:rPr>
          <w:i/>
          <w:iCs/>
        </w:rPr>
        <w:t xml:space="preserve">The Alignment Problem: Machine Learning and Human Values</w:t>
      </w:r>
      <w:r>
        <w:t xml:space="preserve"> </w:t>
      </w:r>
      <w:r>
        <w:t xml:space="preserve">(New York: WW Norton &amp; Company, 2020).</w:t>
      </w:r>
    </w:p>
  </w:footnote>
  <w:footnote w:id="13">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14">
    <w:p>
      <w:pPr>
        <w:pStyle w:val="FootnoteText"/>
      </w:pPr>
      <w:r>
        <w:rPr>
          <w:rStyle w:val="FootnoteReference"/>
        </w:rPr>
        <w:footnoteRef/>
      </w:r>
      <w:r>
        <w:t xml:space="preserve"> </w:t>
      </w:r>
      <w:r>
        <w:t xml:space="preserve">My materials referenced</w:t>
      </w:r>
      <w:r>
        <w:t xml:space="preserve"> </w:t>
      </w:r>
      <w:r>
        <w:t xml:space="preserve">“missing the mark”</w:t>
      </w:r>
      <w:r>
        <w:t xml:space="preserve"> </w:t>
      </w:r>
      <w:r>
        <w:t xml:space="preserve">in a lecture delivered at the Massey College / University of Toronto privacy class (2020), and elaborated in a</w:t>
      </w:r>
      <w:r>
        <w:t xml:space="preserve"> </w:t>
      </w:r>
      <w:r>
        <w:rPr>
          <w:i/>
          <w:iCs/>
        </w:rPr>
        <w:t xml:space="preserve">Pandemic Litigation</w:t>
      </w:r>
      <w:r>
        <w:t xml:space="preserve"> </w:t>
      </w:r>
      <w:r>
        <w:t xml:space="preserve">lecture at McGill University Faculty of Law (9 November 2021). Borovoy’s own vocabulary favoured</w:t>
      </w:r>
      <w:r>
        <w:t xml:space="preserve"> </w:t>
      </w:r>
      <w:r>
        <w:t xml:space="preserve">“too broad,”</w:t>
      </w:r>
      <w:r>
        <w:t xml:space="preserve"> </w:t>
      </w:r>
      <w:r>
        <w:t xml:space="preserve">“vagueness,”</w:t>
      </w:r>
      <w:r>
        <w:t xml:space="preserve"> </w:t>
      </w:r>
      <w:r>
        <w:t xml:space="preserve">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 </w:t>
      </w:r>
      <w:r>
        <w:t xml:space="preserve">(cited</w:t>
      </w:r>
      <w:r>
        <w:t xml:space="preserve"> </w:t>
      </w:r>
      <w:r>
        <w:rPr>
          <w:i/>
          <w:iCs/>
        </w:rPr>
        <w:t xml:space="preserve">supra</w:t>
      </w:r>
      <w:r>
        <w:t xml:space="preserve">.) The archery framing is the author’s analogical tribute to a great predecessor’s underlying idea.</w:t>
      </w:r>
    </w:p>
  </w:footnote>
  <w:footnote w:id="15">
    <w:p>
      <w:pPr>
        <w:pStyle w:val="FootnoteText"/>
      </w:pPr>
      <w:r>
        <w:rPr>
          <w:rStyle w:val="FootnoteReference"/>
        </w:rPr>
        <w:footnoteRef/>
      </w:r>
      <w:r>
        <w:t xml:space="preserve"> </w:t>
      </w:r>
      <w:r>
        <w:t xml:space="preserve">Biomedical misquotation: Gerald de Lacey, Carolyn Record &amp; John Wade,</w:t>
      </w:r>
      <w:r>
        <w:t xml:space="preserve"> </w:t>
      </w:r>
      <w:r>
        <w:t xml:space="preserve">“How Accurate Are Quotations and References in Medical Journals?”</w:t>
      </w:r>
      <w:r>
        <w:t xml:space="preserve"> </w:t>
      </w:r>
      <w:r>
        <w:t xml:space="preserve">(1985) 291</w:t>
      </w:r>
      <w:r>
        <w:t xml:space="preserve"> </w:t>
      </w:r>
      <w:r>
        <w:rPr>
          <w:i/>
          <w:iCs/>
        </w:rPr>
        <w:t xml:space="preserve">British Medical Journal</w:t>
      </w:r>
      <w:r>
        <w:t xml:space="preserve"> </w:t>
      </w:r>
      <w:r>
        <w:t xml:space="preserve">884. Social-science replication: Open Science Collaboration,</w:t>
      </w:r>
      <w:r>
        <w:t xml:space="preserve"> </w:t>
      </w:r>
      <w:r>
        <w:t xml:space="preserve">“Estimating the Reproducibility of Psychological Science”</w:t>
      </w:r>
      <w:r>
        <w:t xml:space="preserve"> </w:t>
      </w:r>
      <w:r>
        <w:t xml:space="preserve">(2015) 349</w:t>
      </w:r>
      <w:r>
        <w:t xml:space="preserve"> </w:t>
      </w:r>
      <w:r>
        <w:rPr>
          <w:i/>
          <w:iCs/>
        </w:rPr>
        <w:t xml:space="preserve">Science</w:t>
      </w:r>
      <w:r>
        <w:t xml:space="preserve"> </w:t>
      </w:r>
      <w:r>
        <w:t xml:space="preserve">aac4716 (36%); Colin F. Camerer et al.,</w:t>
      </w:r>
      <w:r>
        <w:t xml:space="preserve"> </w:t>
      </w:r>
      <w:r>
        <w:t xml:space="preserve">“Evaluating the Replicability of Social 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Between 2010 and 2015”</w:t>
      </w:r>
      <w:r>
        <w:t xml:space="preserve"> </w:t>
      </w:r>
      <w:r>
        <w:t xml:space="preserve">(2018) 2</w:t>
      </w:r>
      <w:r>
        <w:t xml:space="preserve"> </w:t>
      </w:r>
      <w:r>
        <w:rPr>
          <w:i/>
          <w:iCs/>
        </w:rPr>
        <w:t xml:space="preserve">Nature Human Behaviour</w:t>
      </w:r>
      <w:r>
        <w:t xml:space="preserve"> </w:t>
      </w:r>
      <w:r>
        <w:t xml:space="preserve">637 (62%). Journalism: Scott R. Maier,</w:t>
      </w:r>
      <w:r>
        <w:t xml:space="preserve"> </w:t>
      </w:r>
      <w:r>
        <w:t xml:space="preserve">“Accuracy Matters: A Cross-Market Assessment of Newspaper Error and Credibility”</w:t>
      </w:r>
      <w:r>
        <w:t xml:space="preserve"> </w:t>
      </w:r>
      <w:r>
        <w:t xml:space="preserve">(2005) 82</w:t>
      </w:r>
      <w:r>
        <w:t xml:space="preserve"> </w:t>
      </w:r>
      <w:r>
        <w:rPr>
          <w:i/>
          <w:iCs/>
        </w:rPr>
        <w:t xml:space="preserve">Journalism &amp; Mass Communication Quarterly</w:t>
      </w:r>
      <w:r>
        <w:t xml:space="preserve"> </w:t>
      </w:r>
      <w:r>
        <w:t xml:space="preserve">533 (48%). Legal LLM hallucination: Matthew Dahl, Varun Magesh, Mirac Suzgun &amp; Daniel E. Ho,</w:t>
      </w:r>
      <w:r>
        <w:t xml:space="preserve"> </w:t>
      </w:r>
      <w:r>
        <w:t xml:space="preserve">“Large Legal Fictions: Profiling Legal Hallucinations in Large Language Models”</w:t>
      </w:r>
      <w:r>
        <w:t xml:space="preserve"> </w:t>
      </w:r>
      <w:r>
        <w:t xml:space="preserve">(2024) 16</w:t>
      </w:r>
      <w:r>
        <w:t xml:space="preserve"> </w:t>
      </w:r>
      <w:r>
        <w:rPr>
          <w:i/>
          <w:iCs/>
        </w:rPr>
        <w:t xml:space="preserve">Journal of Legal Analysis</w:t>
      </w:r>
      <w:r>
        <w:t xml:space="preserve"> </w:t>
      </w:r>
      <w:r>
        <w:t xml:space="preserve">64 (58-88% bare-model); Varun Magesh et al.,</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(forthcoming 2025) (Lexis+ AI ~17%, Westlaw AI ~34%, Ask Practical Law ~17%). See also European Broadcasting Union &amp; BBC,</w:t>
      </w:r>
      <w:r>
        <w:t xml:space="preserve"> </w:t>
      </w:r>
      <w:r>
        <w:rPr>
          <w:i/>
          <w:iCs/>
        </w:rPr>
        <w:t xml:space="preserve">News Integrity in AI Assistants</w:t>
      </w:r>
      <w:r>
        <w:t xml:space="preserve"> </w:t>
      </w:r>
      <w:r>
        <w:t xml:space="preserve">(October 2025); Richard Van Noorden,</w:t>
      </w:r>
      <w:r>
        <w:t xml:space="preserve"> </w:t>
      </w:r>
      <w:r>
        <w:t xml:space="preserve">“More Than 10,000 Research Papers Were Retracted in 2023”</w:t>
      </w:r>
      <w:r>
        <w:t xml:space="preserve"> </w:t>
      </w:r>
      <w:r>
        <w:rPr>
          <w:i/>
          <w:iCs/>
        </w:rPr>
        <w:t xml:space="preserve">Nature</w:t>
      </w:r>
      <w:r>
        <w:t xml:space="preserve"> </w:t>
      </w:r>
      <w:r>
        <w:t xml:space="preserve">(12 December 2023); Daniele Fanelli,</w:t>
      </w:r>
      <w:r>
        <w:t xml:space="preserve"> </w:t>
      </w:r>
      <w:r>
        <w:t xml:space="preserve">“How Many Scientists Fabricate and Falsify Research?”</w:t>
      </w:r>
      <w:r>
        <w:t xml:space="preserve"> </w:t>
      </w:r>
      <w:r>
        <w:t xml:space="preserve">(2009) 4:5</w:t>
      </w:r>
      <w:r>
        <w:t xml:space="preserve"> </w:t>
      </w:r>
      <w:r>
        <w:rPr>
          <w:i/>
          <w:iCs/>
        </w:rPr>
        <w:t xml:space="preserve">PLoS ONE</w:t>
      </w:r>
      <w:r>
        <w:t xml:space="preserve"> </w:t>
      </w:r>
      <w:r>
        <w:t xml:space="preserve">e5738.</w:t>
      </w:r>
    </w:p>
  </w:footnote>
  <w:footnote w:id="16">
    <w:p>
      <w:pPr>
        <w:pStyle w:val="FootnoteText"/>
      </w:pPr>
      <w:r>
        <w:rPr>
          <w:rStyle w:val="FootnoteReference"/>
        </w:rPr>
        <w:footnoteRef/>
      </w:r>
      <w:r>
        <w:t xml:space="preserve"> </w:t>
      </w:r>
      <w:r>
        <w:t xml:space="preserve">Sara Schroter et al.,</w:t>
      </w:r>
      <w:r>
        <w:t xml:space="preserve"> </w:t>
      </w:r>
      <w:r>
        <w:t xml:space="preserve">“What Errors Do Peer Reviewers Detect, and Does Training Improve Their Ability to Detect Them?”</w:t>
      </w:r>
      <w:r>
        <w:t xml:space="preserve"> </w:t>
      </w:r>
      <w:r>
        <w:t xml:space="preserve">(2008) 101</w:t>
      </w:r>
      <w:r>
        <w:t xml:space="preserve"> </w:t>
      </w:r>
      <w:r>
        <w:rPr>
          <w:i/>
          <w:iCs/>
        </w:rPr>
        <w:t xml:space="preserve">Journal of the Royal Society of Medicine</w:t>
      </w:r>
      <w:r>
        <w:t xml:space="preserve"> </w:t>
      </w:r>
      <w:r>
        <w:t xml:space="preserve">507, https://doi.org/10.1258/jrsm.2008.080062 (trained reviewers detected only 2.6 of 9 deliberately inserted major methodological errors at baseline; training produced small, non-durable improvements).</w:t>
      </w:r>
    </w:p>
  </w:footnote>
  <w:footnote w:id="17">
    <w:p>
      <w:pPr>
        <w:pStyle w:val="FootnoteText"/>
      </w:pPr>
      <w:r>
        <w:rPr>
          <w:rStyle w:val="FootnoteReference"/>
        </w:rPr>
        <w:footnoteRef/>
      </w:r>
      <w:r>
        <w:t xml:space="preserve"> </w:t>
      </w:r>
      <w:r>
        <w:t xml:space="preserve">Alan Borovoy, Testimony of the Canadian Civil Liberties Association,</w:t>
      </w:r>
      <w:r>
        <w:t xml:space="preserve"> </w:t>
      </w:r>
      <w:r>
        <w:rPr>
          <w:i/>
          <w:iCs/>
        </w:rPr>
        <w:t xml:space="preserve">Proceedings of the Special Senate Committee on the Subject-matter of Bill C-36</w:t>
      </w:r>
      <w:r>
        <w:t xml:space="preserve">, 37th Parl, 1st Sess, Issue 3 (24 October 2001), https://sencanada.ca/en/Content/Sen/committee/371/sm36/03eva-e. See also Borovoy’s testimony before the House of Commons Standing Committee on Justice and Human Rights, 37th Parl, 1st Sess, Meeting 33 (24 October 2001).</w:t>
      </w:r>
    </w:p>
  </w:footnote>
  <w:footnote w:id="18">
    <w:p>
      <w:pPr>
        <w:pStyle w:val="FootnoteText"/>
      </w:pPr>
      <w:r>
        <w:rPr>
          <w:rStyle w:val="FootnoteReference"/>
        </w:rPr>
        <w:footnoteRef/>
      </w:r>
      <w:r>
        <w:t xml:space="preserve"> </w:t>
      </w:r>
      <w:r>
        <w:rPr>
          <w:i/>
          <w:iCs/>
        </w:rPr>
        <w:t xml:space="preserve">Ibid.</w:t>
      </w:r>
    </w:p>
  </w:footnote>
  <w:footnote w:id="19">
    <w:p>
      <w:pPr>
        <w:pStyle w:val="FootnoteText"/>
      </w:pPr>
      <w:r>
        <w:rPr>
          <w:rStyle w:val="FootnoteReference"/>
        </w:rPr>
        <w:footnoteRef/>
      </w:r>
      <w:r>
        <w:t xml:space="preserve"> </w:t>
      </w:r>
      <w:r>
        <w:t xml:space="preserve">Alan Borovoy, quoted in the public debate preceding the 2014 repeal of</w:t>
      </w:r>
      <w:r>
        <w:t xml:space="preserve"> </w:t>
      </w:r>
      <w:r>
        <w:rPr>
          <w:i/>
          <w:iCs/>
        </w:rPr>
        <w:t xml:space="preserve">Canadian Human Rights Act</w:t>
      </w:r>
      <w:r>
        <w:t xml:space="preserve"> </w:t>
      </w:r>
      <w:r>
        <w:t xml:space="preserve">s. 13; see also Alan Borovoy, interview with Caitlin Smith in</w:t>
      </w:r>
      <w:r>
        <w:t xml:space="preserve"> </w:t>
      </w:r>
      <w:r>
        <w:rPr>
          <w:i/>
          <w:iCs/>
        </w:rPr>
        <w:t xml:space="preserve">Freedom to Read</w:t>
      </w:r>
      <w:r>
        <w:t xml:space="preserve"> </w:t>
      </w:r>
      <w:r>
        <w:t xml:space="preserve">2010, https://www.freedomtoread.ca/articles/challenges-in-every-generation-alan-borovoy-in-conversation/ (</w:t>
      </w:r>
      <w:r>
        <w:t xml:space="preserve">“The law is so broad that you never know who or what might get nailed under it. There is no defence for truth, or reasonable belief in truth.”</w:t>
      </w:r>
      <w:r>
        <w:t xml:space="preserve">).</w:t>
      </w:r>
    </w:p>
  </w:footnote>
  <w:footnote w:id="20">
    <w:p>
      <w:pPr>
        <w:pStyle w:val="FootnoteText"/>
      </w:pPr>
      <w:r>
        <w:rPr>
          <w:rStyle w:val="FootnoteReference"/>
        </w:rPr>
        <w:footnoteRef/>
      </w:r>
      <w:r>
        <w:t xml:space="preserve"> </w:t>
      </w:r>
      <w:r>
        <w:rPr>
          <w:i/>
          <w:iCs/>
        </w:rPr>
        <w:t xml:space="preserve">Canadian Human Rights Act</w:t>
      </w:r>
      <w:r>
        <w:t xml:space="preserve">, RSC 1985, c H-6, s. 13 (as it read before repeal); repealed by</w:t>
      </w:r>
      <w:r>
        <w:t xml:space="preserve"> </w:t>
      </w:r>
      <w:r>
        <w:rPr>
          <w:i/>
          <w:iCs/>
        </w:rPr>
        <w:t xml:space="preserve">An Act to amend the Canadian Human Rights Act (protecting freedom)</w:t>
      </w:r>
      <w:r>
        <w:t xml:space="preserve">, SC 2013, c 37, in force 26 June 2014.</w:t>
      </w:r>
    </w:p>
  </w:footnote>
  <w:footnote w:id="21">
    <w:p>
      <w:pPr>
        <w:pStyle w:val="FootnoteText"/>
      </w:pPr>
      <w:r>
        <w:rPr>
          <w:rStyle w:val="FootnoteReference"/>
        </w:rPr>
        <w:footnoteRef/>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 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structurally onto the regressional-Goodhart variant described in Manheim &amp; Garrabrant (2018) — an instance in which a proxy has separated from its target under the pressure of enforcement.</w:t>
      </w:r>
    </w:p>
  </w:footnote>
  <w:footnote w:id="23">
    <w:p>
      <w:pPr>
        <w:pStyle w:val="FootnoteText"/>
      </w:pPr>
      <w:r>
        <w:rPr>
          <w:rStyle w:val="FootnoteReference"/>
        </w:rPr>
        <w:footnoteRef/>
      </w:r>
      <w:r>
        <w:t xml:space="preserve"> </w:t>
      </w:r>
      <w:r>
        <w:t xml:space="preserve">Norbert Wiener,</w:t>
      </w:r>
      <w:r>
        <w:t xml:space="preserve"> </w:t>
      </w:r>
      <w:r>
        <w:t xml:space="preserve">“Some Moral and Technical Consequences of Automation”</w:t>
      </w:r>
      <w:r>
        <w:t xml:space="preserve"> </w:t>
      </w:r>
      <w:r>
        <w:t xml:space="preserve">(1960) 131</w:t>
      </w:r>
      <w:r>
        <w:t xml:space="preserve"> </w:t>
      </w:r>
      <w:r>
        <w:rPr>
          <w:i/>
          <w:iCs/>
        </w:rPr>
        <w:t xml:space="preserve">Science</w:t>
      </w:r>
      <w:r>
        <w:t xml:space="preserve"> </w:t>
      </w:r>
      <w:r>
        <w:t xml:space="preserve">1355.</w:t>
      </w:r>
    </w:p>
  </w:footnote>
  <w:footnote w:id="24">
    <w:p>
      <w:pPr>
        <w:pStyle w:val="FootnoteText"/>
      </w:pPr>
      <w:r>
        <w:rPr>
          <w:rStyle w:val="FootnoteReference"/>
        </w:rPr>
        <w:footnoteRef/>
      </w:r>
      <w:r>
        <w:t xml:space="preserve"> </w:t>
      </w:r>
      <w:r>
        <w:t xml:space="preserve">Lon L. Fuller,</w:t>
      </w:r>
      <w:r>
        <w:t xml:space="preserve"> </w:t>
      </w:r>
      <w:r>
        <w:rPr>
          <w:i/>
          <w:iCs/>
        </w:rPr>
        <w:t xml:space="preserve">The Morality of Law</w:t>
      </w:r>
      <w:r>
        <w:t xml:space="preserve"> </w:t>
      </w:r>
      <w:r>
        <w:t xml:space="preserve">(Yale University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footnote>
  <w:footnote w:id="25">
    <w:p>
      <w:pPr>
        <w:pStyle w:val="FootnoteText"/>
      </w:pPr>
      <w:r>
        <w:rPr>
          <w:rStyle w:val="FootnoteReference"/>
        </w:rPr>
        <w:footnoteRef/>
      </w:r>
      <w:r>
        <w:t xml:space="preserve"> </w:t>
      </w:r>
      <w:r>
        <w:t xml:space="preserve">Evan Hubinger et al.,</w:t>
      </w:r>
      <w:r>
        <w:t xml:space="preserve"> </w:t>
      </w:r>
      <w:r>
        <w:rPr>
          <w:i/>
          <w:iCs/>
        </w:rPr>
        <w:t xml:space="preserve">Risks from Learned Optimization in Advanced Machine Learning Systems</w:t>
      </w:r>
      <w:r>
        <w:t xml:space="preserve">, arXiv:1906.01820 (2019).</w:t>
      </w:r>
    </w:p>
  </w:footnote>
  <w:footnote w:id="26">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27">
    <w:p>
      <w:pPr>
        <w:pStyle w:val="FootnoteText"/>
      </w:pPr>
      <w:r>
        <w:rPr>
          <w:rStyle w:val="FootnoteReference"/>
        </w:rPr>
        <w:footnoteRef/>
      </w:r>
      <w:r>
        <w:t xml:space="preserve"> </w:t>
      </w:r>
      <w:r>
        <w:t xml:space="preserve">Amodei et al.,</w:t>
      </w:r>
      <w:r>
        <w:t xml:space="preserve"> </w:t>
      </w:r>
      <w:r>
        <w:rPr>
          <w:i/>
          <w:iCs/>
        </w:rPr>
        <w:t xml:space="preserve">Concrete Problems in AI Safety</w:t>
      </w:r>
      <w:r>
        <w:t xml:space="preserve">,</w:t>
      </w:r>
      <w:r>
        <w:t xml:space="preserve"> </w:t>
      </w:r>
      <w:r>
        <w:rPr>
          <w:i/>
          <w:iCs/>
        </w:rPr>
        <w:t xml:space="preserve">supra</w:t>
      </w:r>
      <w:r>
        <w:t xml:space="preserve">; see also Pengfei Huang et al.,</w:t>
      </w:r>
      <w:r>
        <w:t xml:space="preserve"> </w:t>
      </w:r>
      <w:r>
        <w:t xml:space="preserve">“A Survey on Hallucination in Large Language Models: Principles, Taxonomy, Challenges, and Open Questions,”</w:t>
      </w:r>
      <w:r>
        <w:t xml:space="preserve"> </w:t>
      </w:r>
      <w:r>
        <w:t xml:space="preserve">arXiv:2311.05232 (2023) for a contemporary synthesis of divergence-management techniques.</w:t>
      </w:r>
    </w:p>
  </w:footnote>
  <w:footnote w:id="28">
    <w:p>
      <w:pPr>
        <w:pStyle w:val="FootnoteText"/>
      </w:pPr>
      <w:r>
        <w:rPr>
          <w:rStyle w:val="FootnoteReference"/>
        </w:rPr>
        <w:footnoteRef/>
      </w:r>
      <w:r>
        <w:t xml:space="preserve"> </w:t>
      </w:r>
      <w:r>
        <w:t xml:space="preserve">Charles A.E. Goodhart,</w:t>
      </w:r>
      <w:r>
        <w:t xml:space="preserve"> </w:t>
      </w:r>
      <w: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t xml:space="preserve">“</w:t>
      </w:r>
      <w:r>
        <w:t xml:space="preserve">‘Improving Ratings’</w:t>
      </w:r>
      <w:r>
        <w:t xml:space="preserve">: Audit in the British University System”</w:t>
      </w:r>
      <w:r>
        <w:t xml:space="preserve"> </w:t>
      </w:r>
      <w:r>
        <w:t xml:space="preserve">(1997) 5</w:t>
      </w:r>
      <w:r>
        <w:t xml:space="preserve"> </w:t>
      </w:r>
      <w:r>
        <w:rPr>
          <w:i/>
          <w:iCs/>
        </w:rPr>
        <w:t xml:space="preserve">European Review</w:t>
      </w:r>
      <w:r>
        <w:t xml:space="preserve"> </w:t>
      </w:r>
      <w:r>
        <w:t xml:space="preserve">305.</w:t>
      </w:r>
    </w:p>
  </w:footnote>
  <w:footnote w:id="29">
    <w:p>
      <w:pPr>
        <w:pStyle w:val="FootnoteText"/>
      </w:pPr>
      <w:r>
        <w:rPr>
          <w:rStyle w:val="FootnoteReference"/>
        </w:rPr>
        <w:footnoteRef/>
      </w:r>
      <w:r>
        <w:t xml:space="preserve"> </w:t>
      </w:r>
      <w:r>
        <w:t xml:space="preserve">David Manheim &amp; Scott Garrabrant,</w:t>
      </w:r>
      <w:r>
        <w:t xml:space="preserve"> </w:t>
      </w:r>
      <w:r>
        <w:rPr>
          <w:i/>
          <w:iCs/>
        </w:rPr>
        <w:t xml:space="preserve">Categorizing Variants of Goodhart’s Law</w:t>
      </w:r>
      <w:r>
        <w:t xml:space="preserve">, arXiv:1803.04585 (2018).</w:t>
      </w:r>
    </w:p>
  </w:footnote>
  <w:footnote w:id="30">
    <w:p>
      <w:pPr>
        <w:pStyle w:val="FootnoteText"/>
      </w:pPr>
      <w:r>
        <w:rPr>
          <w:rStyle w:val="FootnoteReference"/>
        </w:rPr>
        <w:footnoteRef/>
      </w:r>
      <w:r>
        <w:t xml:space="preserve"> </w:t>
      </w:r>
      <w:r>
        <w:t xml:space="preserve">Victoria Krakovna et al.,</w:t>
      </w:r>
      <w:r>
        <w:t xml:space="preserve"> </w:t>
      </w:r>
      <w:r>
        <w:rPr>
          <w:i/>
          <w:iCs/>
        </w:rPr>
        <w:t xml:space="preserve">Specification Gaming: The Flip Side of AI Ingenuity</w:t>
      </w:r>
      <w:r>
        <w:t xml:space="preserve"> </w:t>
      </w:r>
      <w:r>
        <w:t xml:space="preserve">(DeepMind Safety Research, 2020).</w:t>
      </w:r>
    </w:p>
  </w:footnote>
  <w:footnote w:id="31">
    <w:p>
      <w:pPr>
        <w:pStyle w:val="FootnoteText"/>
      </w:pPr>
      <w:r>
        <w:rPr>
          <w:rStyle w:val="FootnoteReference"/>
        </w:rPr>
        <w:footnoteRef/>
      </w:r>
      <w:r>
        <w:t xml:space="preserve"> </w:t>
      </w:r>
      <w:r>
        <w:t xml:space="preserve">Dario Amodei et al.,</w:t>
      </w:r>
      <w:r>
        <w:t xml:space="preserve"> </w:t>
      </w:r>
      <w:r>
        <w:rPr>
          <w:i/>
          <w:iCs/>
        </w:rPr>
        <w:t xml:space="preserve">Concrete Problems in AI Safety</w:t>
      </w:r>
      <w:r>
        <w:t xml:space="preserve">, arXiv:1606.06565 (2016).</w:t>
      </w:r>
    </w:p>
  </w:footnote>
  <w:footnote w:id="32">
    <w:p>
      <w:pPr>
        <w:pStyle w:val="FootnoteText"/>
      </w:pPr>
      <w:r>
        <w:rPr>
          <w:rStyle w:val="FootnoteReference"/>
        </w:rPr>
        <w:footnoteRef/>
      </w:r>
      <w:r>
        <w:t xml:space="preserve"> </w:t>
      </w:r>
      <w:r>
        <w:t xml:space="preserve">Michael K. Cohen, Marcus Hutter &amp; Michael A. Osborne,</w:t>
      </w:r>
      <w:r>
        <w:t xml:space="preserve"> </w:t>
      </w:r>
      <w:r>
        <w:t xml:space="preserve">“Advanced Artificial Agents Intervene in the Provision of Reward”</w:t>
      </w:r>
      <w:r>
        <w:t xml:space="preserve"> </w:t>
      </w:r>
      <w:r>
        <w:t xml:space="preserve">(2022) 43</w:t>
      </w:r>
      <w:r>
        <w:t xml:space="preserve"> </w:t>
      </w:r>
      <w:r>
        <w:rPr>
          <w:i/>
          <w:iCs/>
        </w:rPr>
        <w:t xml:space="preserve">AI Magazine</w:t>
      </w:r>
      <w:r>
        <w:t xml:space="preserve"> </w:t>
      </w:r>
      <w:r>
        <w:t xml:space="preserve">282.</w:t>
      </w:r>
    </w:p>
  </w:footnote>
  <w:footnote w:id="33">
    <w:p>
      <w:pPr>
        <w:pStyle w:val="FootnoteText"/>
      </w:pPr>
      <w:r>
        <w:rPr>
          <w:rStyle w:val="FootnoteReference"/>
        </w:rPr>
        <w:footnoteRef/>
      </w:r>
      <w:r>
        <w:t xml:space="preserve"> </w:t>
      </w:r>
      <w:r>
        <w:t xml:space="preserve">James M. Buchanan &amp; Gordon Tullock,</w:t>
      </w:r>
      <w:r>
        <w:t xml:space="preserve"> </w:t>
      </w:r>
      <w:r>
        <w:rPr>
          <w:i/>
          <w:iCs/>
        </w:rPr>
        <w:t xml:space="preserve">The Calculus of Consent: Logical Foundations of Constitutional Democracy</w:t>
      </w:r>
      <w:r>
        <w:t xml:space="preserve"> </w:t>
      </w:r>
      <w:r>
        <w:t xml:space="preserve">(University of Michigan Press, 1962); George J. Stigler,</w:t>
      </w:r>
      <w:r>
        <w:t xml:space="preserve"> </w:t>
      </w:r>
      <w:r>
        <w:t xml:space="preserve">“The Theory of Economic Regulation”</w:t>
      </w:r>
      <w:r>
        <w:t xml:space="preserve"> </w:t>
      </w:r>
      <w:r>
        <w:t xml:space="preserve">(1971) 2</w:t>
      </w:r>
      <w:r>
        <w:t xml:space="preserve"> </w:t>
      </w:r>
      <w:r>
        <w:rPr>
          <w:i/>
          <w:iCs/>
        </w:rPr>
        <w:t xml:space="preserve">Bell Journal of Economics and Management Science</w:t>
      </w:r>
      <w:r>
        <w:t xml:space="preserve"> </w:t>
      </w:r>
      <w:r>
        <w:t xml:space="preserve">3.</w:t>
      </w:r>
    </w:p>
  </w:footnote>
  <w:footnote w:id="35">
    <w:p>
      <w:pPr>
        <w:pStyle w:val="FootnoteText"/>
      </w:pPr>
      <w:r>
        <w:rPr>
          <w:rStyle w:val="FootnoteReference"/>
        </w:rPr>
        <w:footnoteRef/>
      </w:r>
      <w:r>
        <w:t xml:space="preserve"> </w:t>
      </w:r>
      <w:r>
        <w:t xml:space="preserve">James C. Scott,</w:t>
      </w:r>
      <w:r>
        <w:t xml:space="preserve"> </w:t>
      </w:r>
      <w:r>
        <w:rPr>
          <w:i/>
          <w:iCs/>
        </w:rPr>
        <w:t xml:space="preserve">Seeing Like a State: How Certain Schemes to Improve the Human Condition Have Failed</w:t>
      </w:r>
      <w:r>
        <w:t xml:space="preserve"> </w:t>
      </w:r>
      <w:r>
        <w:t xml:space="preserve">(Yale University Press, 1998).</w:t>
      </w:r>
    </w:p>
  </w:footnote>
  <w:footnote w:id="36">
    <w:p>
      <w:pPr>
        <w:pStyle w:val="FootnoteText"/>
      </w:pPr>
      <w:r>
        <w:rPr>
          <w:rStyle w:val="FootnoteReference"/>
        </w:rPr>
        <w:footnoteRef/>
      </w:r>
      <w:r>
        <w:t xml:space="preserve"> </w:t>
      </w:r>
      <w:r>
        <w:t xml:space="preserve">Donald T. Campbell,</w:t>
      </w:r>
      <w:r>
        <w:t xml:space="preserve"> </w:t>
      </w:r>
      <w:r>
        <w:t xml:space="preserve">“Assessing the Impact of Planned Social Change”</w:t>
      </w:r>
      <w:r>
        <w:t xml:space="preserve"> </w:t>
      </w:r>
      <w:r>
        <w:t xml:space="preserve">(1979) 2</w:t>
      </w:r>
      <w:r>
        <w:t xml:space="preserve"> </w:t>
      </w:r>
      <w:r>
        <w:rPr>
          <w:i/>
          <w:iCs/>
        </w:rPr>
        <w:t xml:space="preserve">Evaluation and Program Planning</w:t>
      </w:r>
      <w:r>
        <w:t xml:space="preserve"> </w:t>
      </w:r>
      <w:r>
        <w:t xml:space="preserve">67.</w:t>
      </w:r>
    </w:p>
  </w:footnote>
  <w:footnote w:id="37">
    <w:p>
      <w:pPr>
        <w:pStyle w:val="FootnoteText"/>
      </w:pPr>
      <w:r>
        <w:rPr>
          <w:rStyle w:val="FootnoteReference"/>
        </w:rPr>
        <w:footnoteRef/>
      </w:r>
      <w:r>
        <w:t xml:space="preserve"> </w:t>
      </w:r>
      <w:r>
        <w:rPr>
          <w:i/>
          <w:iCs/>
        </w:rPr>
        <w:t xml:space="preserve">Ibid.</w:t>
      </w:r>
      <w:r>
        <w:t xml:space="preserve"> </w:t>
      </w:r>
      <w:r>
        <w:t xml:space="preserve">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common structural treatment warrants a common measurement instrument — is the author’s; the mathematical result is Hennessy and Goodhart’s.</w:t>
      </w:r>
    </w:p>
  </w:footnote>
  <w:footnote w:id="38">
    <w:p>
      <w:pPr>
        <w:pStyle w:val="FootnoteText"/>
      </w:pPr>
      <w:r>
        <w:rPr>
          <w:rStyle w:val="FootnoteReference"/>
        </w:rPr>
        <w:footnoteRef/>
      </w:r>
      <w:r>
        <w:t xml:space="preserve"> </w:t>
      </w:r>
      <w:r>
        <w:t xml:space="preserve">Jacob S. Hacker,</w:t>
      </w:r>
      <w:r>
        <w:t xml:space="preserve"> </w:t>
      </w:r>
      <w:r>
        <w:t xml:space="preserve">“Privatizing Risk Without Privatizing the Welfare State: The Hidden Politics of Social Policy Retrenchment in the United States”</w:t>
      </w:r>
      <w:r>
        <w:t xml:space="preserve"> </w:t>
      </w:r>
      <w:r>
        <w:t xml:space="preserve">(2004) 98</w:t>
      </w:r>
      <w:r>
        <w:t xml:space="preserve"> </w:t>
      </w:r>
      <w:r>
        <w:rPr>
          <w:i/>
          <w:iCs/>
        </w:rPr>
        <w:t xml:space="preserve">American Political Science Review</w:t>
      </w:r>
      <w:r>
        <w:t xml:space="preserve"> </w:t>
      </w:r>
      <w:r>
        <w:t xml:space="preserve">243.</w:t>
      </w:r>
    </w:p>
  </w:footnote>
  <w:footnote w:id="3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Romer v Evans</w:t>
      </w:r>
      <w:r>
        <w:t xml:space="preserve">, 517 US 620 (1996). Reva Siegel’s</w:t>
      </w:r>
      <w:r>
        <w:t xml:space="preserve"> </w:t>
      </w:r>
      <w:r>
        <w:t xml:space="preserve">“</w:t>
      </w:r>
      <w:r>
        <w:rPr>
          <w:i/>
          <w:iCs/>
        </w:rPr>
        <w:t xml:space="preserve">The Rule of Love</w:t>
      </w:r>
      <w:r>
        <w:t xml:space="preserve">: Wife Beating as Prerogative and Privacy”</w:t>
      </w:r>
      <w:r>
        <w:t xml:space="preserve"> </w:t>
      </w:r>
      <w:r>
        <w:t xml:space="preserve">(1996) 105 Yale LJ 2117, which introduces the</w:t>
      </w:r>
      <w:r>
        <w:t xml:space="preserve"> </w:t>
      </w:r>
      <w:r>
        <w:t xml:space="preserve">“preservation-through-transformation”</w:t>
      </w:r>
      <w:r>
        <w:t xml:space="preserve"> </w:t>
      </w:r>
      <w:r>
        <w:t xml:space="preserve">framework, is the theoretical anchor of the US missing-the-mark tradition.</w:t>
      </w:r>
    </w:p>
  </w:footnote>
  <w:footnote w:id="40">
    <w:p>
      <w:pPr>
        <w:pStyle w:val="FootnoteText"/>
      </w:pPr>
      <w:r>
        <w:rPr>
          <w:rStyle w:val="FootnoteReference"/>
        </w:rPr>
        <w:footnoteRef/>
      </w:r>
      <w:r>
        <w:t xml:space="preserve"> </w:t>
      </w:r>
      <w:r>
        <w:rPr>
          <w:i/>
          <w:iCs/>
        </w:rPr>
        <w:t xml:space="preserve">Bank Mellat v HM Treasury (No 2)</w:t>
      </w:r>
      <w:r>
        <w:t xml:space="preserve"> </w:t>
      </w:r>
      <w:r>
        <w:t xml:space="preserve">[2013] UKSC 39; Human Rights Act 1998 (UK), c 42, s. 4;</w:t>
      </w:r>
      <w:r>
        <w:t xml:space="preserve"> </w:t>
      </w:r>
      <w:r>
        <w:rPr>
          <w:i/>
          <w:iCs/>
        </w:rPr>
        <w:t xml:space="preserve">A v Secretary of State for the Home Department</w:t>
      </w:r>
      <w:r>
        <w:t xml:space="preserve"> </w:t>
      </w:r>
      <w:r>
        <w:t xml:space="preserve">[2004] UKHL 56.</w:t>
      </w:r>
    </w:p>
  </w:footnote>
  <w:footnote w:id="41">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w:t>
      </w:r>
      <w:r>
        <w:t xml:space="preserve"> </w:t>
      </w:r>
      <w:r>
        <w:rPr>
          <w:i/>
          <w:iCs/>
        </w:rPr>
        <w:t xml:space="preserve">R (Miller) v Prime Minister</w:t>
      </w:r>
      <w:r>
        <w:t xml:space="preserve"> </w:t>
      </w:r>
      <w:r>
        <w:t xml:space="preserve">[2019] UKSC 41;</w:t>
      </w:r>
      <w:r>
        <w:t xml:space="preserve"> </w:t>
      </w:r>
      <w:r>
        <w:rPr>
          <w:i/>
          <w:iCs/>
        </w:rPr>
        <w:t xml:space="preserve">Salvesen v Riddell</w:t>
      </w:r>
      <w:r>
        <w:t xml:space="preserve"> </w:t>
      </w:r>
      <w:r>
        <w:t xml:space="preserve">[2013] UKSC 22;</w:t>
      </w:r>
      <w:r>
        <w:t xml:space="preserve"> </w:t>
      </w:r>
      <w:r>
        <w:rPr>
          <w:i/>
          <w:iCs/>
        </w:rPr>
        <w:t xml:space="preserve">AXA General Insurance Ltd v Lord Advocate</w:t>
      </w:r>
      <w:r>
        <w:t xml:space="preserve"> </w:t>
      </w:r>
      <w:r>
        <w:t xml:space="preserve">[2011] UKSC 46.</w:t>
      </w:r>
    </w:p>
  </w:footnote>
  <w:footnote w:id="43">
    <w:p>
      <w:pPr>
        <w:pStyle w:val="FootnoteText"/>
      </w:pPr>
      <w:r>
        <w:rPr>
          <w:rStyle w:val="FootnoteReference"/>
        </w:rPr>
        <w:footnoteRef/>
      </w:r>
      <w:r>
        <w:t xml:space="preserve"> </w:t>
      </w:r>
      <w:r>
        <w:rPr>
          <w:i/>
          <w:iCs/>
        </w:rPr>
        <w:t xml:space="preserve">Canadian Human Rights Act</w:t>
      </w:r>
      <w:r>
        <w:t xml:space="preserve">, RSC 1985, c H-6, s. 13 (as it stood before repeal); repealed by SC 2013, c 37 (in force 26 June 2014). See</w:t>
      </w:r>
      <w:r>
        <w:t xml:space="preserve"> </w:t>
      </w:r>
      <w:r>
        <w:rPr>
          <w:i/>
          <w:iCs/>
        </w:rPr>
        <w:t xml:space="preserve">supra</w:t>
      </w:r>
      <w:r>
        <w:t xml:space="preserve"> </w:t>
      </w:r>
      <w:r>
        <w:t xml:space="preserve">footnote on s. 13 repeal.</w:t>
      </w:r>
    </w:p>
  </w:footnote>
  <w:footnote w:id="45">
    <w:p>
      <w:pPr>
        <w:pStyle w:val="FootnoteText"/>
      </w:pPr>
      <w:r>
        <w:rPr>
          <w:rStyle w:val="FootnoteReference"/>
        </w:rPr>
        <w:footnoteRef/>
      </w:r>
      <w:r>
        <w:t xml:space="preserve"> </w:t>
      </w:r>
      <w:r>
        <w:rPr>
          <w:i/>
          <w:iCs/>
        </w:rPr>
        <w:t xml:space="preserve">Canada (Minister of Citizenship and Immigration) v Vavilov</w:t>
      </w:r>
      <w:r>
        <w:t xml:space="preserve">, 2019 SCC 65, [2019] 4 SCR 653.</w:t>
      </w:r>
    </w:p>
  </w:footnote>
  <w:footnote w:id="46">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 Human Rights Act 1998 (UK), c 42, s. 3;</w:t>
      </w:r>
      <w:r>
        <w:t xml:space="preserve"> </w:t>
      </w:r>
      <w:r>
        <w:rPr>
          <w:i/>
          <w:iCs/>
        </w:rPr>
        <w:t xml:space="preserve">Ghaidan v Godin-Mendoza</w:t>
      </w:r>
      <w:r>
        <w:t xml:space="preserve"> </w:t>
      </w:r>
      <w:r>
        <w:t xml:space="preserve">[2004] UKHL 30.</w:t>
      </w:r>
    </w:p>
  </w:footnote>
  <w:footnote w:id="47">
    <w:p>
      <w:pPr>
        <w:pStyle w:val="FootnoteText"/>
      </w:pPr>
      <w:r>
        <w:rPr>
          <w:rStyle w:val="FootnoteReference"/>
        </w:rPr>
        <w:footnoteRef/>
      </w:r>
      <w:r>
        <w:t xml:space="preserve"> </w:t>
      </w:r>
      <w:r>
        <w:rPr>
          <w:i/>
          <w:iCs/>
        </w:rPr>
        <w:t xml:space="preserve">R v Oakes</w:t>
      </w:r>
      <w:r>
        <w:t xml:space="preserve">, [1986] 1 SCR 103.</w:t>
      </w:r>
    </w:p>
  </w:footnote>
  <w:footnote w:id="48">
    <w:p>
      <w:pPr>
        <w:pStyle w:val="FootnoteText"/>
      </w:pPr>
      <w:r>
        <w:rPr>
          <w:rStyle w:val="FootnoteReference"/>
        </w:rPr>
        <w:footnoteRef/>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p>
  </w:footnote>
  <w:footnote w:id="49">
    <w:p>
      <w:pPr>
        <w:pStyle w:val="FootnoteText"/>
      </w:pPr>
      <w:r>
        <w:rPr>
          <w:rStyle w:val="FootnoteReference"/>
        </w:rPr>
        <w:footnoteRef/>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footnote>
  <w:footnote w:id="50">
    <w:p>
      <w:pPr>
        <w:pStyle w:val="FootnoteText"/>
      </w:pPr>
      <w:r>
        <w:rPr>
          <w:rStyle w:val="FootnoteReference"/>
        </w:rPr>
        <w:footnoteRef/>
      </w:r>
      <w:r>
        <w:t xml:space="preserve"> </w:t>
      </w:r>
      <w:r>
        <w:t xml:space="preserve">Hamish Stewart,</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see also Stewart,</w:t>
      </w:r>
      <w:r>
        <w:t xml:space="preserve"> </w:t>
      </w:r>
      <w:r>
        <w:t xml:space="preserve">“Bedford and the Structure of Section 7”</w:t>
      </w:r>
      <w:r>
        <w:t xml:space="preserve"> </w:t>
      </w:r>
      <w:r>
        <w:t xml:space="preserve">(2015) 60:3</w:t>
      </w:r>
      <w:r>
        <w:t xml:space="preserve"> </w:t>
      </w:r>
      <w:r>
        <w:rPr>
          <w:i/>
          <w:iCs/>
        </w:rPr>
        <w:t xml:space="preserve">McGill Law Journal</w:t>
      </w:r>
      <w:r>
        <w:t xml:space="preserve"> </w:t>
      </w:r>
      <w:r>
        <w:t xml:space="preserve">575.</w:t>
      </w:r>
    </w:p>
  </w:footnote>
  <w:footnote w:id="51">
    <w:p>
      <w:pPr>
        <w:pStyle w:val="FootnoteText"/>
      </w:pPr>
      <w:r>
        <w:rPr>
          <w:rStyle w:val="FootnoteReference"/>
        </w:rPr>
        <w:footnoteRef/>
      </w:r>
      <w:r>
        <w:t xml:space="preserve"> </w:t>
      </w:r>
      <w:r>
        <w:rPr>
          <w:i/>
          <w:iCs/>
        </w:rPr>
        <w:t xml:space="preserve">Broadrick v Oklahoma</w:t>
      </w:r>
      <w:r>
        <w:t xml:space="preserve">, 413 US 601 (1973);</w:t>
      </w:r>
      <w:r>
        <w:t xml:space="preserve"> </w:t>
      </w:r>
      <w:r>
        <w:rPr>
          <w:i/>
          <w:iCs/>
        </w:rPr>
        <w:t xml:space="preserve">United States v Stevens</w:t>
      </w:r>
      <w:r>
        <w:t xml:space="preserve">, 559 US 460 (2010);</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A v Secretary of State for the Home Department</w:t>
      </w:r>
      <w:r>
        <w:t xml:space="preserve"> </w:t>
      </w:r>
      <w:r>
        <w:t xml:space="preserve">[2004] UKHL 56.</w:t>
      </w:r>
    </w:p>
  </w:footnote>
  <w:footnote w:id="52">
    <w:p>
      <w:pPr>
        <w:pStyle w:val="FootnoteText"/>
      </w:pPr>
      <w:r>
        <w:rPr>
          <w:rStyle w:val="FootnoteReference"/>
        </w:rPr>
        <w:footnoteRef/>
      </w:r>
      <w:r>
        <w:t xml:space="preserve"> </w:t>
      </w:r>
      <w:r>
        <w:rPr>
          <w:i/>
          <w:iCs/>
        </w:rPr>
        <w:t xml:space="preserve">Youngberg v Romeo</w:t>
      </w:r>
      <w:r>
        <w:t xml:space="preserve">, 457 US 307 (1982);</w:t>
      </w:r>
      <w:r>
        <w:t xml:space="preserve"> </w:t>
      </w:r>
      <w:r>
        <w:rPr>
          <w:i/>
          <w:iCs/>
        </w:rPr>
        <w:t xml:space="preserve">Washington v Glucksberg</w:t>
      </w:r>
      <w:r>
        <w:t xml:space="preserve">, 521 US 702 (1997);</w:t>
      </w:r>
      <w:r>
        <w:t xml:space="preserve"> </w:t>
      </w:r>
      <w:r>
        <w:rPr>
          <w:i/>
          <w:iCs/>
        </w:rPr>
        <w:t xml:space="preserve">A v Secretary of State for the Home Department</w:t>
      </w:r>
      <w:r>
        <w:t xml:space="preserve"> </w:t>
      </w:r>
      <w:r>
        <w:t xml:space="preserve">[2004] UKHL 56;</w:t>
      </w:r>
      <w:r>
        <w:t xml:space="preserve"> </w:t>
      </w:r>
      <w:r>
        <w:rPr>
          <w:i/>
          <w:iCs/>
        </w:rPr>
        <w:t xml:space="preserve">R (Nicklinson) v Ministry of Justice</w:t>
      </w:r>
      <w:r>
        <w:t xml:space="preserve"> </w:t>
      </w:r>
      <w:r>
        <w:t xml:space="preserve">[2014] UKSC 38.</w:t>
      </w:r>
    </w:p>
  </w:footnote>
  <w:footnote w:id="53">
    <w:p>
      <w:pPr>
        <w:pStyle w:val="FootnoteText"/>
      </w:pPr>
      <w:r>
        <w:rPr>
          <w:rStyle w:val="FootnoteReference"/>
        </w:rPr>
        <w:footnoteRef/>
      </w:r>
      <w:r>
        <w:t xml:space="preserve"> </w:t>
      </w:r>
      <w:r>
        <w:rPr>
          <w:i/>
          <w:iCs/>
        </w:rPr>
        <w:t xml:space="preserve">R v Le</w:t>
      </w:r>
      <w:r>
        <w:t xml:space="preserve">, 2019 SCC 34, [2019] 2 SCR 692.</w:t>
      </w:r>
    </w:p>
  </w:footnote>
  <w:footnote w:id="54">
    <w:p>
      <w:pPr>
        <w:pStyle w:val="FootnoteText"/>
      </w:pPr>
      <w:r>
        <w:rPr>
          <w:rStyle w:val="FootnoteReference"/>
        </w:rPr>
        <w:footnoteRef/>
      </w:r>
      <w:r>
        <w:t xml:space="preserve"> </w:t>
      </w:r>
      <w:r>
        <w:rPr>
          <w:i/>
          <w:iCs/>
        </w:rPr>
        <w:t xml:space="preserve">Washington v Davis</w:t>
      </w:r>
      <w:r>
        <w:t xml:space="preserve">, 426 US 229 (1976); Reva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w:t>
      </w:r>
    </w:p>
  </w:footnote>
  <w:footnote w:id="55">
    <w:p>
      <w:pPr>
        <w:pStyle w:val="FootnoteText"/>
      </w:pPr>
      <w:r>
        <w:rPr>
          <w:rStyle w:val="FootnoteReference"/>
        </w:rPr>
        <w:footnoteRef/>
      </w:r>
      <w:r>
        <w:t xml:space="preserve"> </w:t>
      </w:r>
      <w:r>
        <w:rPr>
          <w:i/>
          <w:iCs/>
        </w:rPr>
        <w:t xml:space="preserve">R (SC) v Secretary of State for Work and Pensions</w:t>
      </w:r>
      <w:r>
        <w:t xml:space="preserve"> </w:t>
      </w:r>
      <w:r>
        <w:t xml:space="preserve">[2021] UKSC 26;</w:t>
      </w:r>
      <w:r>
        <w:t xml:space="preserve"> </w:t>
      </w:r>
      <w:r>
        <w:rPr>
          <w:i/>
          <w:iCs/>
        </w:rPr>
        <w:t xml:space="preserve">R (Roberts) v Metropolitan Police Commissioner</w:t>
      </w:r>
      <w:r>
        <w:t xml:space="preserve"> </w:t>
      </w:r>
      <w:r>
        <w:t xml:space="preserve">[2015] UKSC 79.</w:t>
      </w:r>
    </w:p>
  </w:footnote>
  <w:footnote w:id="57">
    <w:p>
      <w:pPr>
        <w:pStyle w:val="FootnoteText"/>
      </w:pPr>
      <w:r>
        <w:rPr>
          <w:rStyle w:val="FootnoteReference"/>
        </w:rPr>
        <w:footnoteRef/>
      </w:r>
      <w:r>
        <w:t xml:space="preserve"> </w:t>
      </w:r>
      <w:r>
        <w:rPr>
          <w:i/>
          <w:iCs/>
        </w:rPr>
        <w:t xml:space="preserve">Charkaoui v Canada (Citizenship and Immigration)</w:t>
      </w:r>
      <w:r>
        <w:t xml:space="preserve">, 2007 SCC 9, [2007] 1 SCR 350, at para 53.</w:t>
      </w:r>
    </w:p>
  </w:footnote>
  <w:footnote w:id="58">
    <w:p>
      <w:pPr>
        <w:pStyle w:val="FootnoteText"/>
      </w:pPr>
      <w:r>
        <w:rPr>
          <w:rStyle w:val="FootnoteReference"/>
        </w:rPr>
        <w:footnoteRef/>
      </w:r>
      <w:r>
        <w:t xml:space="preserve"> </w:t>
      </w:r>
      <w:r>
        <w:rPr>
          <w:i/>
          <w:iCs/>
        </w:rPr>
        <w:t xml:space="preserve">R v Ndhlovu</w:t>
      </w:r>
      <w:r>
        <w:t xml:space="preserve">, 2022 SCC 38. See</w:t>
      </w:r>
      <w:r>
        <w:t xml:space="preserve"> </w:t>
      </w:r>
      <w:r>
        <w:rPr>
          <w:i/>
          <w:iCs/>
        </w:rPr>
        <w:t xml:space="preserve">supra</w:t>
      </w:r>
      <w:r>
        <w:t xml:space="preserve"> </w:t>
      </w:r>
      <w:r>
        <w:t xml:space="preserve">note on</w:t>
      </w:r>
      <w:r>
        <w:t xml:space="preserve"> </w:t>
      </w:r>
      <w:r>
        <w:rPr>
          <w:i/>
          <w:iCs/>
        </w:rPr>
        <w:t xml:space="preserve">Ndhlovu</w:t>
      </w:r>
      <w:r>
        <w:t xml:space="preserve"> </w:t>
      </w:r>
      <w:r>
        <w:t xml:space="preserve">and regressional Goodhart.</w:t>
      </w:r>
    </w:p>
  </w:footnote>
  <w:footnote w:id="5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p>
  </w:footnote>
  <w:footnote w:id="60">
    <w:p>
      <w:pPr>
        <w:pStyle w:val="FootnoteText"/>
      </w:pPr>
      <w:r>
        <w:rPr>
          <w:rStyle w:val="FootnoteReference"/>
        </w:rPr>
        <w:footnoteRef/>
      </w:r>
      <w:r>
        <w:t xml:space="preserve"> </w:t>
      </w:r>
      <w:r>
        <w:rPr>
          <w:i/>
          <w:iCs/>
        </w:rPr>
        <w:t xml:space="preserve">Romer v Evans</w:t>
      </w:r>
      <w:r>
        <w:t xml:space="preserve">, 517 US 620 (1996), at 632 (Kennedy J).</w:t>
      </w:r>
    </w:p>
  </w:footnote>
  <w:footnote w:id="61">
    <w:p>
      <w:pPr>
        <w:pStyle w:val="FootnoteText"/>
      </w:pPr>
      <w:r>
        <w:rPr>
          <w:rStyle w:val="FootnoteReference"/>
        </w:rPr>
        <w:footnoteRef/>
      </w:r>
      <w:r>
        <w:t xml:space="preserve"> </w:t>
      </w:r>
      <w:r>
        <w:rPr>
          <w:i/>
          <w:iCs/>
        </w:rPr>
        <w:t xml:space="preserve">A v Secretary of State for the Home Department</w:t>
      </w:r>
      <w:r>
        <w:t xml:space="preserve"> </w:t>
      </w:r>
      <w:r>
        <w:t xml:space="preserve">[2004] UKHL 56; Human Rights Act 1998 (UK), c 42, s. 4. See also Anti-Terrorism, Crime and Security Act 2001 (UK), c 24, s. 23.</w:t>
      </w:r>
    </w:p>
  </w:footnote>
  <w:footnote w:id="62">
    <w:p>
      <w:pPr>
        <w:pStyle w:val="FootnoteText"/>
      </w:pPr>
      <w:r>
        <w:rPr>
          <w:rStyle w:val="FootnoteReference"/>
        </w:rPr>
        <w:footnoteRef/>
      </w:r>
      <w:r>
        <w:t xml:space="preserve"> </w:t>
      </w:r>
      <w:r>
        <w:rPr>
          <w:i/>
          <w:iCs/>
        </w:rPr>
        <w:t xml:space="preserve">Salvesen v Riddell</w:t>
      </w:r>
      <w:r>
        <w:t xml:space="preserve"> </w:t>
      </w:r>
      <w:r>
        <w:t xml:space="preserve">[2013] UKSC 22; Scotland Act 1998 (UK), c 46, ss. 29(2)(d), 102; Agricultural Holdings (Scotland) Act 2003 (ASP 11), s. 72; European Convention on Human Rights, Protocol 1, Article 1.</w:t>
      </w:r>
    </w:p>
  </w:footnote>
  <w:footnote w:id="64">
    <w:p>
      <w:pPr>
        <w:pStyle w:val="FootnoteText"/>
      </w:pPr>
      <w:r>
        <w:rPr>
          <w:rStyle w:val="FootnoteReference"/>
        </w:rPr>
        <w:footnoteRef/>
      </w:r>
      <w:r>
        <w:t xml:space="preserve"> </w:t>
      </w:r>
      <w:r>
        <w:t xml:space="preserve">Robert K. Merton,</w:t>
      </w:r>
      <w:r>
        <w:t xml:space="preserve"> </w:t>
      </w:r>
      <w:r>
        <w:t xml:space="preserve">“The Unanticipated Consequences of Purposive Social Action”</w:t>
      </w:r>
      <w:r>
        <w:t xml:space="preserve"> </w:t>
      </w:r>
      <w:r>
        <w:t xml:space="preserve">(1936) 1</w:t>
      </w:r>
      <w:r>
        <w:t xml:space="preserve"> </w:t>
      </w:r>
      <w:r>
        <w:rPr>
          <w:i/>
          <w:iCs/>
        </w:rPr>
        <w:t xml:space="preserve">American Sociological Review</w:t>
      </w:r>
      <w:r>
        <w:t xml:space="preserve"> </w:t>
      </w:r>
      <w:r>
        <w:t xml:space="preserve">894.</w:t>
      </w:r>
    </w:p>
  </w:footnote>
  <w:footnote w:id="65">
    <w:p>
      <w:pPr>
        <w:pStyle w:val="FootnoteText"/>
      </w:pPr>
      <w:r>
        <w:rPr>
          <w:rStyle w:val="FootnoteReference"/>
        </w:rPr>
        <w:footnoteRef/>
      </w:r>
      <w:r>
        <w:t xml:space="preserve"> </w:t>
      </w:r>
      <w:r>
        <w:t xml:space="preserve">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t xml:space="preserve">“Lon Fuller and the Moral Value of the Rule of Law”</w:t>
      </w:r>
      <w:r>
        <w:t xml:space="preserve"> </w:t>
      </w:r>
      <w:r>
        <w:t xml:space="preserve">(2005) 24</w:t>
      </w:r>
      <w:r>
        <w:t xml:space="preserve"> </w:t>
      </w:r>
      <w:r>
        <w:rPr>
          <w:i/>
          <w:iCs/>
        </w:rPr>
        <w:t xml:space="preserve">Law and Philosophy</w:t>
      </w:r>
      <w:r>
        <w:t xml:space="preserve"> </w:t>
      </w:r>
      <w:r>
        <w:t xml:space="preserve">239.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footnote>
  <w:footnote w:id="67">
    <w:p>
      <w:pPr>
        <w:pStyle w:val="FootnoteText"/>
      </w:pPr>
      <w:r>
        <w:rPr>
          <w:rStyle w:val="FootnoteReference"/>
        </w:rPr>
        <w:footnoteRef/>
      </w:r>
      <w:r>
        <w:t xml:space="preserve"> </w:t>
      </w:r>
      <w:r>
        <w:t xml:space="preserve">Peter W. Hogg &amp; Allison A. Bushell,</w:t>
      </w:r>
      <w:r>
        <w:t xml:space="preserve"> </w:t>
      </w:r>
      <w:r>
        <w:t xml:space="preserve">“The Charter Dialogue Between Courts and Legislatures”</w:t>
      </w:r>
      <w:r>
        <w:t xml:space="preserve"> </w:t>
      </w:r>
      <w:r>
        <w:t xml:space="preserve">(1997) 35</w:t>
      </w:r>
      <w:r>
        <w:t xml:space="preserve"> </w:t>
      </w:r>
      <w:r>
        <w:rPr>
          <w:i/>
          <w:iCs/>
        </w:rPr>
        <w:t xml:space="preserve">Osgoode Hall Law Journal</w:t>
      </w:r>
      <w:r>
        <w:t xml:space="preserve"> </w:t>
      </w:r>
      <w:r>
        <w:t xml:space="preserve">75.</w:t>
      </w:r>
    </w:p>
  </w:footnote>
  <w:footnote w:id="68">
    <w:p>
      <w:pPr>
        <w:pStyle w:val="FootnoteText"/>
      </w:pPr>
      <w:r>
        <w:rPr>
          <w:rStyle w:val="FootnoteReference"/>
        </w:rPr>
        <w:footnoteRef/>
      </w:r>
      <w:r>
        <w:t xml:space="preserve"> </w:t>
      </w:r>
      <w:r>
        <w:t xml:space="preserve">Stewart,</w:t>
      </w:r>
      <w:r>
        <w:t xml:space="preserve"> </w:t>
      </w:r>
      <w:r>
        <w:t xml:space="preserve">“Overbreadth Revisited,”</w:t>
      </w:r>
      <w:r>
        <w:t xml:space="preserve"> </w:t>
      </w:r>
      <w:r>
        <w:rPr>
          <w:i/>
          <w:iCs/>
        </w:rPr>
        <w:t xml:space="preserve">supra</w:t>
      </w:r>
      <w:r>
        <w:t xml:space="preserve">,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and reframes it through the AI-alignment literature as a case study of outer-alignment infeasibility.</w:t>
      </w:r>
    </w:p>
  </w:footnote>
  <w:footnote w:id="69">
    <w:p>
      <w:pPr>
        <w:pStyle w:val="FootnoteText"/>
      </w:pPr>
      <w:r>
        <w:rPr>
          <w:rStyle w:val="FootnoteReference"/>
        </w:rPr>
        <w:footnoteRef/>
      </w:r>
      <w:r>
        <w:t xml:space="preserve"> </w:t>
      </w:r>
      <w:r>
        <w:t xml:space="preserve">Colton Fehr,</w:t>
      </w:r>
      <w:r>
        <w:t xml:space="preserve"> </w:t>
      </w:r>
      <w:r>
        <w:t xml:space="preserve">“Re-Thinking the Instrumental Rationality Principles of Fundamental Justice”</w:t>
      </w:r>
      <w:r>
        <w:t xml:space="preserve"> </w:t>
      </w:r>
      <w:r>
        <w:t xml:space="preserve">(2020) 58:1 Alta L Rev 133.</w:t>
      </w:r>
    </w:p>
  </w:footnote>
  <w:footnote w:id="70">
    <w:p>
      <w:pPr>
        <w:pStyle w:val="FootnoteText"/>
      </w:pPr>
      <w:r>
        <w:rPr>
          <w:rStyle w:val="FootnoteReference"/>
        </w:rPr>
        <w:footnoteRef/>
      </w:r>
      <w:r>
        <w:t xml:space="preserve"> </w:t>
      </w:r>
      <w:r>
        <w:t xml:space="preserve">Peter W. Hogg,</w:t>
      </w:r>
      <w:r>
        <w:t xml:space="preserve"> </w:t>
      </w:r>
      <w:r>
        <w:t xml:space="preserve">“The Brilliant Career of Section 7 of the Charter”</w:t>
      </w:r>
      <w:r>
        <w:t xml:space="preserve"> </w:t>
      </w:r>
      <w:r>
        <w:t xml:space="preserve">(2012) 58</w:t>
      </w:r>
      <w:r>
        <w:t xml:space="preserve"> </w:t>
      </w:r>
      <w:r>
        <w:rPr>
          <w:i/>
          <w:iCs/>
        </w:rPr>
        <w:t xml:space="preserve">Supreme Court Law Review</w:t>
      </w:r>
      <w:r>
        <w:t xml:space="preserve"> </w:t>
      </w:r>
      <w:r>
        <w:t xml:space="preserve">(2d) 195.</w:t>
      </w:r>
    </w:p>
  </w:footnote>
  <w:footnote w:id="71">
    <w:p>
      <w:pPr>
        <w:pStyle w:val="FootnoteText"/>
      </w:pPr>
      <w:r>
        <w:rPr>
          <w:rStyle w:val="FootnoteReference"/>
        </w:rPr>
        <w:footnoteRef/>
      </w:r>
      <w:r>
        <w:t xml:space="preserve"> </w:t>
      </w:r>
      <w:r>
        <w:t xml:space="preserve">Alana Klein,</w:t>
      </w:r>
      <w:r>
        <w:t xml:space="preserve"> </w:t>
      </w:r>
      <w:r>
        <w:t xml:space="preserve">“The Arbitrariness in</w:t>
      </w:r>
      <w:r>
        <w:t xml:space="preserve"> </w:t>
      </w:r>
      <w:r>
        <w:t xml:space="preserve">‘Arbitrariness’</w:t>
      </w:r>
      <w:r>
        <w:t xml:space="preserve">”</w:t>
      </w:r>
      <w:r>
        <w:t xml:space="preserve"> </w:t>
      </w:r>
      <w:r>
        <w:t xml:space="preserve">(2013) 63</w:t>
      </w:r>
      <w:r>
        <w:t xml:space="preserve"> </w:t>
      </w:r>
      <w:r>
        <w:rPr>
          <w:i/>
          <w:iCs/>
        </w:rPr>
        <w:t xml:space="preserve">Supreme Court Law Review</w:t>
      </w:r>
      <w:r>
        <w:t xml:space="preserve"> </w:t>
      </w:r>
      <w:r>
        <w:t xml:space="preserve">(2d) 377.</w:t>
      </w:r>
    </w:p>
  </w:footnote>
  <w:footnote w:id="72">
    <w:p>
      <w:pPr>
        <w:pStyle w:val="FootnoteText"/>
      </w:pPr>
      <w:r>
        <w:rPr>
          <w:rStyle w:val="FootnoteReference"/>
        </w:rPr>
        <w:footnoteRef/>
      </w:r>
      <w:r>
        <w:t xml:space="preserve"> </w:t>
      </w:r>
      <w:r>
        <w:t xml:space="preserve">Reva B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 See also Siegel,</w:t>
      </w:r>
      <w:r>
        <w:t xml:space="preserve"> </w:t>
      </w:r>
      <w:r>
        <w:t xml:space="preserve">“</w:t>
      </w:r>
      <w:r>
        <w:t xml:space="preserve">‘Why Equal Protection No Longer Protects’</w:t>
      </w:r>
      <w:r>
        <w:t xml:space="preserve">: The Evolving Forms of Status-Enforcing State Action”</w:t>
      </w:r>
      <w:r>
        <w:t xml:space="preserve"> </w:t>
      </w:r>
      <w:r>
        <w:t xml:space="preserve">(1997) 49 Stan L Rev 1111; William J Stuntz,</w:t>
      </w:r>
      <w:r>
        <w:t xml:space="preserve"> </w:t>
      </w:r>
      <w:r>
        <w:t xml:space="preserve">“The Pathological Politics of Criminal Law”</w:t>
      </w:r>
      <w:r>
        <w:t xml:space="preserve"> </w:t>
      </w:r>
      <w:r>
        <w:t xml:space="preserve">(2001) 100 Mich L Rev 505; Samuel R Bagenstos,</w:t>
      </w:r>
      <w:r>
        <w:t xml:space="preserve"> </w:t>
      </w:r>
      <w:r>
        <w:rPr>
          <w:i/>
          <w:iCs/>
        </w:rPr>
        <w:t xml:space="preserve">Law and the Contradictions of the Disability Rights Movement</w:t>
      </w:r>
      <w:r>
        <w:t xml:space="preserve"> </w:t>
      </w:r>
      <w:r>
        <w:t xml:space="preserve">(New Haven: Yale University Press, 2009); Richard H Fallon Jr,</w:t>
      </w:r>
      <w:r>
        <w:t xml:space="preserve"> </w:t>
      </w:r>
      <w:r>
        <w:t xml:space="preserve">“Strict Judicial Scrutiny”</w:t>
      </w:r>
      <w:r>
        <w:t xml:space="preserve"> </w:t>
      </w:r>
      <w:r>
        <w:t xml:space="preserve">(2007) 54 UCLA L Rev 1267; Aziz Z Huq &amp; Tom Ginsburg,</w:t>
      </w:r>
      <w:r>
        <w:t xml:space="preserve"> </w:t>
      </w:r>
      <w:r>
        <w:t xml:space="preserve">“How to Lose a Constitutional Democracy”</w:t>
      </w:r>
      <w:r>
        <w:t xml:space="preserve"> </w:t>
      </w:r>
      <w:r>
        <w:t xml:space="preserve">(2018) 65 UCLA L Rev 78.</w:t>
      </w:r>
    </w:p>
  </w:footnote>
  <w:footnote w:id="73">
    <w:p>
      <w:pPr>
        <w:pStyle w:val="FootnoteText"/>
      </w:pPr>
      <w:r>
        <w:rPr>
          <w:rStyle w:val="FootnoteReference"/>
        </w:rPr>
        <w:footnoteRef/>
      </w:r>
      <w:r>
        <w:t xml:space="preserve"> </w:t>
      </w:r>
      <w:r>
        <w:t xml:space="preserve">Hacker,</w:t>
      </w:r>
      <w:r>
        <w:t xml:space="preserve"> </w:t>
      </w:r>
      <w:r>
        <w:rPr>
          <w:i/>
          <w:iCs/>
        </w:rPr>
        <w:t xml:space="preserve">supra</w:t>
      </w:r>
      <w:r>
        <w:t xml:space="preserve"> </w:t>
      </w:r>
      <w:r>
        <w:t xml:space="preserve">note on policy drift.</w:t>
      </w:r>
    </w:p>
  </w:footnote>
  <w:footnote w:id="75">
    <w:p>
      <w:pPr>
        <w:pStyle w:val="FootnoteText"/>
      </w:pPr>
      <w:r>
        <w:rPr>
          <w:rStyle w:val="FootnoteReference"/>
        </w:rPr>
        <w:footnoteRef/>
      </w:r>
      <w:r>
        <w:t xml:space="preserve"> </w:t>
      </w:r>
      <w:r>
        <w:t xml:space="preserve">Neel Guha et al,</w:t>
      </w:r>
      <w:r>
        <w:t xml:space="preserve"> </w:t>
      </w:r>
      <w:r>
        <w:t xml:space="preserve">“AI Regulation Has Its Own Alignment Problem: The Technical and Institutional Feasibility of Disclosure, Registration, Licensing, and Auditing”</w:t>
      </w:r>
      <w:r>
        <w:t xml:space="preserve"> </w:t>
      </w:r>
      <w:r>
        <w:t xml:space="preserve">(2024) 92:6 Geo Wash L Rev 1473.</w:t>
      </w:r>
    </w:p>
  </w:footnote>
  <w:footnote w:id="76">
    <w:p>
      <w:pPr>
        <w:pStyle w:val="FootnoteText"/>
      </w:pPr>
      <w:r>
        <w:rPr>
          <w:rStyle w:val="FootnoteReference"/>
        </w:rPr>
        <w:footnoteRef/>
      </w:r>
      <w:r>
        <w:t xml:space="preserve"> </w:t>
      </w:r>
      <w:r>
        <w:t xml:space="preserve">Noam Kolt et al.,</w:t>
      </w:r>
      <w:r>
        <w:t xml:space="preserve"> </w:t>
      </w:r>
      <w:r>
        <w:rPr>
          <w:i/>
          <w:iCs/>
        </w:rPr>
        <w:t xml:space="preserve">Legal Alignment for Safe and Ethical AI</w:t>
      </w:r>
      <w:r>
        <w:t xml:space="preserve">, Oxford AI Governance Institute working paper (January 2026), arXiv:2601.04175.</w:t>
      </w:r>
    </w:p>
  </w:footnote>
  <w:footnote w:id="78">
    <w:p>
      <w:pPr>
        <w:pStyle w:val="FootnoteText"/>
      </w:pPr>
      <w:r>
        <w:rPr>
          <w:rStyle w:val="FootnoteReference"/>
        </w:rPr>
        <w:footnoteRef/>
      </w:r>
      <w:r>
        <w:t xml:space="preserve"> </w:t>
      </w:r>
      <w:r>
        <w:t xml:space="preserve">John Borrows,</w:t>
      </w:r>
      <w:r>
        <w:t xml:space="preserve"> </w:t>
      </w:r>
      <w:r>
        <w:rPr>
          <w:i/>
          <w:iCs/>
        </w:rPr>
        <w:t xml:space="preserve">Canada’s Indigenous Constitution</w:t>
      </w:r>
      <w:r>
        <w:t xml:space="preserve"> </w:t>
      </w:r>
      <w:r>
        <w:t xml:space="preserve">(University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t xml:space="preserve">“The Lifeworlds of Law: On Revitalizing Indigenous Legal Orders Today”</w:t>
      </w:r>
      <w:r>
        <w:t xml:space="preserve"> </w:t>
      </w:r>
      <w:r>
        <w:t xml:space="preserve">(2016) 61:4</w:t>
      </w:r>
      <w:r>
        <w:t xml:space="preserve"> </w:t>
      </w:r>
      <w:r>
        <w:rPr>
          <w:i/>
          <w:iCs/>
        </w:rPr>
        <w:t xml:space="preserve">McGill Law Journal</w:t>
      </w:r>
      <w:r>
        <w:t xml:space="preserve"> </w:t>
      </w:r>
      <w:r>
        <w:t xml:space="preserve">847.</w:t>
      </w:r>
    </w:p>
  </w:footnote>
  <w:footnote w:id="81">
    <w:p>
      <w:pPr>
        <w:pStyle w:val="FootnoteText"/>
      </w:pPr>
      <w:r>
        <w:rPr>
          <w:rStyle w:val="FootnoteReference"/>
        </w:rPr>
        <w:footnoteRef/>
      </w:r>
      <w:r>
        <w:t xml:space="preserve"> </w:t>
      </w:r>
      <w:r>
        <w:t xml:space="preserve">Michael Chabon &amp; Ayelet Waldman, eds.,</w:t>
      </w:r>
      <w:r>
        <w:t xml:space="preserve"> </w:t>
      </w:r>
      <w:r>
        <w:rPr>
          <w:i/>
          <w:iCs/>
        </w:rPr>
        <w:t xml:space="preserve">Fight of the Century: Writers Reflect on 100 Years of Landmark ACLU Cases</w:t>
      </w:r>
      <w:r>
        <w:t xml:space="preserve"> </w:t>
      </w:r>
      <w:r>
        <w:t xml:space="preserve">(Avid Reader Press / Simon &amp; Schuster, 2020); see also Ellis Cose,</w:t>
      </w:r>
      <w:r>
        <w:t xml:space="preserve"> </w:t>
      </w:r>
      <w:r>
        <w:rPr>
          <w:i/>
          <w:iCs/>
        </w:rPr>
        <w:t xml:space="preserve">Democracy, If We Can Keep It: The ACLU’s 100-Year Fight for Rights in America</w:t>
      </w:r>
      <w:r>
        <w:t xml:space="preserve"> </w:t>
      </w:r>
      <w:r>
        <w:t xml:space="preserve">(The New Press, 2020).</w:t>
      </w:r>
    </w:p>
  </w:footnote>
  <w:footnote w:id="82">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83">
    <w:p>
      <w:pPr>
        <w:pStyle w:val="FootnoteText"/>
      </w:pPr>
      <w:r>
        <w:rPr>
          <w:rStyle w:val="FootnoteReference"/>
        </w:rPr>
        <w:footnoteRef/>
      </w:r>
      <w:r>
        <w:t xml:space="preserve"> </w:t>
      </w:r>
      <w:r>
        <w:t xml:space="preserve">Liberty (formerly the National Council for Civil Liberties, founded 1934), https://www.libertyhumanrights.org.uk/; see</w:t>
      </w:r>
      <w:r>
        <w:t xml:space="preserve"> </w:t>
      </w:r>
      <w:r>
        <w:rPr>
          <w:i/>
          <w:iCs/>
        </w:rPr>
        <w:t xml:space="preserve">Liberty’s Annual Report 2024-25</w:t>
      </w:r>
      <w:r>
        <w:t xml:space="preserve"> </w:t>
      </w:r>
      <w:r>
        <w:t xml:space="preserve">(London: Liberty, 2025) for the organization’s current rights-defence agenda.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2026-04-19T18:19:06Z</dcterms:created>
  <dcterms:modified xsi:type="dcterms:W3CDTF">2026-04-19T18:19:06Z</dcterms:modified>
</cp:coreProperties>
</file>

<file path=docProps/custom.xml><?xml version="1.0" encoding="utf-8"?>
<Properties xmlns="http://schemas.openxmlformats.org/officeDocument/2006/custom-properties" xmlns:vt="http://schemas.openxmlformats.org/officeDocument/2006/docPropsVTypes"/>
</file>