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0BB7D" w14:textId="77777777" w:rsidR="00A9716F" w:rsidRDefault="00B050DA" w:rsidP="00350DF2">
      <w:pPr>
        <w:pStyle w:val="QAHeadingH11NotinTOC"/>
        <w:pageBreakBefore w:val="0"/>
      </w:pPr>
      <w:bookmarkStart w:id="0" w:name="_Toc335129559"/>
      <w:bookmarkStart w:id="1" w:name="_Toc335137709"/>
      <w:bookmarkStart w:id="2" w:name="_Toc335143949"/>
      <w:bookmarkStart w:id="3" w:name="_Toc335144173"/>
      <w:bookmarkStart w:id="4" w:name="_Toc335132589"/>
      <w:bookmarkStart w:id="5" w:name="_Toc335137591"/>
      <w:bookmarkStart w:id="6" w:name="_Toc335137611"/>
      <w:bookmarkStart w:id="7" w:name="_Toc335137729"/>
      <w:bookmarkStart w:id="8" w:name="_Toc335138008"/>
      <w:bookmarkStart w:id="9" w:name="_Toc335138624"/>
      <w:bookmarkStart w:id="10" w:name="_Toc335138941"/>
      <w:bookmarkStart w:id="11" w:name="_Toc335138988"/>
      <w:bookmarkStart w:id="12" w:name="_Toc335139008"/>
      <w:bookmarkStart w:id="13" w:name="_Toc335139022"/>
      <w:bookmarkStart w:id="14" w:name="_Toc335139191"/>
      <w:bookmarkStart w:id="15" w:name="_Toc335140018"/>
      <w:bookmarkStart w:id="16" w:name="_Toc335142864"/>
      <w:bookmarkStart w:id="17" w:name="_Toc335143117"/>
      <w:bookmarkStart w:id="18" w:name="_Toc335144475"/>
      <w:bookmarkStart w:id="19" w:name="_Toc335144900"/>
      <w:bookmarkStart w:id="20" w:name="_Toc335145941"/>
      <w:r>
        <w:t>Scala Programming</w:t>
      </w:r>
    </w:p>
    <w:p w14:paraId="403C2C2F" w14:textId="71CCE2BD" w:rsidR="00A9716F" w:rsidRDefault="002A22FD" w:rsidP="00350DF2">
      <w:pPr>
        <w:pStyle w:val="QAHeadingH21NotinTOC"/>
      </w:pPr>
      <w:r>
        <w:t>Introduction</w:t>
      </w:r>
      <w:r w:rsidR="00B050DA">
        <w:t xml:space="preserve"> </w:t>
      </w:r>
    </w:p>
    <w:p w14:paraId="5C23625F" w14:textId="77777777" w:rsidR="002A22FD" w:rsidRDefault="002A22FD" w:rsidP="002A22FD">
      <w:pPr>
        <w:pStyle w:val="QAHeadingH3MajorSub-heading"/>
      </w:pPr>
    </w:p>
    <w:p w14:paraId="130699BA" w14:textId="77777777" w:rsidR="002A22FD" w:rsidRDefault="002A22FD" w:rsidP="002A22FD">
      <w:pPr>
        <w:pStyle w:val="QAHeadingH3MajorSub-heading"/>
      </w:pPr>
      <w:r>
        <w:t>Introduction to Exercises</w:t>
      </w:r>
    </w:p>
    <w:p w14:paraId="7F4423EC" w14:textId="77777777" w:rsidR="002A22FD" w:rsidRDefault="002A22FD" w:rsidP="002A22FD">
      <w:r>
        <w:t>F</w:t>
      </w:r>
      <w:r w:rsidRPr="001711D0">
        <w:t xml:space="preserve">or every </w:t>
      </w:r>
      <w:proofErr w:type="gramStart"/>
      <w:r w:rsidRPr="001711D0">
        <w:t>exercise</w:t>
      </w:r>
      <w:proofErr w:type="gramEnd"/>
      <w:r w:rsidRPr="001711D0">
        <w:t xml:space="preserve"> there should be </w:t>
      </w:r>
      <w:r>
        <w:t xml:space="preserve">a </w:t>
      </w:r>
      <w:proofErr w:type="spellStart"/>
      <w:r>
        <w:t>scala</w:t>
      </w:r>
      <w:proofErr w:type="spellEnd"/>
      <w:r w:rsidRPr="001711D0">
        <w:t xml:space="preserve"> exercise file </w:t>
      </w:r>
      <w:r>
        <w:t xml:space="preserve">available, </w:t>
      </w:r>
      <w:r w:rsidRPr="001711D0">
        <w:t>most questions are solved by writing code in the file</w:t>
      </w:r>
      <w:r w:rsidRPr="001711D0">
        <w:br/>
        <w:t>and then running the file</w:t>
      </w:r>
      <w:r>
        <w:t xml:space="preserve">. </w:t>
      </w:r>
    </w:p>
    <w:p w14:paraId="74230D24" w14:textId="77777777" w:rsidR="002A22FD" w:rsidRDefault="002A22FD" w:rsidP="002A22FD">
      <w:r w:rsidRPr="001711D0">
        <w:br/>
      </w:r>
      <w:r>
        <w:t>S</w:t>
      </w:r>
      <w:r w:rsidRPr="001711D0">
        <w:t>olutions are provided, you can have a</w:t>
      </w:r>
      <w:r>
        <w:t xml:space="preserve"> look at these if you get stuck, </w:t>
      </w:r>
      <w:r w:rsidRPr="001711D0">
        <w:t>however its best to try on your own and</w:t>
      </w:r>
      <w:r>
        <w:t xml:space="preserve"> ask the instructor for advice. </w:t>
      </w:r>
      <w:r>
        <w:br/>
      </w:r>
    </w:p>
    <w:p w14:paraId="7FBC1A61" w14:textId="77777777" w:rsidR="002A22FD" w:rsidRDefault="002A22FD" w:rsidP="002A22FD">
      <w:r>
        <w:t>B</w:t>
      </w:r>
      <w:r w:rsidRPr="001711D0">
        <w:t>efore you</w:t>
      </w:r>
      <w:r>
        <w:t xml:space="preserve"> start an exercise,</w:t>
      </w:r>
      <w:r w:rsidRPr="001711D0">
        <w:t xml:space="preserve"> save a copy to your home folder to keep track of your solutions</w:t>
      </w:r>
      <w:r>
        <w:t>.</w:t>
      </w:r>
    </w:p>
    <w:p w14:paraId="579A9247" w14:textId="77777777" w:rsidR="002A22FD" w:rsidRDefault="002A22FD" w:rsidP="002A22FD">
      <w:pPr>
        <w:rPr>
          <w:rFonts w:eastAsia="Times New Roman"/>
        </w:rPr>
      </w:pPr>
    </w:p>
    <w:p w14:paraId="6E4D08A0" w14:textId="77777777" w:rsidR="002A22FD" w:rsidRPr="00C315A1" w:rsidRDefault="002A22FD" w:rsidP="002A22FD">
      <w:pPr>
        <w:pStyle w:val="QAHeadingH3MajorSub-heading"/>
        <w:rPr>
          <w:color w:val="000000"/>
        </w:rPr>
      </w:pPr>
      <w:r>
        <w:t>Overview</w:t>
      </w:r>
    </w:p>
    <w:p w14:paraId="1C50D90A" w14:textId="77777777" w:rsidR="002A22FD" w:rsidRDefault="002A22FD" w:rsidP="002A22FD">
      <w:pPr>
        <w:rPr>
          <w:rFonts w:eastAsia="Times New Roman"/>
        </w:rPr>
      </w:pPr>
      <w:r>
        <w:rPr>
          <w:rFonts w:eastAsia="Times New Roman"/>
        </w:rPr>
        <w:t xml:space="preserve">Scala programs can be written in several styles and executed in several ways. Programs can be compiled, interpreted whole, or interpreted line-by-line at the REPL prompt. </w:t>
      </w:r>
    </w:p>
    <w:p w14:paraId="64A3124C" w14:textId="77777777" w:rsidR="002A22FD" w:rsidRPr="00C315A1" w:rsidRDefault="002A22FD" w:rsidP="002A22FD">
      <w:pPr>
        <w:rPr>
          <w:rFonts w:eastAsia="Times New Roman"/>
          <w:color w:val="000000"/>
        </w:rPr>
      </w:pPr>
      <w:r>
        <w:rPr>
          <w:rFonts w:eastAsia="Times New Roman"/>
        </w:rPr>
        <w:t xml:space="preserve"> </w:t>
      </w:r>
    </w:p>
    <w:p w14:paraId="5F01DA41" w14:textId="77777777" w:rsidR="002A22FD" w:rsidRDefault="002A22FD" w:rsidP="002A22FD">
      <w:pPr>
        <w:rPr>
          <w:rFonts w:eastAsia="Times New Roman"/>
        </w:rPr>
      </w:pPr>
      <w:r w:rsidRPr="00C315A1">
        <w:rPr>
          <w:rFonts w:eastAsia="Times New Roman"/>
        </w:rPr>
        <w:t xml:space="preserve">In this </w:t>
      </w:r>
      <w:proofErr w:type="gramStart"/>
      <w:r w:rsidRPr="00C315A1">
        <w:rPr>
          <w:rFonts w:eastAsia="Times New Roman"/>
        </w:rPr>
        <w:t>exercise</w:t>
      </w:r>
      <w:proofErr w:type="gramEnd"/>
      <w:r w:rsidRPr="00C315A1">
        <w:rPr>
          <w:rFonts w:eastAsia="Times New Roman"/>
        </w:rPr>
        <w:t xml:space="preserve"> you will </w:t>
      </w:r>
      <w:r>
        <w:rPr>
          <w:rFonts w:eastAsia="Times New Roman"/>
        </w:rPr>
        <w:t xml:space="preserve">try out all of these. </w:t>
      </w:r>
      <w:r w:rsidRPr="00C315A1">
        <w:rPr>
          <w:rFonts w:eastAsia="Times New Roman"/>
        </w:rPr>
        <w:t xml:space="preserve"> </w:t>
      </w:r>
    </w:p>
    <w:p w14:paraId="5FEA87DB" w14:textId="77777777" w:rsidR="002A22FD" w:rsidRPr="00C315A1" w:rsidRDefault="002A22FD" w:rsidP="002A22FD">
      <w:pPr>
        <w:rPr>
          <w:rFonts w:eastAsia="Times New Roman"/>
          <w:color w:val="000000"/>
        </w:rPr>
      </w:pPr>
    </w:p>
    <w:p w14:paraId="651ED7FD" w14:textId="77777777" w:rsidR="002A22FD" w:rsidRDefault="002A22FD" w:rsidP="002A22FD">
      <w:pPr>
        <w:pStyle w:val="QAHeadingH3MajorSub-heading"/>
      </w:pPr>
      <w:r>
        <w:t>Objective</w:t>
      </w:r>
    </w:p>
    <w:p w14:paraId="6B50DFB9" w14:textId="77777777" w:rsidR="002A22FD" w:rsidRDefault="002A22FD" w:rsidP="002A22FD">
      <w:r w:rsidRPr="001711D0">
        <w:t>Use the compiler, interpre</w:t>
      </w:r>
      <w:r>
        <w:t xml:space="preserve">ter and </w:t>
      </w:r>
      <w:proofErr w:type="spellStart"/>
      <w:r>
        <w:t>repl</w:t>
      </w:r>
      <w:proofErr w:type="spellEnd"/>
      <w:r>
        <w:t xml:space="preserve"> to run </w:t>
      </w:r>
      <w:proofErr w:type="spellStart"/>
      <w:r>
        <w:t>scala</w:t>
      </w:r>
      <w:proofErr w:type="spellEnd"/>
      <w:r>
        <w:t xml:space="preserve"> code.</w:t>
      </w:r>
    </w:p>
    <w:p w14:paraId="34134299" w14:textId="77777777" w:rsidR="00392E1D" w:rsidRDefault="00392E1D" w:rsidP="002A22FD"/>
    <w:p w14:paraId="61EEB1AF" w14:textId="1D237911" w:rsidR="00392E1D" w:rsidRPr="001711D0" w:rsidRDefault="00392E1D" w:rsidP="00392E1D">
      <w:pPr>
        <w:pStyle w:val="QAHeadingH3MajorSub-heading"/>
      </w:pPr>
      <w:r>
        <w:t>Questions</w:t>
      </w:r>
    </w:p>
    <w:p w14:paraId="61910C09" w14:textId="77777777" w:rsidR="00392E1D" w:rsidRPr="001711D0" w:rsidRDefault="00392E1D" w:rsidP="00392E1D">
      <w:pPr>
        <w:shd w:val="clear" w:color="auto" w:fill="FFFFFF"/>
        <w:rPr>
          <w:rFonts w:ascii="Menlo" w:hAnsi="Menlo" w:cs="Menlo"/>
          <w:color w:val="000000"/>
          <w:szCs w:val="24"/>
        </w:rPr>
      </w:pPr>
      <w:r w:rsidRPr="001711D0">
        <w:rPr>
          <w:rFonts w:ascii="Consolas" w:hAnsi="Consolas" w:cs="Menlo"/>
          <w:color w:val="606060"/>
          <w:sz w:val="22"/>
          <w:szCs w:val="24"/>
        </w:rPr>
        <w:t>// PART 1 -- RUNNING SCALA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 create a file called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HelloWorld.scala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br/>
        <w:t>// it should contain the following...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object </w:t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HelloWorld </w:t>
      </w:r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extends </w:t>
      </w:r>
      <w:r w:rsidRPr="001711D0">
        <w:rPr>
          <w:rFonts w:ascii="Consolas" w:hAnsi="Consolas" w:cs="Menlo"/>
          <w:color w:val="000000"/>
          <w:sz w:val="22"/>
          <w:szCs w:val="24"/>
        </w:rPr>
        <w:t>App {</w:t>
      </w:r>
      <w:r w:rsidRPr="001711D0">
        <w:rPr>
          <w:rFonts w:ascii="Consolas" w:hAnsi="Consolas" w:cs="Menlo"/>
          <w:color w:val="000000"/>
          <w:sz w:val="22"/>
          <w:szCs w:val="24"/>
        </w:rPr>
        <w:br/>
        <w:t xml:space="preserve">  </w:t>
      </w:r>
      <w:proofErr w:type="spellStart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>def</w:t>
      </w:r>
      <w:proofErr w:type="spellEnd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 </w:t>
      </w:r>
      <w:r w:rsidRPr="001711D0">
        <w:rPr>
          <w:rFonts w:ascii="Consolas" w:hAnsi="Consolas" w:cs="Menlo"/>
          <w:color w:val="000000"/>
          <w:sz w:val="22"/>
          <w:szCs w:val="24"/>
        </w:rPr>
        <w:t>main(</w:t>
      </w:r>
      <w:proofErr w:type="spellStart"/>
      <w:r w:rsidRPr="001711D0">
        <w:rPr>
          <w:rFonts w:ascii="Consolas" w:hAnsi="Consolas" w:cs="Menlo"/>
          <w:color w:val="000000"/>
          <w:sz w:val="22"/>
          <w:szCs w:val="24"/>
        </w:rPr>
        <w:t>args</w:t>
      </w:r>
      <w:proofErr w:type="spellEnd"/>
      <w:r w:rsidRPr="001711D0">
        <w:rPr>
          <w:rFonts w:ascii="Consolas" w:hAnsi="Consolas" w:cs="Menlo"/>
          <w:color w:val="000000"/>
          <w:sz w:val="22"/>
          <w:szCs w:val="24"/>
        </w:rPr>
        <w:t>: Array[</w:t>
      </w:r>
      <w:r w:rsidRPr="001711D0">
        <w:rPr>
          <w:rFonts w:ascii="Consolas" w:hAnsi="Consolas" w:cs="Menlo"/>
          <w:color w:val="20999D"/>
          <w:sz w:val="22"/>
          <w:szCs w:val="24"/>
        </w:rPr>
        <w:t>String</w:t>
      </w:r>
      <w:r w:rsidRPr="001711D0">
        <w:rPr>
          <w:rFonts w:ascii="Consolas" w:hAnsi="Consolas" w:cs="Menlo"/>
          <w:color w:val="000000"/>
          <w:sz w:val="22"/>
          <w:szCs w:val="24"/>
        </w:rPr>
        <w:t>]) {</w:t>
      </w:r>
      <w:r w:rsidRPr="001711D0">
        <w:rPr>
          <w:rFonts w:ascii="Consolas" w:hAnsi="Consolas" w:cs="Menlo"/>
          <w:color w:val="000000"/>
          <w:sz w:val="22"/>
          <w:szCs w:val="24"/>
        </w:rPr>
        <w:br/>
        <w:t xml:space="preserve">    </w:t>
      </w:r>
      <w:proofErr w:type="spellStart"/>
      <w:r w:rsidRPr="001711D0">
        <w:rPr>
          <w:rFonts w:ascii="Consolas" w:hAnsi="Consolas" w:cs="Menlo"/>
          <w:color w:val="000000"/>
          <w:sz w:val="22"/>
          <w:szCs w:val="24"/>
        </w:rPr>
        <w:t>println</w:t>
      </w:r>
      <w:proofErr w:type="spellEnd"/>
      <w:r w:rsidRPr="001711D0">
        <w:rPr>
          <w:rFonts w:ascii="Consolas" w:hAnsi="Consolas" w:cs="Menlo"/>
          <w:color w:val="000000"/>
          <w:sz w:val="22"/>
          <w:szCs w:val="24"/>
        </w:rPr>
        <w:t>(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t>"Hello World!"</w:t>
      </w:r>
      <w:r w:rsidRPr="001711D0">
        <w:rPr>
          <w:rFonts w:ascii="Consolas" w:hAnsi="Consolas" w:cs="Menlo"/>
          <w:color w:val="000000"/>
          <w:sz w:val="22"/>
          <w:szCs w:val="24"/>
        </w:rPr>
        <w:t>)</w:t>
      </w:r>
      <w:r w:rsidRPr="001711D0">
        <w:rPr>
          <w:rFonts w:ascii="Consolas" w:hAnsi="Consolas" w:cs="Menlo"/>
          <w:color w:val="000000"/>
          <w:sz w:val="22"/>
          <w:szCs w:val="24"/>
        </w:rPr>
        <w:br/>
        <w:t xml:space="preserve">  }</w:t>
      </w:r>
      <w:r w:rsidRPr="001711D0">
        <w:rPr>
          <w:rFonts w:ascii="Consolas" w:hAnsi="Consolas" w:cs="Menlo"/>
          <w:color w:val="000000"/>
          <w:sz w:val="22"/>
          <w:szCs w:val="24"/>
        </w:rPr>
        <w:br/>
        <w:t>}</w:t>
      </w:r>
      <w:r w:rsidRPr="001711D0">
        <w:rPr>
          <w:rFonts w:ascii="Consolas" w:hAnsi="Consolas" w:cs="Menlo"/>
          <w:color w:val="000000"/>
          <w:sz w:val="22"/>
          <w:szCs w:val="24"/>
        </w:rPr>
        <w:br/>
      </w:r>
      <w:r w:rsidRPr="001711D0">
        <w:rPr>
          <w:rFonts w:ascii="Consolas" w:hAnsi="Consolas" w:cs="Menlo"/>
          <w:color w:val="00000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t xml:space="preserve">//Q. run the file via: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scala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,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scalac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 &amp;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scala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>, ide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//STEPS for IDE:</w:t>
      </w:r>
      <w:bookmarkStart w:id="21" w:name="_GoBack"/>
      <w:bookmarkEnd w:id="21"/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 place a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main.scala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 file in the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src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 folder and chose Run &gt;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Run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//Q. modify your main method, define a variable called message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set message to "Good Day!"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print the message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lastRenderedPageBreak/>
        <w:br/>
        <w:t>// Q. create a new *worksheet* in the IDE (hello.sc)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 copy and paste the contents of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HelloWorld.scala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 into hello.sc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 in addition, add at the end of the file: 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HelloWorld.main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>(Array())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and run the file (the green triangle)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//Q. why was the last line required?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PART 2 -- TRY THE REPL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//Q. use the REPL to find out what methods today has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//HINT: TAB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proofErr w:type="spellStart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 </w:t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today = </w:t>
      </w:r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new </w:t>
      </w:r>
      <w:proofErr w:type="spellStart"/>
      <w:r w:rsidRPr="001711D0">
        <w:rPr>
          <w:rFonts w:ascii="Consolas" w:hAnsi="Consolas" w:cs="Menlo"/>
          <w:color w:val="000000"/>
          <w:sz w:val="22"/>
          <w:szCs w:val="24"/>
        </w:rPr>
        <w:t>java.util.Date</w:t>
      </w:r>
      <w:proofErr w:type="spellEnd"/>
      <w:r w:rsidRPr="001711D0">
        <w:rPr>
          <w:rFonts w:ascii="Consolas" w:hAnsi="Consolas" w:cs="Menlo"/>
          <w:color w:val="000000"/>
          <w:sz w:val="22"/>
          <w:szCs w:val="24"/>
        </w:rPr>
        <w:br/>
      </w:r>
      <w:r w:rsidRPr="001711D0">
        <w:rPr>
          <w:rFonts w:ascii="Consolas" w:hAnsi="Consolas" w:cs="Menlo"/>
          <w:color w:val="00000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t>//Q. try the following in the REPL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proofErr w:type="spellStart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 </w:t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message = 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t>"Hello"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proofErr w:type="spellStart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>var</w:t>
      </w:r>
      <w:proofErr w:type="spellEnd"/>
      <w:r w:rsidRPr="001711D0">
        <w:rPr>
          <w:rFonts w:ascii="Consolas" w:hAnsi="Consolas" w:cs="Menlo"/>
          <w:b/>
          <w:bCs/>
          <w:color w:val="000080"/>
          <w:sz w:val="22"/>
          <w:szCs w:val="24"/>
        </w:rPr>
        <w:t xml:space="preserve"> </w:t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greeting = 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t>"Hello"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greeting += 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t>" World"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r w:rsidRPr="001711D0">
        <w:rPr>
          <w:rFonts w:ascii="Consolas" w:hAnsi="Consolas" w:cs="Menlo"/>
          <w:color w:val="000000"/>
          <w:sz w:val="22"/>
          <w:szCs w:val="24"/>
        </w:rPr>
        <w:t xml:space="preserve">message  += 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t>" World"</w:t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r w:rsidRPr="001711D0">
        <w:rPr>
          <w:rFonts w:ascii="Consolas" w:hAnsi="Consolas" w:cs="Menlo"/>
          <w:b/>
          <w:bCs/>
          <w:color w:val="00800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t>//Q. Why does the second operation fail?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//Q. change the definition of message so the above operation will work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EXTRA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 To turn off automatic running of worksheets in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Intellij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 xml:space="preserve"> choose: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Preferences &gt; Language &amp; Tools &gt; Scala &gt; Worksheets &gt; interactive option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REPL -- Mac, Linux users only!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//Q. what does CTRL+L, CTRL+A, CTRL+E, CTRL+U and CTRL+K do?</w:t>
      </w:r>
      <w:r w:rsidRPr="001711D0">
        <w:rPr>
          <w:rFonts w:ascii="Consolas" w:hAnsi="Consolas" w:cs="Menlo"/>
          <w:color w:val="606060"/>
          <w:sz w:val="22"/>
          <w:szCs w:val="24"/>
        </w:rPr>
        <w:br/>
        <w:t xml:space="preserve">//Q. press CTRL+R, type </w:t>
      </w:r>
      <w:proofErr w:type="spellStart"/>
      <w:r w:rsidRPr="001711D0">
        <w:rPr>
          <w:rFonts w:ascii="Consolas" w:hAnsi="Consolas" w:cs="Menlo"/>
          <w:color w:val="606060"/>
          <w:sz w:val="22"/>
          <w:szCs w:val="24"/>
        </w:rPr>
        <w:t>val</w:t>
      </w:r>
      <w:proofErr w:type="spellEnd"/>
      <w:r w:rsidRPr="001711D0">
        <w:rPr>
          <w:rFonts w:ascii="Consolas" w:hAnsi="Consolas" w:cs="Menlo"/>
          <w:color w:val="606060"/>
          <w:sz w:val="22"/>
          <w:szCs w:val="24"/>
        </w:rPr>
        <w:t>, press the right arrow key</w:t>
      </w:r>
      <w:r w:rsidRPr="001711D0">
        <w:rPr>
          <w:rFonts w:ascii="Consolas" w:hAnsi="Consolas" w:cs="Menlo"/>
          <w:color w:val="606060"/>
          <w:sz w:val="22"/>
          <w:szCs w:val="24"/>
        </w:rPr>
        <w:br/>
      </w:r>
      <w:r w:rsidRPr="001711D0">
        <w:rPr>
          <w:rFonts w:ascii="Consolas" w:hAnsi="Consolas" w:cs="Menlo"/>
          <w:color w:val="606060"/>
          <w:sz w:val="22"/>
          <w:szCs w:val="24"/>
        </w:rPr>
        <w:br/>
        <w:t>// REVIEW: What did you learn from this exercise?</w:t>
      </w:r>
    </w:p>
    <w:p w14:paraId="1487AD62" w14:textId="77777777" w:rsidR="00392E1D" w:rsidRPr="00FB129D" w:rsidRDefault="00392E1D" w:rsidP="00392E1D"/>
    <w:p w14:paraId="3F1490DF" w14:textId="77777777" w:rsidR="002A22FD" w:rsidRPr="002A22FD" w:rsidRDefault="002A22FD" w:rsidP="002A22FD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sectPr w:rsidR="002A22FD" w:rsidRPr="002A22FD" w:rsidSect="00881813">
      <w:footerReference w:type="default" r:id="rId14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0B91C" w14:textId="77777777" w:rsidR="00EE05F3" w:rsidRDefault="00EE05F3" w:rsidP="00350DF2">
      <w:r>
        <w:separator/>
      </w:r>
    </w:p>
    <w:p w14:paraId="568A3A31" w14:textId="77777777" w:rsidR="00EE05F3" w:rsidRDefault="00EE05F3" w:rsidP="00350DF2"/>
    <w:p w14:paraId="0FE74D89" w14:textId="77777777" w:rsidR="00EE05F3" w:rsidRDefault="00EE05F3" w:rsidP="00350DF2"/>
    <w:p w14:paraId="37962B2E" w14:textId="77777777" w:rsidR="00EE05F3" w:rsidRDefault="00EE05F3" w:rsidP="00350DF2"/>
    <w:p w14:paraId="17035636" w14:textId="77777777" w:rsidR="00EE05F3" w:rsidRDefault="00EE05F3" w:rsidP="00350DF2"/>
    <w:p w14:paraId="760F0891" w14:textId="77777777" w:rsidR="00EE05F3" w:rsidRDefault="00EE05F3" w:rsidP="00350DF2"/>
  </w:endnote>
  <w:endnote w:type="continuationSeparator" w:id="0">
    <w:p w14:paraId="5E54838E" w14:textId="77777777" w:rsidR="00EE05F3" w:rsidRDefault="00EE05F3" w:rsidP="00350DF2">
      <w:r>
        <w:continuationSeparator/>
      </w:r>
    </w:p>
    <w:p w14:paraId="6B47D785" w14:textId="77777777" w:rsidR="00EE05F3" w:rsidRDefault="00EE05F3" w:rsidP="00350DF2"/>
    <w:p w14:paraId="3E23E99A" w14:textId="77777777" w:rsidR="00EE05F3" w:rsidRDefault="00EE05F3" w:rsidP="00350DF2"/>
    <w:p w14:paraId="02C57C29" w14:textId="77777777" w:rsidR="00EE05F3" w:rsidRDefault="00EE05F3" w:rsidP="00350DF2"/>
    <w:p w14:paraId="6D38E1BF" w14:textId="77777777" w:rsidR="00EE05F3" w:rsidRDefault="00EE05F3" w:rsidP="00350DF2"/>
    <w:p w14:paraId="3A3946B7" w14:textId="77777777" w:rsidR="00EE05F3" w:rsidRDefault="00EE05F3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1205619"/>
      <w:docPartObj>
        <w:docPartGallery w:val="Page Numbers (Bottom of Page)"/>
        <w:docPartUnique/>
      </w:docPartObj>
    </w:sdtPr>
    <w:sdtEndPr/>
    <w:sdtContent>
      <w:p w14:paraId="45DE50FD" w14:textId="77777777" w:rsidR="00881813" w:rsidRDefault="00881813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92E1D"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EB68A" w14:textId="77777777" w:rsidR="00EE05F3" w:rsidRDefault="00EE05F3" w:rsidP="00350DF2">
      <w:r>
        <w:separator/>
      </w:r>
    </w:p>
    <w:p w14:paraId="55ADB063" w14:textId="77777777" w:rsidR="00EE05F3" w:rsidRDefault="00EE05F3" w:rsidP="00350DF2"/>
    <w:p w14:paraId="0354A128" w14:textId="77777777" w:rsidR="00EE05F3" w:rsidRDefault="00EE05F3" w:rsidP="00350DF2"/>
    <w:p w14:paraId="60B7312E" w14:textId="77777777" w:rsidR="00EE05F3" w:rsidRDefault="00EE05F3" w:rsidP="00350DF2"/>
    <w:p w14:paraId="6EE68DA6" w14:textId="77777777" w:rsidR="00EE05F3" w:rsidRDefault="00EE05F3" w:rsidP="00350DF2"/>
    <w:p w14:paraId="1DD50547" w14:textId="77777777" w:rsidR="00EE05F3" w:rsidRDefault="00EE05F3" w:rsidP="00350DF2"/>
  </w:footnote>
  <w:footnote w:type="continuationSeparator" w:id="0">
    <w:p w14:paraId="59B7BF56" w14:textId="77777777" w:rsidR="00EE05F3" w:rsidRDefault="00EE05F3" w:rsidP="00350DF2">
      <w:r>
        <w:continuationSeparator/>
      </w:r>
    </w:p>
    <w:p w14:paraId="79341E48" w14:textId="77777777" w:rsidR="00EE05F3" w:rsidRDefault="00EE05F3" w:rsidP="00350DF2"/>
    <w:p w14:paraId="5F7A9A67" w14:textId="77777777" w:rsidR="00EE05F3" w:rsidRDefault="00EE05F3" w:rsidP="00350DF2"/>
    <w:p w14:paraId="7D825122" w14:textId="77777777" w:rsidR="00EE05F3" w:rsidRDefault="00EE05F3" w:rsidP="00350DF2"/>
    <w:p w14:paraId="0B6F7EE4" w14:textId="77777777" w:rsidR="00EE05F3" w:rsidRDefault="00EE05F3" w:rsidP="00350DF2"/>
    <w:p w14:paraId="4F6395EB" w14:textId="77777777" w:rsidR="00EE05F3" w:rsidRDefault="00EE05F3" w:rsidP="00350DF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DA"/>
    <w:rsid w:val="00002A60"/>
    <w:rsid w:val="0000472B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6477"/>
    <w:rsid w:val="00016D6F"/>
    <w:rsid w:val="00017069"/>
    <w:rsid w:val="0002052B"/>
    <w:rsid w:val="00020F3B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1298"/>
    <w:rsid w:val="002012F5"/>
    <w:rsid w:val="0020197C"/>
    <w:rsid w:val="00203B71"/>
    <w:rsid w:val="00203C1D"/>
    <w:rsid w:val="00206C1B"/>
    <w:rsid w:val="00206FF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AD"/>
    <w:rsid w:val="00280923"/>
    <w:rsid w:val="00281558"/>
    <w:rsid w:val="00281B91"/>
    <w:rsid w:val="002829E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22FD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674"/>
    <w:rsid w:val="00350A56"/>
    <w:rsid w:val="00350DF2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2E1D"/>
    <w:rsid w:val="00393412"/>
    <w:rsid w:val="00394459"/>
    <w:rsid w:val="00394CA8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713A"/>
    <w:rsid w:val="00482438"/>
    <w:rsid w:val="00483261"/>
    <w:rsid w:val="00487839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6F8E"/>
    <w:rsid w:val="005F0AC3"/>
    <w:rsid w:val="005F0D56"/>
    <w:rsid w:val="005F2DEF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4421"/>
    <w:rsid w:val="006C4902"/>
    <w:rsid w:val="006C698C"/>
    <w:rsid w:val="006C7954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3961"/>
    <w:rsid w:val="008C4BC4"/>
    <w:rsid w:val="008C4CE3"/>
    <w:rsid w:val="008C4F51"/>
    <w:rsid w:val="008D034E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2272"/>
    <w:rsid w:val="00AA2BC9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580"/>
    <w:rsid w:val="00AF4998"/>
    <w:rsid w:val="00AF4B89"/>
    <w:rsid w:val="00AF6F0B"/>
    <w:rsid w:val="00B005B7"/>
    <w:rsid w:val="00B00D5A"/>
    <w:rsid w:val="00B01C29"/>
    <w:rsid w:val="00B0407E"/>
    <w:rsid w:val="00B050DA"/>
    <w:rsid w:val="00B05B8D"/>
    <w:rsid w:val="00B0776C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784"/>
    <w:rsid w:val="00C25B3D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E5"/>
    <w:rsid w:val="00CC3B26"/>
    <w:rsid w:val="00CC4132"/>
    <w:rsid w:val="00CC576B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6771"/>
    <w:rsid w:val="00D06F8E"/>
    <w:rsid w:val="00D071E0"/>
    <w:rsid w:val="00D10BD0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9E7"/>
    <w:rsid w:val="00E92A66"/>
    <w:rsid w:val="00E93DDB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308"/>
    <w:rsid w:val="00EE05F3"/>
    <w:rsid w:val="00EE157E"/>
    <w:rsid w:val="00EE1BD1"/>
    <w:rsid w:val="00EE1DFD"/>
    <w:rsid w:val="00EE1F9B"/>
    <w:rsid w:val="00EE2341"/>
    <w:rsid w:val="00EE346E"/>
    <w:rsid w:val="00EE4C45"/>
    <w:rsid w:val="00EE6620"/>
    <w:rsid w:val="00EE667F"/>
    <w:rsid w:val="00EE6937"/>
    <w:rsid w:val="00EF11F2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211C6"/>
    <w:rsid w:val="00F216C5"/>
    <w:rsid w:val="00F21FED"/>
    <w:rsid w:val="00F226FA"/>
    <w:rsid w:val="00F2472F"/>
    <w:rsid w:val="00F24A9C"/>
    <w:rsid w:val="00F24B35"/>
    <w:rsid w:val="00F24F8E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8B3"/>
    <w:rsid w:val="00F4603E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79B3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378C5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82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</w:latentStyles>
  <w:style w:type="paragraph" w:default="1" w:styleId="Normal">
    <w:name w:val="Normal"/>
    <w:qFormat/>
    <w:rsid w:val="00E14991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Ind w:w="0" w:type="dxa"/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Ind w:w="0" w:type="dxa"/>
      <w:tblBorders>
        <w:top w:val="single" w:sz="8" w:space="0" w:color="CA1E17" w:themeColor="accent2"/>
        <w:bottom w:val="single" w:sz="8" w:space="0" w:color="CA1E1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Ind w:w="0" w:type="dxa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Ind w:w="0" w:type="dxa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Ind w:w="0" w:type="dxa"/>
      <w:tblBorders>
        <w:top w:val="single" w:sz="8" w:space="0" w:color="7713B2" w:themeColor="accent4"/>
        <w:bottom w:val="single" w:sz="8" w:space="0" w:color="7713B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Ind w:w="0" w:type="dxa"/>
      <w:tblBorders>
        <w:top w:val="single" w:sz="8" w:space="0" w:color="18BF2B" w:themeColor="accent3"/>
        <w:bottom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Ind w:w="0" w:type="dxa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Ind w:w="0" w:type="dxa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Ind w:w="0" w:type="dxa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Ind w:w="0" w:type="dxa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Ind w:w="0" w:type="dxa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Ind w:w="0" w:type="dxa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Ind w:w="0" w:type="dxa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Ind w:w="0" w:type="dxa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Ind w:w="0" w:type="dxa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Ind w:w="0" w:type="dxa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Ind w:w="0" w:type="dxa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Ind w:w="0" w:type="dxa"/>
      <w:tblBorders>
        <w:top w:val="single" w:sz="4" w:space="0" w:color="989593" w:themeColor="text1" w:themeTint="80"/>
        <w:bottom w:val="single" w:sz="4" w:space="0" w:color="98959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Ind w:w="0" w:type="dxa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Ind w:w="0" w:type="dxa"/>
      <w:tblBorders>
        <w:insideH w:val="single" w:sz="4" w:space="0" w:color="989593" w:themeColor="text1" w:themeTint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ATableActionPlan">
    <w:name w:val="QA Table Action Plan"/>
    <w:basedOn w:val="QATable2"/>
    <w:uiPriority w:val="99"/>
    <w:rsid w:val="006F3EEC"/>
    <w:tblPr>
      <w:tblInd w:w="0" w:type="dxa"/>
      <w:tblBorders>
        <w:insideV w:val="single" w:sz="4" w:space="0" w:color="989593" w:themeColor="text1" w:themeTint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Ind w:w="0" w:type="dxa"/>
      <w:tblBorders>
        <w:insideV w:val="single" w:sz="4" w:space="0" w:color="98959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Ind w:w="0" w:type="dxa"/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  <w:style w:type="paragraph" w:styleId="NoSpacing">
    <w:name w:val="No Spacing"/>
    <w:uiPriority w:val="1"/>
    <w:qFormat/>
    <w:locked/>
    <w:rsid w:val="002A22FD"/>
    <w:pPr>
      <w:spacing w:after="0"/>
    </w:pPr>
    <w:rPr>
      <w:color w:val="2E2D2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numbering" Target="numbering.xml"/><Relationship Id="rId9" Type="http://schemas.openxmlformats.org/officeDocument/2006/relationships/styles" Target="style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burgess/Downloads/IT_templates/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2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2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84DB8CF2-96C1-A445-B5ED-47180A86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5</TotalTime>
  <Pages>2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Michael Burgess</dc:creator>
  <cp:lastModifiedBy>Michael Burgess</cp:lastModifiedBy>
  <cp:revision>4</cp:revision>
  <cp:lastPrinted>2016-11-24T14:17:00Z</cp:lastPrinted>
  <dcterms:created xsi:type="dcterms:W3CDTF">2017-08-30T18:28:00Z</dcterms:created>
  <dcterms:modified xsi:type="dcterms:W3CDTF">2017-08-30T18:36:00Z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