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7797" w14:textId="275AFB09" w:rsidR="00CD536F" w:rsidRDefault="00FE7B41">
      <w:pPr>
        <w:rPr>
          <w:rFonts w:ascii="Tinos" w:hAnsi="Tinos" w:cs="Tinos"/>
          <w:b/>
          <w:bCs/>
          <w:sz w:val="24"/>
          <w:szCs w:val="24"/>
        </w:rPr>
      </w:pPr>
      <w:r>
        <w:rPr>
          <w:rFonts w:ascii="Tinos" w:hAnsi="Tinos" w:cs="Tinos"/>
          <w:b/>
          <w:bCs/>
          <w:sz w:val="24"/>
          <w:szCs w:val="24"/>
        </w:rPr>
        <w:t>Michael Cattell</w:t>
      </w:r>
    </w:p>
    <w:p w14:paraId="613081DA" w14:textId="787F55EB" w:rsidR="00FE7B41" w:rsidRDefault="00FE7B41">
      <w:pPr>
        <w:rPr>
          <w:rFonts w:ascii="Tinos" w:hAnsi="Tinos" w:cs="Tinos"/>
          <w:b/>
          <w:bCs/>
          <w:sz w:val="24"/>
          <w:szCs w:val="24"/>
        </w:rPr>
      </w:pPr>
      <w:r>
        <w:rPr>
          <w:rFonts w:ascii="Tinos" w:hAnsi="Tinos" w:cs="Tinos"/>
          <w:b/>
          <w:bCs/>
          <w:sz w:val="24"/>
          <w:szCs w:val="24"/>
        </w:rPr>
        <w:t>EDTHP 518 Final Paper Outline</w:t>
      </w:r>
      <w:r w:rsidR="00F21EB4">
        <w:rPr>
          <w:rFonts w:ascii="Tinos" w:hAnsi="Tinos" w:cs="Tinos"/>
          <w:b/>
          <w:bCs/>
          <w:sz w:val="24"/>
          <w:szCs w:val="24"/>
        </w:rPr>
        <w:t xml:space="preserve"> + Bibliography</w:t>
      </w:r>
    </w:p>
    <w:p w14:paraId="1CE1C2A6" w14:textId="26609764" w:rsidR="00FE7B41" w:rsidRDefault="00FE7B41">
      <w:pPr>
        <w:rPr>
          <w:rFonts w:ascii="Tinos" w:hAnsi="Tinos" w:cs="Tinos"/>
          <w:sz w:val="24"/>
          <w:szCs w:val="24"/>
        </w:rPr>
      </w:pPr>
      <w:r>
        <w:rPr>
          <w:rFonts w:ascii="Tinos" w:hAnsi="Tinos" w:cs="Tinos"/>
          <w:b/>
          <w:bCs/>
          <w:sz w:val="24"/>
          <w:szCs w:val="24"/>
        </w:rPr>
        <w:t>February 27, 2024</w:t>
      </w:r>
    </w:p>
    <w:p w14:paraId="2E6865C3" w14:textId="77777777" w:rsidR="00FE7B41" w:rsidRDefault="00FE7B41">
      <w:pPr>
        <w:rPr>
          <w:rFonts w:ascii="Tinos" w:hAnsi="Tinos" w:cs="Tinos"/>
          <w:sz w:val="24"/>
          <w:szCs w:val="24"/>
        </w:rPr>
      </w:pPr>
    </w:p>
    <w:p w14:paraId="735524B2" w14:textId="0397CDD1" w:rsidR="00092F73" w:rsidRPr="00391ADD" w:rsidRDefault="00FE7B41" w:rsidP="00391ADD">
      <w:pPr>
        <w:pStyle w:val="ListParagraph"/>
        <w:numPr>
          <w:ilvl w:val="0"/>
          <w:numId w:val="1"/>
        </w:numPr>
        <w:rPr>
          <w:rFonts w:ascii="Tinos" w:hAnsi="Tinos" w:cs="Tinos"/>
          <w:sz w:val="24"/>
          <w:szCs w:val="24"/>
        </w:rPr>
      </w:pPr>
      <w:r>
        <w:rPr>
          <w:rFonts w:ascii="Tinos" w:hAnsi="Tinos" w:cs="Tinos"/>
          <w:b/>
          <w:bCs/>
          <w:sz w:val="24"/>
          <w:szCs w:val="24"/>
        </w:rPr>
        <w:t>Introduction</w:t>
      </w:r>
    </w:p>
    <w:p w14:paraId="2ECADD97" w14:textId="5B6A7709" w:rsidR="00FE7B41" w:rsidRPr="00525F20" w:rsidRDefault="00902AFB" w:rsidP="00FE7B41">
      <w:pPr>
        <w:pStyle w:val="ListParagraph"/>
        <w:numPr>
          <w:ilvl w:val="0"/>
          <w:numId w:val="1"/>
        </w:numPr>
        <w:rPr>
          <w:rFonts w:ascii="Tinos" w:hAnsi="Tinos" w:cs="Tinos"/>
          <w:sz w:val="24"/>
          <w:szCs w:val="24"/>
        </w:rPr>
      </w:pPr>
      <w:r>
        <w:rPr>
          <w:rFonts w:ascii="Tinos" w:hAnsi="Tinos" w:cs="Tinos"/>
          <w:b/>
          <w:bCs/>
          <w:sz w:val="24"/>
          <w:szCs w:val="24"/>
        </w:rPr>
        <w:t>Statement of Problem</w:t>
      </w:r>
    </w:p>
    <w:p w14:paraId="297E158A" w14:textId="6594FE7E" w:rsidR="00193637" w:rsidRDefault="00C946DE" w:rsidP="00193637">
      <w:pPr>
        <w:pStyle w:val="ListParagraph"/>
        <w:numPr>
          <w:ilvl w:val="1"/>
          <w:numId w:val="1"/>
        </w:numPr>
        <w:rPr>
          <w:rFonts w:ascii="Tinos" w:hAnsi="Tinos" w:cs="Tinos"/>
          <w:sz w:val="24"/>
          <w:szCs w:val="24"/>
        </w:rPr>
      </w:pPr>
      <w:r>
        <w:rPr>
          <w:rFonts w:ascii="Tinos" w:hAnsi="Tinos" w:cs="Tinos"/>
          <w:sz w:val="24"/>
          <w:szCs w:val="24"/>
        </w:rPr>
        <w:t>Debate over how much funding schools should receive has been prevalent, going back to the 1960s with the Coleman Report and the passage of the Elementary and Secondary Education Act.</w:t>
      </w:r>
      <w:r w:rsidR="00193637">
        <w:rPr>
          <w:rFonts w:ascii="Tinos" w:hAnsi="Tinos" w:cs="Tinos"/>
          <w:sz w:val="24"/>
          <w:szCs w:val="24"/>
        </w:rPr>
        <w:t xml:space="preserve"> The federal government contributes comparatively little, with state funding and revenue raised from property taxes required to fund public schools.</w:t>
      </w:r>
    </w:p>
    <w:p w14:paraId="77BCF1AE" w14:textId="7F251236" w:rsidR="00193637" w:rsidRDefault="00193637" w:rsidP="00193637">
      <w:pPr>
        <w:pStyle w:val="ListParagraph"/>
        <w:numPr>
          <w:ilvl w:val="1"/>
          <w:numId w:val="1"/>
        </w:numPr>
        <w:rPr>
          <w:rFonts w:ascii="Tinos" w:hAnsi="Tinos" w:cs="Tinos"/>
          <w:sz w:val="24"/>
          <w:szCs w:val="24"/>
        </w:rPr>
      </w:pPr>
      <w:r>
        <w:rPr>
          <w:rFonts w:ascii="Tinos" w:hAnsi="Tinos" w:cs="Tinos"/>
          <w:sz w:val="24"/>
          <w:szCs w:val="24"/>
        </w:rPr>
        <w:t>In Pennsylvania, debate over how to fund schools culminated in the passage of Act 35 of 2016, which established a funding formula to be used annually to determine the bulk of the state’s allocation to public schools using different community and demographic characteristics. A sticking point in this formula, though, is t</w:t>
      </w:r>
      <w:r w:rsidR="007357EC">
        <w:rPr>
          <w:rFonts w:ascii="Tinos" w:hAnsi="Tinos" w:cs="Tinos"/>
          <w:sz w:val="24"/>
          <w:szCs w:val="24"/>
        </w:rPr>
        <w:t>hat it prevents school districts from receiving less money than they received in the 2013-14 school year, regardless of changes in enrollment in the district.</w:t>
      </w:r>
    </w:p>
    <w:p w14:paraId="33C465B0" w14:textId="041CD8F6" w:rsidR="007357EC" w:rsidRPr="00193637" w:rsidRDefault="007357EC" w:rsidP="00193637">
      <w:pPr>
        <w:pStyle w:val="ListParagraph"/>
        <w:numPr>
          <w:ilvl w:val="1"/>
          <w:numId w:val="1"/>
        </w:numPr>
        <w:rPr>
          <w:rFonts w:ascii="Tinos" w:hAnsi="Tinos" w:cs="Tinos"/>
          <w:sz w:val="24"/>
          <w:szCs w:val="24"/>
        </w:rPr>
      </w:pPr>
      <w:r>
        <w:rPr>
          <w:rFonts w:ascii="Tinos" w:hAnsi="Tinos" w:cs="Tinos"/>
          <w:sz w:val="24"/>
          <w:szCs w:val="24"/>
        </w:rPr>
        <w:t>Funding equities related to this formula and broader disinvestment in public schools resulted in a court case that ruled the school funding method Pennsylvania uses is unconstitutional under the state constitution. This case required the state to increase funding for public schools.</w:t>
      </w:r>
    </w:p>
    <w:p w14:paraId="3776F4BA" w14:textId="12A4DB73" w:rsidR="00902AFB" w:rsidRPr="000A1B6F" w:rsidRDefault="00902AFB" w:rsidP="00FE7B41">
      <w:pPr>
        <w:pStyle w:val="ListParagraph"/>
        <w:numPr>
          <w:ilvl w:val="0"/>
          <w:numId w:val="1"/>
        </w:numPr>
        <w:rPr>
          <w:rFonts w:ascii="Tinos" w:hAnsi="Tinos" w:cs="Tinos"/>
          <w:sz w:val="24"/>
          <w:szCs w:val="24"/>
        </w:rPr>
      </w:pPr>
      <w:r>
        <w:rPr>
          <w:rFonts w:ascii="Tinos" w:hAnsi="Tinos" w:cs="Tinos"/>
          <w:b/>
          <w:bCs/>
          <w:sz w:val="24"/>
          <w:szCs w:val="24"/>
        </w:rPr>
        <w:t>Policy Window</w:t>
      </w:r>
    </w:p>
    <w:p w14:paraId="748EECF8" w14:textId="3A595D26" w:rsidR="00EF76A4" w:rsidRDefault="00EF76A4" w:rsidP="000A1B6F">
      <w:pPr>
        <w:pStyle w:val="ListParagraph"/>
        <w:numPr>
          <w:ilvl w:val="1"/>
          <w:numId w:val="1"/>
        </w:numPr>
        <w:rPr>
          <w:rFonts w:ascii="Tinos" w:hAnsi="Tinos" w:cs="Tinos"/>
          <w:sz w:val="24"/>
          <w:szCs w:val="24"/>
        </w:rPr>
      </w:pPr>
      <w:r>
        <w:rPr>
          <w:rFonts w:ascii="Tinos" w:hAnsi="Tinos" w:cs="Tinos"/>
          <w:sz w:val="24"/>
          <w:szCs w:val="24"/>
        </w:rPr>
        <w:t>As mentioned above, the court case is key to the timing of this proposed increase in public school investment; it is framed by Pennsylvania governor Josh Shapiro as a once-in-a-generation time to invest in schools.</w:t>
      </w:r>
    </w:p>
    <w:p w14:paraId="4E9F990F" w14:textId="4E106897" w:rsidR="00C946DE" w:rsidRPr="00902AFB" w:rsidRDefault="00C946DE" w:rsidP="000A1B6F">
      <w:pPr>
        <w:pStyle w:val="ListParagraph"/>
        <w:numPr>
          <w:ilvl w:val="1"/>
          <w:numId w:val="1"/>
        </w:numPr>
        <w:rPr>
          <w:rFonts w:ascii="Tinos" w:hAnsi="Tinos" w:cs="Tinos"/>
          <w:sz w:val="24"/>
          <w:szCs w:val="24"/>
        </w:rPr>
      </w:pPr>
      <w:r>
        <w:rPr>
          <w:rFonts w:ascii="Tinos" w:hAnsi="Tinos" w:cs="Tinos"/>
          <w:sz w:val="24"/>
          <w:szCs w:val="24"/>
        </w:rPr>
        <w:t xml:space="preserve">This, along with the court case, is part of </w:t>
      </w:r>
      <w:r w:rsidR="001E7D26">
        <w:rPr>
          <w:rFonts w:ascii="Tinos" w:hAnsi="Tinos" w:cs="Tinos"/>
          <w:sz w:val="24"/>
          <w:szCs w:val="24"/>
        </w:rPr>
        <w:t>a much</w:t>
      </w:r>
      <w:r>
        <w:rPr>
          <w:rFonts w:ascii="Tinos" w:hAnsi="Tinos" w:cs="Tinos"/>
          <w:sz w:val="24"/>
          <w:szCs w:val="24"/>
        </w:rPr>
        <w:t xml:space="preserve"> longer fight over increasing public school funding in Pennsylvania.</w:t>
      </w:r>
    </w:p>
    <w:p w14:paraId="287D6806" w14:textId="28685A74" w:rsidR="00902AFB" w:rsidRPr="00DB6DA1" w:rsidRDefault="00902AFB" w:rsidP="00FE7B41">
      <w:pPr>
        <w:pStyle w:val="ListParagraph"/>
        <w:numPr>
          <w:ilvl w:val="0"/>
          <w:numId w:val="1"/>
        </w:numPr>
        <w:rPr>
          <w:rFonts w:ascii="Tinos" w:hAnsi="Tinos" w:cs="Tinos"/>
          <w:sz w:val="24"/>
          <w:szCs w:val="24"/>
        </w:rPr>
      </w:pPr>
      <w:r>
        <w:rPr>
          <w:rFonts w:ascii="Tinos" w:hAnsi="Tinos" w:cs="Tinos"/>
          <w:b/>
          <w:bCs/>
          <w:sz w:val="24"/>
          <w:szCs w:val="24"/>
        </w:rPr>
        <w:t>Strengths of the Policy</w:t>
      </w:r>
    </w:p>
    <w:p w14:paraId="71CF380B" w14:textId="6C8D0984" w:rsidR="00DB6DA1" w:rsidRDefault="00DB6DA1" w:rsidP="00DB6DA1">
      <w:pPr>
        <w:pStyle w:val="ListParagraph"/>
        <w:numPr>
          <w:ilvl w:val="1"/>
          <w:numId w:val="1"/>
        </w:numPr>
        <w:rPr>
          <w:rFonts w:ascii="Tinos" w:hAnsi="Tinos" w:cs="Tinos"/>
          <w:sz w:val="24"/>
          <w:szCs w:val="24"/>
        </w:rPr>
      </w:pPr>
      <w:r>
        <w:rPr>
          <w:rFonts w:ascii="Tinos" w:hAnsi="Tinos" w:cs="Tinos"/>
          <w:sz w:val="24"/>
          <w:szCs w:val="24"/>
        </w:rPr>
        <w:t>This policy would be the most significant one-year increase in state investment in schools.</w:t>
      </w:r>
    </w:p>
    <w:p w14:paraId="4D2095D1" w14:textId="4C28694C" w:rsidR="00DB6DA1" w:rsidRPr="00076825" w:rsidRDefault="00DB6DA1" w:rsidP="00076825">
      <w:pPr>
        <w:pStyle w:val="ListParagraph"/>
        <w:numPr>
          <w:ilvl w:val="1"/>
          <w:numId w:val="1"/>
        </w:numPr>
        <w:rPr>
          <w:rFonts w:ascii="Tinos" w:hAnsi="Tinos" w:cs="Tinos"/>
          <w:sz w:val="24"/>
          <w:szCs w:val="24"/>
        </w:rPr>
      </w:pPr>
      <w:r>
        <w:rPr>
          <w:rFonts w:ascii="Tinos" w:hAnsi="Tinos" w:cs="Tinos"/>
          <w:sz w:val="24"/>
          <w:szCs w:val="24"/>
        </w:rPr>
        <w:t>The proposed budget purports to remedy past disinvestment in certain school districts, which represents recognition of a past wrong by an institution.</w:t>
      </w:r>
    </w:p>
    <w:p w14:paraId="589632CA" w14:textId="3652B84F" w:rsidR="00902AFB" w:rsidRPr="00902AFB" w:rsidRDefault="00902AFB" w:rsidP="00FE7B41">
      <w:pPr>
        <w:pStyle w:val="ListParagraph"/>
        <w:numPr>
          <w:ilvl w:val="0"/>
          <w:numId w:val="1"/>
        </w:numPr>
        <w:rPr>
          <w:rFonts w:ascii="Tinos" w:hAnsi="Tinos" w:cs="Tinos"/>
          <w:sz w:val="24"/>
          <w:szCs w:val="24"/>
        </w:rPr>
      </w:pPr>
      <w:r>
        <w:rPr>
          <w:rFonts w:ascii="Tinos" w:hAnsi="Tinos" w:cs="Tinos"/>
          <w:b/>
          <w:bCs/>
          <w:sz w:val="24"/>
          <w:szCs w:val="24"/>
        </w:rPr>
        <w:t>Weaknesses of the Policy</w:t>
      </w:r>
    </w:p>
    <w:p w14:paraId="6B61B6E2" w14:textId="5433FFB4" w:rsidR="00C721F5" w:rsidRDefault="00164348" w:rsidP="00076825">
      <w:pPr>
        <w:pStyle w:val="ListParagraph"/>
        <w:numPr>
          <w:ilvl w:val="1"/>
          <w:numId w:val="1"/>
        </w:numPr>
        <w:rPr>
          <w:rFonts w:ascii="Tinos" w:hAnsi="Tinos" w:cs="Tinos"/>
          <w:sz w:val="24"/>
          <w:szCs w:val="24"/>
        </w:rPr>
      </w:pPr>
      <w:r>
        <w:rPr>
          <w:rFonts w:ascii="Tinos" w:hAnsi="Tinos" w:cs="Tinos"/>
          <w:sz w:val="24"/>
          <w:szCs w:val="24"/>
        </w:rPr>
        <w:t xml:space="preserve">This proposed budget falls short of the recommended investment of ~$6,000,000,000 investment in public education that was recommended by </w:t>
      </w:r>
      <w:r w:rsidR="00C721F5">
        <w:rPr>
          <w:rFonts w:ascii="Tinos" w:hAnsi="Tinos" w:cs="Tinos"/>
          <w:sz w:val="24"/>
          <w:szCs w:val="24"/>
        </w:rPr>
        <w:t>expert witnesses in the funding court case.</w:t>
      </w:r>
    </w:p>
    <w:p w14:paraId="2472DF81" w14:textId="77777777" w:rsidR="00076825" w:rsidRDefault="00076825" w:rsidP="00076825">
      <w:pPr>
        <w:rPr>
          <w:rFonts w:ascii="Tinos" w:hAnsi="Tinos" w:cs="Tinos"/>
          <w:sz w:val="24"/>
          <w:szCs w:val="24"/>
        </w:rPr>
      </w:pPr>
    </w:p>
    <w:p w14:paraId="09A34206" w14:textId="15A4881C" w:rsidR="00F21EB4" w:rsidRDefault="00076825" w:rsidP="00076825">
      <w:pPr>
        <w:rPr>
          <w:rFonts w:ascii="Tinos" w:hAnsi="Tinos" w:cs="Tinos"/>
          <w:sz w:val="24"/>
          <w:szCs w:val="24"/>
        </w:rPr>
      </w:pPr>
      <w:r>
        <w:rPr>
          <w:rFonts w:ascii="Tinos" w:hAnsi="Tinos" w:cs="Tinos"/>
          <w:sz w:val="24"/>
          <w:szCs w:val="24"/>
        </w:rPr>
        <w:t>I am going to be adding to the strengths and weaknesses, but they will be based on doing some data analysis I have not had a chance to complete yet.</w:t>
      </w:r>
    </w:p>
    <w:p w14:paraId="6406567D" w14:textId="77777777" w:rsidR="00F21EB4" w:rsidRDefault="00F21EB4">
      <w:pPr>
        <w:rPr>
          <w:rFonts w:ascii="Tinos" w:hAnsi="Tinos" w:cs="Tinos"/>
          <w:sz w:val="24"/>
          <w:szCs w:val="24"/>
        </w:rPr>
      </w:pPr>
      <w:r>
        <w:rPr>
          <w:rFonts w:ascii="Tinos" w:hAnsi="Tinos" w:cs="Tinos"/>
          <w:sz w:val="24"/>
          <w:szCs w:val="24"/>
        </w:rPr>
        <w:br w:type="page"/>
      </w:r>
    </w:p>
    <w:p w14:paraId="2038EFD5" w14:textId="3A2A6073" w:rsidR="00F21EB4" w:rsidRDefault="00F21EB4" w:rsidP="00F21EB4">
      <w:pPr>
        <w:spacing w:after="160"/>
        <w:jc w:val="center"/>
        <w:rPr>
          <w:rFonts w:ascii="Tinos" w:hAnsi="Tinos" w:cs="Tinos"/>
          <w:sz w:val="24"/>
          <w:szCs w:val="24"/>
        </w:rPr>
      </w:pPr>
      <w:r>
        <w:rPr>
          <w:rFonts w:ascii="Tinos" w:hAnsi="Tinos" w:cs="Tinos"/>
          <w:b/>
          <w:bCs/>
          <w:sz w:val="24"/>
          <w:szCs w:val="24"/>
        </w:rPr>
        <w:lastRenderedPageBreak/>
        <w:t>Bibliography</w:t>
      </w:r>
    </w:p>
    <w:p w14:paraId="599856D3" w14:textId="461F16E9" w:rsidR="00F21EB4" w:rsidRDefault="00F21EB4" w:rsidP="00F21EB4">
      <w:pPr>
        <w:rPr>
          <w:rFonts w:ascii="Tinos" w:hAnsi="Tinos" w:cs="Tinos"/>
          <w:sz w:val="24"/>
          <w:szCs w:val="24"/>
        </w:rPr>
      </w:pPr>
      <w:r w:rsidRPr="00F21EB4">
        <w:rPr>
          <w:rFonts w:ascii="Tinos" w:hAnsi="Tinos" w:cs="Tinos"/>
          <w:sz w:val="24"/>
          <w:szCs w:val="24"/>
        </w:rPr>
        <w:t xml:space="preserve">Dhaliwal, T. K., &amp; Bruno, P. (2021). The </w:t>
      </w:r>
      <w:r w:rsidR="00105BC3">
        <w:rPr>
          <w:rFonts w:ascii="Tinos" w:hAnsi="Tinos" w:cs="Tinos"/>
          <w:sz w:val="24"/>
          <w:szCs w:val="24"/>
        </w:rPr>
        <w:t>r</w:t>
      </w:r>
      <w:r w:rsidRPr="00F21EB4">
        <w:rPr>
          <w:rFonts w:ascii="Tinos" w:hAnsi="Tinos" w:cs="Tinos"/>
          <w:sz w:val="24"/>
          <w:szCs w:val="24"/>
        </w:rPr>
        <w:t>ural/</w:t>
      </w:r>
      <w:r w:rsidR="00105BC3">
        <w:rPr>
          <w:rFonts w:ascii="Tinos" w:hAnsi="Tinos" w:cs="Tinos"/>
          <w:sz w:val="24"/>
          <w:szCs w:val="24"/>
        </w:rPr>
        <w:t>n</w:t>
      </w:r>
      <w:r w:rsidRPr="00F21EB4">
        <w:rPr>
          <w:rFonts w:ascii="Tinos" w:hAnsi="Tinos" w:cs="Tinos"/>
          <w:sz w:val="24"/>
          <w:szCs w:val="24"/>
        </w:rPr>
        <w:t xml:space="preserve">onrural </w:t>
      </w:r>
      <w:r w:rsidR="00105BC3">
        <w:rPr>
          <w:rFonts w:ascii="Tinos" w:hAnsi="Tinos" w:cs="Tinos"/>
          <w:sz w:val="24"/>
          <w:szCs w:val="24"/>
        </w:rPr>
        <w:t>d</w:t>
      </w:r>
      <w:r w:rsidRPr="00F21EB4">
        <w:rPr>
          <w:rFonts w:ascii="Tinos" w:hAnsi="Tinos" w:cs="Tinos"/>
          <w:sz w:val="24"/>
          <w:szCs w:val="24"/>
        </w:rPr>
        <w:t xml:space="preserve">ivide? K–12 </w:t>
      </w:r>
      <w:r w:rsidR="00105BC3">
        <w:rPr>
          <w:rFonts w:ascii="Tinos" w:hAnsi="Tinos" w:cs="Tinos"/>
          <w:sz w:val="24"/>
          <w:szCs w:val="24"/>
        </w:rPr>
        <w:t>di</w:t>
      </w:r>
      <w:r w:rsidRPr="00F21EB4">
        <w:rPr>
          <w:rFonts w:ascii="Tinos" w:hAnsi="Tinos" w:cs="Tinos"/>
          <w:sz w:val="24"/>
          <w:szCs w:val="24"/>
        </w:rPr>
        <w:t xml:space="preserve">strict </w:t>
      </w:r>
      <w:r w:rsidR="00105BC3">
        <w:rPr>
          <w:rFonts w:ascii="Tinos" w:hAnsi="Tinos" w:cs="Tinos"/>
          <w:sz w:val="24"/>
          <w:szCs w:val="24"/>
        </w:rPr>
        <w:t>s</w:t>
      </w:r>
      <w:r w:rsidRPr="00F21EB4">
        <w:rPr>
          <w:rFonts w:ascii="Tinos" w:hAnsi="Tinos" w:cs="Tinos"/>
          <w:sz w:val="24"/>
          <w:szCs w:val="24"/>
        </w:rPr>
        <w:t xml:space="preserve">pending and </w:t>
      </w:r>
    </w:p>
    <w:p w14:paraId="4D7B6B19" w14:textId="2E26B385" w:rsidR="00F21EB4" w:rsidRDefault="00105BC3" w:rsidP="00F21EB4">
      <w:pPr>
        <w:spacing w:after="160"/>
        <w:ind w:left="720"/>
        <w:rPr>
          <w:rFonts w:ascii="Tinos" w:hAnsi="Tinos" w:cs="Tinos"/>
          <w:sz w:val="24"/>
          <w:szCs w:val="24"/>
        </w:rPr>
      </w:pPr>
      <w:r>
        <w:rPr>
          <w:rFonts w:ascii="Tinos" w:hAnsi="Tinos" w:cs="Tinos"/>
          <w:sz w:val="24"/>
          <w:szCs w:val="24"/>
        </w:rPr>
        <w:t>i</w:t>
      </w:r>
      <w:r w:rsidR="00F21EB4" w:rsidRPr="00F21EB4">
        <w:rPr>
          <w:rFonts w:ascii="Tinos" w:hAnsi="Tinos" w:cs="Tinos"/>
          <w:sz w:val="24"/>
          <w:szCs w:val="24"/>
        </w:rPr>
        <w:t xml:space="preserve">mplications of </w:t>
      </w:r>
      <w:r>
        <w:rPr>
          <w:rFonts w:ascii="Tinos" w:hAnsi="Tinos" w:cs="Tinos"/>
          <w:sz w:val="24"/>
          <w:szCs w:val="24"/>
        </w:rPr>
        <w:t>e</w:t>
      </w:r>
      <w:r w:rsidR="00F21EB4" w:rsidRPr="00F21EB4">
        <w:rPr>
          <w:rFonts w:ascii="Tinos" w:hAnsi="Tinos" w:cs="Tinos"/>
          <w:sz w:val="24"/>
          <w:szCs w:val="24"/>
        </w:rPr>
        <w:t>quity-</w:t>
      </w:r>
      <w:r>
        <w:rPr>
          <w:rFonts w:ascii="Tinos" w:hAnsi="Tinos" w:cs="Tinos"/>
          <w:sz w:val="24"/>
          <w:szCs w:val="24"/>
        </w:rPr>
        <w:t>b</w:t>
      </w:r>
      <w:r w:rsidR="00F21EB4" w:rsidRPr="00F21EB4">
        <w:rPr>
          <w:rFonts w:ascii="Tinos" w:hAnsi="Tinos" w:cs="Tinos"/>
          <w:sz w:val="24"/>
          <w:szCs w:val="24"/>
        </w:rPr>
        <w:t xml:space="preserve">ased </w:t>
      </w:r>
      <w:r>
        <w:rPr>
          <w:rFonts w:ascii="Tinos" w:hAnsi="Tinos" w:cs="Tinos"/>
          <w:sz w:val="24"/>
          <w:szCs w:val="24"/>
        </w:rPr>
        <w:t>s</w:t>
      </w:r>
      <w:r w:rsidR="00F21EB4" w:rsidRPr="00F21EB4">
        <w:rPr>
          <w:rFonts w:ascii="Tinos" w:hAnsi="Tinos" w:cs="Tinos"/>
          <w:sz w:val="24"/>
          <w:szCs w:val="24"/>
        </w:rPr>
        <w:t xml:space="preserve">chool </w:t>
      </w:r>
      <w:r>
        <w:rPr>
          <w:rFonts w:ascii="Tinos" w:hAnsi="Tinos" w:cs="Tinos"/>
          <w:sz w:val="24"/>
          <w:szCs w:val="24"/>
        </w:rPr>
        <w:t>f</w:t>
      </w:r>
      <w:r w:rsidR="00F21EB4" w:rsidRPr="00F21EB4">
        <w:rPr>
          <w:rFonts w:ascii="Tinos" w:hAnsi="Tinos" w:cs="Tinos"/>
          <w:sz w:val="24"/>
          <w:szCs w:val="24"/>
        </w:rPr>
        <w:t>unding</w:t>
      </w:r>
      <w:r w:rsidR="0035541B">
        <w:rPr>
          <w:rFonts w:ascii="Tinos" w:hAnsi="Tinos" w:cs="Tinos"/>
          <w:sz w:val="24"/>
          <w:szCs w:val="24"/>
        </w:rPr>
        <w:t>.</w:t>
      </w:r>
      <w:r w:rsidR="00F21EB4" w:rsidRPr="00F21EB4">
        <w:rPr>
          <w:rFonts w:ascii="Tinos" w:hAnsi="Tinos" w:cs="Tinos"/>
          <w:sz w:val="24"/>
          <w:szCs w:val="24"/>
        </w:rPr>
        <w:t xml:space="preserve"> </w:t>
      </w:r>
      <w:r w:rsidR="00F21EB4" w:rsidRPr="0035541B">
        <w:rPr>
          <w:rFonts w:ascii="Tinos" w:hAnsi="Tinos" w:cs="Tinos"/>
          <w:i/>
          <w:iCs/>
          <w:sz w:val="24"/>
          <w:szCs w:val="24"/>
        </w:rPr>
        <w:t>AERA Open</w:t>
      </w:r>
      <w:r w:rsidR="0035541B">
        <w:rPr>
          <w:rFonts w:ascii="Tinos" w:hAnsi="Tinos" w:cs="Tinos"/>
          <w:sz w:val="24"/>
          <w:szCs w:val="24"/>
        </w:rPr>
        <w:t>,</w:t>
      </w:r>
      <w:r w:rsidR="00F21EB4" w:rsidRPr="00F21EB4">
        <w:rPr>
          <w:rFonts w:ascii="Tinos" w:hAnsi="Tinos" w:cs="Tinos"/>
          <w:sz w:val="24"/>
          <w:szCs w:val="24"/>
        </w:rPr>
        <w:t xml:space="preserve"> 7. https://doi.org/10.1177/2332858420982549</w:t>
      </w:r>
    </w:p>
    <w:p w14:paraId="779E82D4" w14:textId="253DD623" w:rsidR="00FB784C" w:rsidRPr="009A2654" w:rsidRDefault="0035541B" w:rsidP="00FB784C">
      <w:pPr>
        <w:spacing w:after="160"/>
        <w:rPr>
          <w:rFonts w:ascii="Tinos" w:hAnsi="Tinos" w:cs="Tinos"/>
          <w:i/>
          <w:iCs/>
          <w:sz w:val="24"/>
          <w:szCs w:val="24"/>
        </w:rPr>
      </w:pPr>
      <w:r w:rsidRPr="009A2654">
        <w:rPr>
          <w:rFonts w:ascii="Tinos" w:hAnsi="Tinos" w:cs="Tinos"/>
          <w:i/>
          <w:iCs/>
          <w:sz w:val="24"/>
          <w:szCs w:val="24"/>
        </w:rPr>
        <w:t>This article discusses how a funding formula implemented in California impacted rural education funding. Th</w:t>
      </w:r>
      <w:r w:rsidR="009A2654">
        <w:rPr>
          <w:rFonts w:ascii="Tinos" w:hAnsi="Tinos" w:cs="Tinos"/>
          <w:i/>
          <w:iCs/>
          <w:sz w:val="24"/>
          <w:szCs w:val="24"/>
        </w:rPr>
        <w:t xml:space="preserve">is will be helpful for discussing </w:t>
      </w:r>
      <w:r w:rsidR="003510D8">
        <w:rPr>
          <w:rFonts w:ascii="Tinos" w:hAnsi="Tinos" w:cs="Tinos"/>
          <w:i/>
          <w:iCs/>
          <w:sz w:val="24"/>
          <w:szCs w:val="24"/>
        </w:rPr>
        <w:t>possible policy recommendations.</w:t>
      </w:r>
    </w:p>
    <w:p w14:paraId="1689AD77" w14:textId="3F9AB7B8" w:rsidR="00F21EB4" w:rsidRDefault="00F21EB4" w:rsidP="00F21EB4">
      <w:pPr>
        <w:rPr>
          <w:rFonts w:ascii="Tinos" w:hAnsi="Tinos" w:cs="Tinos"/>
          <w:sz w:val="24"/>
          <w:szCs w:val="24"/>
        </w:rPr>
      </w:pPr>
      <w:r w:rsidRPr="00F21EB4">
        <w:rPr>
          <w:rFonts w:ascii="Tinos" w:hAnsi="Tinos" w:cs="Tinos"/>
          <w:sz w:val="24"/>
          <w:szCs w:val="24"/>
        </w:rPr>
        <w:t xml:space="preserve">Jackson, C. K., Johnson, R. C., &amp; Persico, C. (2015). The </w:t>
      </w:r>
      <w:r w:rsidR="00105BC3">
        <w:rPr>
          <w:rFonts w:ascii="Tinos" w:hAnsi="Tinos" w:cs="Tinos"/>
          <w:sz w:val="24"/>
          <w:szCs w:val="24"/>
        </w:rPr>
        <w:t>e</w:t>
      </w:r>
      <w:r w:rsidRPr="00F21EB4">
        <w:rPr>
          <w:rFonts w:ascii="Tinos" w:hAnsi="Tinos" w:cs="Tinos"/>
          <w:sz w:val="24"/>
          <w:szCs w:val="24"/>
        </w:rPr>
        <w:t xml:space="preserve">ffects of </w:t>
      </w:r>
      <w:r w:rsidR="00105BC3">
        <w:rPr>
          <w:rFonts w:ascii="Tinos" w:hAnsi="Tinos" w:cs="Tinos"/>
          <w:sz w:val="24"/>
          <w:szCs w:val="24"/>
        </w:rPr>
        <w:t>s</w:t>
      </w:r>
      <w:r w:rsidRPr="00F21EB4">
        <w:rPr>
          <w:rFonts w:ascii="Tinos" w:hAnsi="Tinos" w:cs="Tinos"/>
          <w:sz w:val="24"/>
          <w:szCs w:val="24"/>
        </w:rPr>
        <w:t xml:space="preserve">chool </w:t>
      </w:r>
      <w:r w:rsidR="00105BC3">
        <w:rPr>
          <w:rFonts w:ascii="Tinos" w:hAnsi="Tinos" w:cs="Tinos"/>
          <w:sz w:val="24"/>
          <w:szCs w:val="24"/>
        </w:rPr>
        <w:t>s</w:t>
      </w:r>
      <w:r w:rsidRPr="00F21EB4">
        <w:rPr>
          <w:rFonts w:ascii="Tinos" w:hAnsi="Tinos" w:cs="Tinos"/>
          <w:sz w:val="24"/>
          <w:szCs w:val="24"/>
        </w:rPr>
        <w:t xml:space="preserve">pending on </w:t>
      </w:r>
    </w:p>
    <w:p w14:paraId="12C87A06" w14:textId="263EB71A" w:rsidR="00F21EB4" w:rsidRDefault="00105BC3" w:rsidP="00F21EB4">
      <w:pPr>
        <w:spacing w:after="160"/>
        <w:ind w:left="720"/>
        <w:rPr>
          <w:rFonts w:ascii="Tinos" w:hAnsi="Tinos" w:cs="Tinos"/>
          <w:sz w:val="24"/>
          <w:szCs w:val="24"/>
        </w:rPr>
      </w:pPr>
      <w:r>
        <w:rPr>
          <w:rFonts w:ascii="Tinos" w:hAnsi="Tinos" w:cs="Tinos"/>
          <w:sz w:val="24"/>
          <w:szCs w:val="24"/>
        </w:rPr>
        <w:t>e</w:t>
      </w:r>
      <w:r w:rsidR="00F21EB4" w:rsidRPr="00F21EB4">
        <w:rPr>
          <w:rFonts w:ascii="Tinos" w:hAnsi="Tinos" w:cs="Tinos"/>
          <w:sz w:val="24"/>
          <w:szCs w:val="24"/>
        </w:rPr>
        <w:t xml:space="preserve">ducational and </w:t>
      </w:r>
      <w:r>
        <w:rPr>
          <w:rFonts w:ascii="Tinos" w:hAnsi="Tinos" w:cs="Tinos"/>
          <w:sz w:val="24"/>
          <w:szCs w:val="24"/>
        </w:rPr>
        <w:t>e</w:t>
      </w:r>
      <w:r w:rsidR="00F21EB4" w:rsidRPr="00F21EB4">
        <w:rPr>
          <w:rFonts w:ascii="Tinos" w:hAnsi="Tinos" w:cs="Tinos"/>
          <w:sz w:val="24"/>
          <w:szCs w:val="24"/>
        </w:rPr>
        <w:t xml:space="preserve">conomic </w:t>
      </w:r>
      <w:r>
        <w:rPr>
          <w:rFonts w:ascii="Tinos" w:hAnsi="Tinos" w:cs="Tinos"/>
          <w:sz w:val="24"/>
          <w:szCs w:val="24"/>
        </w:rPr>
        <w:t>o</w:t>
      </w:r>
      <w:r w:rsidR="00F21EB4" w:rsidRPr="00F21EB4">
        <w:rPr>
          <w:rFonts w:ascii="Tinos" w:hAnsi="Tinos" w:cs="Tinos"/>
          <w:sz w:val="24"/>
          <w:szCs w:val="24"/>
        </w:rPr>
        <w:t xml:space="preserve">utcomes: </w:t>
      </w:r>
      <w:r w:rsidR="00AD13BF">
        <w:rPr>
          <w:rFonts w:ascii="Tinos" w:hAnsi="Tinos" w:cs="Tinos"/>
          <w:sz w:val="24"/>
          <w:szCs w:val="24"/>
        </w:rPr>
        <w:t>E</w:t>
      </w:r>
      <w:r w:rsidR="00F21EB4" w:rsidRPr="00F21EB4">
        <w:rPr>
          <w:rFonts w:ascii="Tinos" w:hAnsi="Tinos" w:cs="Tinos"/>
          <w:sz w:val="24"/>
          <w:szCs w:val="24"/>
        </w:rPr>
        <w:t xml:space="preserve">vidence from </w:t>
      </w:r>
      <w:r>
        <w:rPr>
          <w:rFonts w:ascii="Tinos" w:hAnsi="Tinos" w:cs="Tinos"/>
          <w:sz w:val="24"/>
          <w:szCs w:val="24"/>
        </w:rPr>
        <w:t>s</w:t>
      </w:r>
      <w:r w:rsidR="00F21EB4" w:rsidRPr="00F21EB4">
        <w:rPr>
          <w:rFonts w:ascii="Tinos" w:hAnsi="Tinos" w:cs="Tinos"/>
          <w:sz w:val="24"/>
          <w:szCs w:val="24"/>
        </w:rPr>
        <w:t xml:space="preserve">chool </w:t>
      </w:r>
      <w:r>
        <w:rPr>
          <w:rFonts w:ascii="Tinos" w:hAnsi="Tinos" w:cs="Tinos"/>
          <w:sz w:val="24"/>
          <w:szCs w:val="24"/>
        </w:rPr>
        <w:t>f</w:t>
      </w:r>
      <w:r w:rsidR="00F21EB4" w:rsidRPr="00F21EB4">
        <w:rPr>
          <w:rFonts w:ascii="Tinos" w:hAnsi="Tinos" w:cs="Tinos"/>
          <w:sz w:val="24"/>
          <w:szCs w:val="24"/>
        </w:rPr>
        <w:t xml:space="preserve">inance </w:t>
      </w:r>
      <w:r>
        <w:rPr>
          <w:rFonts w:ascii="Tinos" w:hAnsi="Tinos" w:cs="Tinos"/>
          <w:sz w:val="24"/>
          <w:szCs w:val="24"/>
        </w:rPr>
        <w:t>r</w:t>
      </w:r>
      <w:r w:rsidR="00F21EB4" w:rsidRPr="00F21EB4">
        <w:rPr>
          <w:rFonts w:ascii="Tinos" w:hAnsi="Tinos" w:cs="Tinos"/>
          <w:sz w:val="24"/>
          <w:szCs w:val="24"/>
        </w:rPr>
        <w:t xml:space="preserve">eforms. </w:t>
      </w:r>
      <w:r w:rsidR="00F21EB4" w:rsidRPr="0035541B">
        <w:rPr>
          <w:rFonts w:ascii="Tinos" w:hAnsi="Tinos" w:cs="Tinos"/>
          <w:i/>
          <w:iCs/>
          <w:sz w:val="24"/>
          <w:szCs w:val="24"/>
        </w:rPr>
        <w:t>National Bureau of Economic Research</w:t>
      </w:r>
      <w:r w:rsidR="00F21EB4" w:rsidRPr="00F21EB4">
        <w:rPr>
          <w:rFonts w:ascii="Tinos" w:hAnsi="Tinos" w:cs="Tinos"/>
          <w:sz w:val="24"/>
          <w:szCs w:val="24"/>
        </w:rPr>
        <w:t>, 131(1), 157–218. https://doi.org/10.1093/qje/qjv036</w:t>
      </w:r>
    </w:p>
    <w:p w14:paraId="52FDB834" w14:textId="62B1F975" w:rsidR="0035541B" w:rsidRPr="009A2654" w:rsidRDefault="0035541B" w:rsidP="0035541B">
      <w:pPr>
        <w:spacing w:after="160"/>
        <w:rPr>
          <w:rFonts w:ascii="Tinos" w:hAnsi="Tinos" w:cs="Tinos"/>
          <w:i/>
          <w:iCs/>
          <w:sz w:val="24"/>
          <w:szCs w:val="24"/>
        </w:rPr>
      </w:pPr>
      <w:r w:rsidRPr="009A2654">
        <w:rPr>
          <w:rFonts w:ascii="Tinos" w:hAnsi="Tinos" w:cs="Tinos"/>
          <w:i/>
          <w:iCs/>
          <w:sz w:val="24"/>
          <w:szCs w:val="24"/>
        </w:rPr>
        <w:t xml:space="preserve">This article discusses the impact of school funding on long-term life outcomes. </w:t>
      </w:r>
      <w:r w:rsidR="009A2654">
        <w:rPr>
          <w:rFonts w:ascii="Tinos" w:hAnsi="Tinos" w:cs="Tinos"/>
          <w:i/>
          <w:iCs/>
          <w:sz w:val="24"/>
          <w:szCs w:val="24"/>
        </w:rPr>
        <w:t>It will be helpful for writing about how education funding is a problem that needs to be addressed on a broad scale.</w:t>
      </w:r>
    </w:p>
    <w:p w14:paraId="2E46CEB8" w14:textId="77737CB2" w:rsidR="00F21EB4" w:rsidRDefault="00F21EB4" w:rsidP="00F21EB4">
      <w:pPr>
        <w:rPr>
          <w:rFonts w:ascii="Tinos" w:hAnsi="Tinos" w:cs="Tinos"/>
          <w:sz w:val="24"/>
          <w:szCs w:val="24"/>
        </w:rPr>
      </w:pPr>
      <w:r w:rsidRPr="00F21EB4">
        <w:rPr>
          <w:rFonts w:ascii="Tinos" w:hAnsi="Tinos" w:cs="Tinos"/>
          <w:sz w:val="24"/>
          <w:szCs w:val="24"/>
        </w:rPr>
        <w:t xml:space="preserve">Kelly, M. G., &amp; Maselli, A. (2022). School </w:t>
      </w:r>
      <w:r w:rsidR="00105BC3">
        <w:rPr>
          <w:rFonts w:ascii="Tinos" w:hAnsi="Tinos" w:cs="Tinos"/>
          <w:sz w:val="24"/>
          <w:szCs w:val="24"/>
        </w:rPr>
        <w:t>f</w:t>
      </w:r>
      <w:r w:rsidRPr="00F21EB4">
        <w:rPr>
          <w:rFonts w:ascii="Tinos" w:hAnsi="Tinos" w:cs="Tinos"/>
          <w:sz w:val="24"/>
          <w:szCs w:val="24"/>
        </w:rPr>
        <w:t xml:space="preserve">inance </w:t>
      </w:r>
      <w:r w:rsidR="00105BC3">
        <w:rPr>
          <w:rFonts w:ascii="Tinos" w:hAnsi="Tinos" w:cs="Tinos"/>
          <w:sz w:val="24"/>
          <w:szCs w:val="24"/>
        </w:rPr>
        <w:t>p</w:t>
      </w:r>
      <w:r w:rsidRPr="00F21EB4">
        <w:rPr>
          <w:rFonts w:ascii="Tinos" w:hAnsi="Tinos" w:cs="Tinos"/>
          <w:sz w:val="24"/>
          <w:szCs w:val="24"/>
        </w:rPr>
        <w:t xml:space="preserve">olicies, </w:t>
      </w:r>
      <w:r w:rsidR="00105BC3">
        <w:rPr>
          <w:rFonts w:ascii="Tinos" w:hAnsi="Tinos" w:cs="Tinos"/>
          <w:sz w:val="24"/>
          <w:szCs w:val="24"/>
        </w:rPr>
        <w:t>r</w:t>
      </w:r>
      <w:r w:rsidRPr="00F21EB4">
        <w:rPr>
          <w:rFonts w:ascii="Tinos" w:hAnsi="Tinos" w:cs="Tinos"/>
          <w:sz w:val="24"/>
          <w:szCs w:val="24"/>
        </w:rPr>
        <w:t xml:space="preserve">acial </w:t>
      </w:r>
      <w:r w:rsidR="00105BC3">
        <w:rPr>
          <w:rFonts w:ascii="Tinos" w:hAnsi="Tinos" w:cs="Tinos"/>
          <w:sz w:val="24"/>
          <w:szCs w:val="24"/>
        </w:rPr>
        <w:t>d</w:t>
      </w:r>
      <w:r w:rsidRPr="00F21EB4">
        <w:rPr>
          <w:rFonts w:ascii="Tinos" w:hAnsi="Tinos" w:cs="Tinos"/>
          <w:sz w:val="24"/>
          <w:szCs w:val="24"/>
        </w:rPr>
        <w:t xml:space="preserve">isparities, and the </w:t>
      </w:r>
    </w:p>
    <w:p w14:paraId="3A8B861C" w14:textId="489822EF" w:rsidR="00F21EB4" w:rsidRDefault="00105BC3" w:rsidP="00F21EB4">
      <w:pPr>
        <w:spacing w:after="160"/>
        <w:ind w:left="720"/>
        <w:rPr>
          <w:rFonts w:ascii="Tinos" w:hAnsi="Tinos" w:cs="Tinos"/>
          <w:sz w:val="24"/>
          <w:szCs w:val="24"/>
        </w:rPr>
      </w:pPr>
      <w:r>
        <w:rPr>
          <w:rFonts w:ascii="Tinos" w:hAnsi="Tinos" w:cs="Tinos"/>
          <w:sz w:val="24"/>
          <w:szCs w:val="24"/>
        </w:rPr>
        <w:t>e</w:t>
      </w:r>
      <w:r w:rsidR="00F21EB4" w:rsidRPr="00F21EB4">
        <w:rPr>
          <w:rFonts w:ascii="Tinos" w:hAnsi="Tinos" w:cs="Tinos"/>
          <w:sz w:val="24"/>
          <w:szCs w:val="24"/>
        </w:rPr>
        <w:t xml:space="preserve">xploding </w:t>
      </w:r>
      <w:r>
        <w:rPr>
          <w:rFonts w:ascii="Tinos" w:hAnsi="Tinos" w:cs="Tinos"/>
          <w:sz w:val="24"/>
          <w:szCs w:val="24"/>
        </w:rPr>
        <w:t>e</w:t>
      </w:r>
      <w:r w:rsidR="00F21EB4" w:rsidRPr="00F21EB4">
        <w:rPr>
          <w:rFonts w:ascii="Tinos" w:hAnsi="Tinos" w:cs="Tinos"/>
          <w:sz w:val="24"/>
          <w:szCs w:val="24"/>
        </w:rPr>
        <w:t xml:space="preserve">ducational </w:t>
      </w:r>
      <w:r>
        <w:rPr>
          <w:rFonts w:ascii="Tinos" w:hAnsi="Tinos" w:cs="Tinos"/>
          <w:sz w:val="24"/>
          <w:szCs w:val="24"/>
        </w:rPr>
        <w:t>d</w:t>
      </w:r>
      <w:r w:rsidR="00F21EB4" w:rsidRPr="00F21EB4">
        <w:rPr>
          <w:rFonts w:ascii="Tinos" w:hAnsi="Tinos" w:cs="Tinos"/>
          <w:sz w:val="24"/>
          <w:szCs w:val="24"/>
        </w:rPr>
        <w:t xml:space="preserve">ebt: </w:t>
      </w:r>
      <w:r w:rsidR="00AD13BF">
        <w:rPr>
          <w:rFonts w:ascii="Tinos" w:hAnsi="Tinos" w:cs="Tinos"/>
          <w:sz w:val="24"/>
          <w:szCs w:val="24"/>
        </w:rPr>
        <w:t>E</w:t>
      </w:r>
      <w:r w:rsidR="00F21EB4" w:rsidRPr="00F21EB4">
        <w:rPr>
          <w:rFonts w:ascii="Tinos" w:hAnsi="Tinos" w:cs="Tinos"/>
          <w:sz w:val="24"/>
          <w:szCs w:val="24"/>
        </w:rPr>
        <w:t xml:space="preserve">gregious </w:t>
      </w:r>
      <w:r>
        <w:rPr>
          <w:rFonts w:ascii="Tinos" w:hAnsi="Tinos" w:cs="Tinos"/>
          <w:sz w:val="24"/>
          <w:szCs w:val="24"/>
        </w:rPr>
        <w:t>e</w:t>
      </w:r>
      <w:r w:rsidR="00F21EB4" w:rsidRPr="00F21EB4">
        <w:rPr>
          <w:rFonts w:ascii="Tinos" w:hAnsi="Tinos" w:cs="Tinos"/>
          <w:sz w:val="24"/>
          <w:szCs w:val="24"/>
        </w:rPr>
        <w:t xml:space="preserve">vidence from </w:t>
      </w:r>
      <w:r>
        <w:rPr>
          <w:rFonts w:ascii="Tinos" w:hAnsi="Tinos" w:cs="Tinos"/>
          <w:sz w:val="24"/>
          <w:szCs w:val="24"/>
        </w:rPr>
        <w:t>P</w:t>
      </w:r>
      <w:r w:rsidR="00F21EB4" w:rsidRPr="00F21EB4">
        <w:rPr>
          <w:rFonts w:ascii="Tinos" w:hAnsi="Tinos" w:cs="Tinos"/>
          <w:sz w:val="24"/>
          <w:szCs w:val="24"/>
        </w:rPr>
        <w:t xml:space="preserve">ennsylvania. </w:t>
      </w:r>
      <w:r w:rsidR="00F21EB4" w:rsidRPr="0035541B">
        <w:rPr>
          <w:rFonts w:ascii="Tinos" w:hAnsi="Tinos" w:cs="Tinos"/>
          <w:i/>
          <w:iCs/>
          <w:sz w:val="24"/>
          <w:szCs w:val="24"/>
        </w:rPr>
        <w:t>Journal of Education Human Resources</w:t>
      </w:r>
      <w:r w:rsidR="00F21EB4" w:rsidRPr="00F21EB4">
        <w:rPr>
          <w:rFonts w:ascii="Tinos" w:hAnsi="Tinos" w:cs="Tinos"/>
          <w:sz w:val="24"/>
          <w:szCs w:val="24"/>
        </w:rPr>
        <w:t>, 41(3), 514–533. https://doi.org/10.3138/jehr-2022-0003</w:t>
      </w:r>
    </w:p>
    <w:p w14:paraId="431C3E41" w14:textId="3E898782" w:rsidR="00574D8A" w:rsidRPr="009A2654" w:rsidRDefault="00574D8A" w:rsidP="00574D8A">
      <w:pPr>
        <w:spacing w:after="160"/>
        <w:rPr>
          <w:rFonts w:ascii="Tinos" w:hAnsi="Tinos" w:cs="Tinos"/>
          <w:i/>
          <w:iCs/>
          <w:sz w:val="24"/>
          <w:szCs w:val="24"/>
        </w:rPr>
      </w:pPr>
      <w:r w:rsidRPr="009A2654">
        <w:rPr>
          <w:rFonts w:ascii="Tinos" w:hAnsi="Tinos" w:cs="Tinos"/>
          <w:i/>
          <w:iCs/>
          <w:sz w:val="24"/>
          <w:szCs w:val="24"/>
        </w:rPr>
        <w:t>This article provides information on the recent history of education funding in Pennsylvania. It also provides analysis of the effects of the Act 35 funding formula, including how it disproportionately impacts different racial groups.</w:t>
      </w:r>
      <w:r w:rsidR="009A2654">
        <w:rPr>
          <w:rFonts w:ascii="Tinos" w:hAnsi="Tinos" w:cs="Tinos"/>
          <w:i/>
          <w:iCs/>
          <w:sz w:val="24"/>
          <w:szCs w:val="24"/>
        </w:rPr>
        <w:t xml:space="preserve"> This will be helpful for writing about why education funding in Pennsylvania specifically needs to be addressed.</w:t>
      </w:r>
    </w:p>
    <w:p w14:paraId="41B2BF9F" w14:textId="77777777" w:rsidR="0035541B" w:rsidRDefault="0035541B" w:rsidP="0035541B">
      <w:pPr>
        <w:rPr>
          <w:rFonts w:ascii="Tinos" w:hAnsi="Tinos" w:cs="Tinos"/>
          <w:sz w:val="24"/>
          <w:szCs w:val="24"/>
        </w:rPr>
      </w:pPr>
      <w:r w:rsidRPr="0035541B">
        <w:rPr>
          <w:rFonts w:ascii="Tinos" w:hAnsi="Tinos" w:cs="Tinos"/>
          <w:sz w:val="24"/>
          <w:szCs w:val="24"/>
        </w:rPr>
        <w:t xml:space="preserve">Morrison, O. (2024, February 6). Shapiro proposes ‘historic’ $1 billion increase in </w:t>
      </w:r>
      <w:proofErr w:type="gramStart"/>
      <w:r w:rsidRPr="0035541B">
        <w:rPr>
          <w:rFonts w:ascii="Tinos" w:hAnsi="Tinos" w:cs="Tinos"/>
          <w:sz w:val="24"/>
          <w:szCs w:val="24"/>
        </w:rPr>
        <w:t>education</w:t>
      </w:r>
      <w:proofErr w:type="gramEnd"/>
      <w:r w:rsidRPr="0035541B">
        <w:rPr>
          <w:rFonts w:ascii="Tinos" w:hAnsi="Tinos" w:cs="Tinos"/>
          <w:sz w:val="24"/>
          <w:szCs w:val="24"/>
        </w:rPr>
        <w:t xml:space="preserve"> </w:t>
      </w:r>
    </w:p>
    <w:p w14:paraId="5278F63E" w14:textId="3245FAC9" w:rsidR="0035541B" w:rsidRPr="0035541B" w:rsidRDefault="0035541B" w:rsidP="0035541B">
      <w:pPr>
        <w:spacing w:after="160"/>
        <w:ind w:left="720"/>
        <w:rPr>
          <w:rFonts w:ascii="Tinos" w:hAnsi="Tinos" w:cs="Tinos"/>
          <w:sz w:val="24"/>
          <w:szCs w:val="24"/>
        </w:rPr>
      </w:pPr>
      <w:r w:rsidRPr="0035541B">
        <w:rPr>
          <w:rFonts w:ascii="Tinos" w:hAnsi="Tinos" w:cs="Tinos"/>
          <w:sz w:val="24"/>
          <w:szCs w:val="24"/>
        </w:rPr>
        <w:t xml:space="preserve">funding to address inequities. </w:t>
      </w:r>
      <w:r w:rsidRPr="0035541B">
        <w:rPr>
          <w:rFonts w:ascii="Tinos" w:hAnsi="Tinos" w:cs="Tinos"/>
          <w:i/>
          <w:iCs/>
          <w:sz w:val="24"/>
          <w:szCs w:val="24"/>
        </w:rPr>
        <w:t>WHYY</w:t>
      </w:r>
      <w:r w:rsidRPr="0035541B">
        <w:rPr>
          <w:rFonts w:ascii="Tinos" w:hAnsi="Tinos" w:cs="Tinos"/>
          <w:sz w:val="24"/>
          <w:szCs w:val="24"/>
        </w:rPr>
        <w:t>. https://whyy.org/articles/shapiro-historic-1-billion-increase-education-funding-pennsylvania-budget/</w:t>
      </w:r>
    </w:p>
    <w:p w14:paraId="7508B6C6" w14:textId="47E16EB9" w:rsidR="0035541B" w:rsidRPr="009A2654" w:rsidRDefault="00574D8A" w:rsidP="0035541B">
      <w:pPr>
        <w:spacing w:after="160"/>
        <w:rPr>
          <w:rFonts w:ascii="Tinos" w:hAnsi="Tinos" w:cs="Tinos"/>
          <w:i/>
          <w:iCs/>
          <w:sz w:val="24"/>
          <w:szCs w:val="24"/>
        </w:rPr>
      </w:pPr>
      <w:r w:rsidRPr="009A2654">
        <w:rPr>
          <w:rFonts w:ascii="Tinos" w:hAnsi="Tinos" w:cs="Tinos"/>
          <w:i/>
          <w:iCs/>
          <w:sz w:val="24"/>
          <w:szCs w:val="24"/>
        </w:rPr>
        <w:t xml:space="preserve">This article gives some context for the governor’s proposed education budget, including </w:t>
      </w:r>
      <w:r w:rsidR="002E51B5" w:rsidRPr="009A2654">
        <w:rPr>
          <w:rFonts w:ascii="Tinos" w:hAnsi="Tinos" w:cs="Tinos"/>
          <w:i/>
          <w:iCs/>
          <w:sz w:val="24"/>
          <w:szCs w:val="24"/>
        </w:rPr>
        <w:t>statements from the governor that show how he is framing this proposed budget.</w:t>
      </w:r>
      <w:r w:rsidR="009A2654">
        <w:rPr>
          <w:rFonts w:ascii="Tinos" w:hAnsi="Tinos" w:cs="Tinos"/>
          <w:i/>
          <w:iCs/>
          <w:sz w:val="24"/>
          <w:szCs w:val="24"/>
        </w:rPr>
        <w:t xml:space="preserve"> This will be helpful for writing about the policy window.</w:t>
      </w:r>
    </w:p>
    <w:p w14:paraId="79F03497" w14:textId="64F5AFE9" w:rsidR="00F21EB4" w:rsidRDefault="00F21EB4" w:rsidP="00F21EB4">
      <w:pPr>
        <w:rPr>
          <w:rFonts w:ascii="Tinos" w:hAnsi="Tinos" w:cs="Tinos"/>
          <w:sz w:val="24"/>
          <w:szCs w:val="24"/>
        </w:rPr>
      </w:pPr>
      <w:r w:rsidRPr="00F21EB4">
        <w:rPr>
          <w:rFonts w:ascii="Tinos" w:hAnsi="Tinos" w:cs="Tinos"/>
          <w:sz w:val="24"/>
          <w:szCs w:val="24"/>
        </w:rPr>
        <w:t xml:space="preserve">Steinberg, M. P., &amp; Quinn, R. (2015). A </w:t>
      </w:r>
      <w:r w:rsidR="00105BC3">
        <w:rPr>
          <w:rFonts w:ascii="Tinos" w:hAnsi="Tinos" w:cs="Tinos"/>
          <w:sz w:val="24"/>
          <w:szCs w:val="24"/>
        </w:rPr>
        <w:t>t</w:t>
      </w:r>
      <w:r w:rsidRPr="00F21EB4">
        <w:rPr>
          <w:rFonts w:ascii="Tinos" w:hAnsi="Tinos" w:cs="Tinos"/>
          <w:sz w:val="24"/>
          <w:szCs w:val="24"/>
        </w:rPr>
        <w:t xml:space="preserve">ale of </w:t>
      </w:r>
      <w:r w:rsidR="00105BC3">
        <w:rPr>
          <w:rFonts w:ascii="Tinos" w:hAnsi="Tinos" w:cs="Tinos"/>
          <w:sz w:val="24"/>
          <w:szCs w:val="24"/>
        </w:rPr>
        <w:t>t</w:t>
      </w:r>
      <w:r w:rsidRPr="00F21EB4">
        <w:rPr>
          <w:rFonts w:ascii="Tinos" w:hAnsi="Tinos" w:cs="Tinos"/>
          <w:sz w:val="24"/>
          <w:szCs w:val="24"/>
        </w:rPr>
        <w:t xml:space="preserve">wo </w:t>
      </w:r>
      <w:r w:rsidR="00105BC3">
        <w:rPr>
          <w:rFonts w:ascii="Tinos" w:hAnsi="Tinos" w:cs="Tinos"/>
          <w:sz w:val="24"/>
          <w:szCs w:val="24"/>
        </w:rPr>
        <w:t>d</w:t>
      </w:r>
      <w:r w:rsidRPr="00F21EB4">
        <w:rPr>
          <w:rFonts w:ascii="Tinos" w:hAnsi="Tinos" w:cs="Tinos"/>
          <w:sz w:val="24"/>
          <w:szCs w:val="24"/>
        </w:rPr>
        <w:t xml:space="preserve">ecades: </w:t>
      </w:r>
      <w:r w:rsidR="00AD13BF">
        <w:rPr>
          <w:rFonts w:ascii="Tinos" w:hAnsi="Tinos" w:cs="Tinos"/>
          <w:sz w:val="24"/>
          <w:szCs w:val="24"/>
        </w:rPr>
        <w:t>N</w:t>
      </w:r>
      <w:r w:rsidRPr="00F21EB4">
        <w:rPr>
          <w:rFonts w:ascii="Tinos" w:hAnsi="Tinos" w:cs="Tinos"/>
          <w:sz w:val="24"/>
          <w:szCs w:val="24"/>
        </w:rPr>
        <w:t xml:space="preserve">ew </w:t>
      </w:r>
      <w:r w:rsidR="00105BC3">
        <w:rPr>
          <w:rFonts w:ascii="Tinos" w:hAnsi="Tinos" w:cs="Tinos"/>
          <w:sz w:val="24"/>
          <w:szCs w:val="24"/>
        </w:rPr>
        <w:t>e</w:t>
      </w:r>
      <w:r w:rsidRPr="00F21EB4">
        <w:rPr>
          <w:rFonts w:ascii="Tinos" w:hAnsi="Tinos" w:cs="Tinos"/>
          <w:sz w:val="24"/>
          <w:szCs w:val="24"/>
        </w:rPr>
        <w:t xml:space="preserve">vidence on </w:t>
      </w:r>
      <w:r w:rsidR="00105BC3">
        <w:rPr>
          <w:rFonts w:ascii="Tinos" w:hAnsi="Tinos" w:cs="Tinos"/>
          <w:sz w:val="24"/>
          <w:szCs w:val="24"/>
        </w:rPr>
        <w:t>a</w:t>
      </w:r>
      <w:r w:rsidRPr="00F21EB4">
        <w:rPr>
          <w:rFonts w:ascii="Tinos" w:hAnsi="Tinos" w:cs="Tinos"/>
          <w:sz w:val="24"/>
          <w:szCs w:val="24"/>
        </w:rPr>
        <w:t xml:space="preserve">dequacy and </w:t>
      </w:r>
    </w:p>
    <w:p w14:paraId="7F6CB8EE" w14:textId="37D94702" w:rsidR="00F21EB4" w:rsidRDefault="00105BC3" w:rsidP="00045C6E">
      <w:pPr>
        <w:spacing w:after="160"/>
        <w:ind w:left="720"/>
        <w:rPr>
          <w:rFonts w:ascii="Tinos" w:hAnsi="Tinos" w:cs="Tinos"/>
          <w:sz w:val="24"/>
          <w:szCs w:val="24"/>
        </w:rPr>
      </w:pPr>
      <w:r>
        <w:rPr>
          <w:rFonts w:ascii="Tinos" w:hAnsi="Tinos" w:cs="Tinos"/>
          <w:sz w:val="24"/>
          <w:szCs w:val="24"/>
        </w:rPr>
        <w:t>e</w:t>
      </w:r>
      <w:r w:rsidR="00F21EB4" w:rsidRPr="00F21EB4">
        <w:rPr>
          <w:rFonts w:ascii="Tinos" w:hAnsi="Tinos" w:cs="Tinos"/>
          <w:sz w:val="24"/>
          <w:szCs w:val="24"/>
        </w:rPr>
        <w:t xml:space="preserve">quity in Pennsylvania. </w:t>
      </w:r>
      <w:r w:rsidR="00F21EB4" w:rsidRPr="0035541B">
        <w:rPr>
          <w:rFonts w:ascii="Tinos" w:hAnsi="Tinos" w:cs="Tinos"/>
          <w:i/>
          <w:iCs/>
          <w:sz w:val="24"/>
          <w:szCs w:val="24"/>
        </w:rPr>
        <w:t>Journal of Education Finance</w:t>
      </w:r>
      <w:r w:rsidR="00F21EB4" w:rsidRPr="00F21EB4">
        <w:rPr>
          <w:rFonts w:ascii="Tinos" w:hAnsi="Tinos" w:cs="Tinos"/>
          <w:sz w:val="24"/>
          <w:szCs w:val="24"/>
        </w:rPr>
        <w:t>, 40(3), 273–299.</w:t>
      </w:r>
      <w:r w:rsidR="0035541B">
        <w:rPr>
          <w:rFonts w:ascii="Tinos" w:hAnsi="Tinos" w:cs="Tinos"/>
          <w:sz w:val="24"/>
          <w:szCs w:val="24"/>
        </w:rPr>
        <w:t xml:space="preserve"> doi.org/</w:t>
      </w:r>
      <w:r w:rsidR="0035541B" w:rsidRPr="0035541B">
        <w:rPr>
          <w:rFonts w:ascii="Tinos" w:hAnsi="Tinos" w:cs="Tinos"/>
          <w:sz w:val="24"/>
          <w:szCs w:val="24"/>
        </w:rPr>
        <w:t>10.1177/2332858420982549</w:t>
      </w:r>
    </w:p>
    <w:p w14:paraId="4FAABF52" w14:textId="386E8183" w:rsidR="00045C6E" w:rsidRPr="009A2654" w:rsidRDefault="00045C6E" w:rsidP="00045C6E">
      <w:pPr>
        <w:spacing w:after="160"/>
        <w:rPr>
          <w:rFonts w:ascii="Tinos" w:hAnsi="Tinos" w:cs="Tinos"/>
          <w:i/>
          <w:iCs/>
          <w:sz w:val="24"/>
          <w:szCs w:val="24"/>
        </w:rPr>
      </w:pPr>
      <w:r w:rsidRPr="009A2654">
        <w:rPr>
          <w:rFonts w:ascii="Tinos" w:hAnsi="Tinos" w:cs="Tinos"/>
          <w:i/>
          <w:iCs/>
          <w:sz w:val="24"/>
          <w:szCs w:val="24"/>
        </w:rPr>
        <w:t xml:space="preserve">This article also provides </w:t>
      </w:r>
      <w:proofErr w:type="gramStart"/>
      <w:r w:rsidRPr="009A2654">
        <w:rPr>
          <w:rFonts w:ascii="Tinos" w:hAnsi="Tinos" w:cs="Tinos"/>
          <w:i/>
          <w:iCs/>
          <w:sz w:val="24"/>
          <w:szCs w:val="24"/>
        </w:rPr>
        <w:t>history</w:t>
      </w:r>
      <w:proofErr w:type="gramEnd"/>
      <w:r w:rsidRPr="009A2654">
        <w:rPr>
          <w:rFonts w:ascii="Tinos" w:hAnsi="Tinos" w:cs="Tinos"/>
          <w:i/>
          <w:iCs/>
          <w:sz w:val="24"/>
          <w:szCs w:val="24"/>
        </w:rPr>
        <w:t xml:space="preserve"> of education funding in Pennsylvania. It has information on splits between rural, suburban, and urban districts, which provides a nice supplement to the Kelly &amp; Maselli (2022) article.</w:t>
      </w:r>
      <w:r w:rsidR="009A2654">
        <w:rPr>
          <w:rFonts w:ascii="Tinos" w:hAnsi="Tinos" w:cs="Tinos"/>
          <w:i/>
          <w:iCs/>
          <w:sz w:val="24"/>
          <w:szCs w:val="24"/>
        </w:rPr>
        <w:t xml:space="preserve"> This</w:t>
      </w:r>
      <w:r w:rsidR="002A20EE">
        <w:rPr>
          <w:rFonts w:ascii="Tinos" w:hAnsi="Tinos" w:cs="Tinos"/>
          <w:i/>
          <w:iCs/>
          <w:sz w:val="24"/>
          <w:szCs w:val="24"/>
        </w:rPr>
        <w:t xml:space="preserve"> will also help with the Kelly &amp; Maselli article in showing why education funding in Pennsylvania needs to be addressed.</w:t>
      </w:r>
    </w:p>
    <w:sectPr w:rsidR="00045C6E" w:rsidRPr="009A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nos">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93E30"/>
    <w:multiLevelType w:val="multilevel"/>
    <w:tmpl w:val="7D9A052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8505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E7B41"/>
    <w:rsid w:val="00045C6E"/>
    <w:rsid w:val="00076825"/>
    <w:rsid w:val="00092F73"/>
    <w:rsid w:val="000A1B6F"/>
    <w:rsid w:val="000D6E73"/>
    <w:rsid w:val="00105BC3"/>
    <w:rsid w:val="00137393"/>
    <w:rsid w:val="00164348"/>
    <w:rsid w:val="00177866"/>
    <w:rsid w:val="00193637"/>
    <w:rsid w:val="001E7D26"/>
    <w:rsid w:val="002A20EE"/>
    <w:rsid w:val="002E51B5"/>
    <w:rsid w:val="003510D8"/>
    <w:rsid w:val="0035541B"/>
    <w:rsid w:val="00373D10"/>
    <w:rsid w:val="00391ADD"/>
    <w:rsid w:val="00487100"/>
    <w:rsid w:val="00525F20"/>
    <w:rsid w:val="00574D8A"/>
    <w:rsid w:val="00716E37"/>
    <w:rsid w:val="007357EC"/>
    <w:rsid w:val="007A0D1C"/>
    <w:rsid w:val="008F0063"/>
    <w:rsid w:val="00902AFB"/>
    <w:rsid w:val="009A2654"/>
    <w:rsid w:val="00AA25BA"/>
    <w:rsid w:val="00AD13BF"/>
    <w:rsid w:val="00BC449B"/>
    <w:rsid w:val="00C721F5"/>
    <w:rsid w:val="00C946DE"/>
    <w:rsid w:val="00CD536F"/>
    <w:rsid w:val="00D8295D"/>
    <w:rsid w:val="00DB6DA1"/>
    <w:rsid w:val="00DB72AF"/>
    <w:rsid w:val="00E574E1"/>
    <w:rsid w:val="00EF76A4"/>
    <w:rsid w:val="00F21EB4"/>
    <w:rsid w:val="00F87707"/>
    <w:rsid w:val="00FB784C"/>
    <w:rsid w:val="00FD14B9"/>
    <w:rsid w:val="00FE7B41"/>
    <w:rsid w:val="00F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02A9"/>
  <w15:chartTrackingRefBased/>
  <w15:docId w15:val="{DA8EC8D1-C41F-4F79-AEAD-3F521019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9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71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71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2">
    <w:name w:val="APA Heading 2"/>
    <w:basedOn w:val="Heading2"/>
    <w:link w:val="APAHeading2Char"/>
    <w:autoRedefine/>
    <w:qFormat/>
    <w:rsid w:val="00716E37"/>
    <w:pPr>
      <w:spacing w:before="120" w:line="480" w:lineRule="auto"/>
    </w:pPr>
    <w:rPr>
      <w:rFonts w:ascii="Tinos" w:hAnsi="Tinos"/>
      <w:b/>
      <w:bCs/>
      <w:color w:val="000000"/>
      <w:sz w:val="24"/>
    </w:rPr>
  </w:style>
  <w:style w:type="character" w:customStyle="1" w:styleId="APAHeading2Char">
    <w:name w:val="APA Heading 2 Char"/>
    <w:basedOn w:val="APAHeading1Char"/>
    <w:link w:val="APAHeading2"/>
    <w:rsid w:val="00716E37"/>
    <w:rPr>
      <w:rFonts w:ascii="Tinos" w:eastAsiaTheme="majorEastAsia" w:hAnsi="Tinos" w:cstheme="majorBidi"/>
      <w:b/>
      <w:bCs/>
      <w:color w:val="000000"/>
      <w:sz w:val="24"/>
      <w:szCs w:val="26"/>
    </w:rPr>
  </w:style>
  <w:style w:type="paragraph" w:customStyle="1" w:styleId="APAHeading1">
    <w:name w:val="APA Heading 1"/>
    <w:basedOn w:val="Heading1"/>
    <w:link w:val="APAHeading1Char"/>
    <w:autoRedefine/>
    <w:qFormat/>
    <w:rsid w:val="00716E37"/>
    <w:pPr>
      <w:spacing w:before="120" w:line="480" w:lineRule="auto"/>
      <w:jc w:val="center"/>
    </w:pPr>
    <w:rPr>
      <w:rFonts w:ascii="Tinos" w:eastAsia="Times New Roman" w:hAnsi="Tinos" w:cs="Times New Roman"/>
      <w:b/>
      <w:bCs/>
      <w:color w:val="000000"/>
      <w:sz w:val="24"/>
      <w:szCs w:val="24"/>
    </w:rPr>
  </w:style>
  <w:style w:type="character" w:customStyle="1" w:styleId="APAHeading1Char">
    <w:name w:val="APA Heading 1 Char"/>
    <w:basedOn w:val="Heading1Char"/>
    <w:link w:val="APAHeading1"/>
    <w:rsid w:val="00716E37"/>
    <w:rPr>
      <w:rFonts w:ascii="Tinos" w:eastAsia="Times New Roman" w:hAnsi="Tinos" w:cs="Times New Roman"/>
      <w:b/>
      <w:bCs/>
      <w:color w:val="000000"/>
      <w:sz w:val="24"/>
      <w:szCs w:val="24"/>
    </w:rPr>
  </w:style>
  <w:style w:type="character" w:customStyle="1" w:styleId="Heading1Char">
    <w:name w:val="Heading 1 Char"/>
    <w:basedOn w:val="DefaultParagraphFont"/>
    <w:link w:val="Heading1"/>
    <w:uiPriority w:val="9"/>
    <w:rsid w:val="00D8295D"/>
    <w:rPr>
      <w:rFonts w:asciiTheme="majorHAnsi" w:eastAsiaTheme="majorEastAsia" w:hAnsiTheme="majorHAnsi" w:cstheme="majorBidi"/>
      <w:color w:val="2F5496" w:themeColor="accent1" w:themeShade="BF"/>
      <w:sz w:val="32"/>
      <w:szCs w:val="32"/>
    </w:rPr>
  </w:style>
  <w:style w:type="paragraph" w:customStyle="1" w:styleId="APAHeading3">
    <w:name w:val="APA Heading 3"/>
    <w:basedOn w:val="Heading3"/>
    <w:link w:val="APAHeading3Char"/>
    <w:autoRedefine/>
    <w:qFormat/>
    <w:rsid w:val="00716E37"/>
    <w:pPr>
      <w:spacing w:before="120" w:line="480" w:lineRule="auto"/>
    </w:pPr>
    <w:rPr>
      <w:rFonts w:ascii="Times New Roman" w:hAnsi="Times New Roman"/>
      <w:b/>
      <w:bCs/>
      <w:i/>
      <w:color w:val="000000"/>
    </w:rPr>
  </w:style>
  <w:style w:type="character" w:customStyle="1" w:styleId="APAHeading3Char">
    <w:name w:val="APA Heading 3 Char"/>
    <w:basedOn w:val="APAHeading2Char"/>
    <w:link w:val="APAHeading3"/>
    <w:rsid w:val="00716E37"/>
    <w:rPr>
      <w:rFonts w:ascii="Times New Roman" w:eastAsiaTheme="majorEastAsia" w:hAnsi="Times New Roman" w:cstheme="majorBidi"/>
      <w:b/>
      <w:bCs/>
      <w:i/>
      <w:color w:val="000000"/>
      <w:sz w:val="24"/>
      <w:szCs w:val="24"/>
    </w:rPr>
  </w:style>
  <w:style w:type="character" w:customStyle="1" w:styleId="Heading2Char">
    <w:name w:val="Heading 2 Char"/>
    <w:basedOn w:val="DefaultParagraphFont"/>
    <w:link w:val="Heading2"/>
    <w:uiPriority w:val="9"/>
    <w:semiHidden/>
    <w:rsid w:val="004871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87100"/>
    <w:rPr>
      <w:rFonts w:asciiTheme="majorHAnsi" w:eastAsiaTheme="majorEastAsia" w:hAnsiTheme="majorHAnsi" w:cstheme="majorBidi"/>
      <w:color w:val="1F3763" w:themeColor="accent1" w:themeShade="7F"/>
      <w:sz w:val="24"/>
      <w:szCs w:val="24"/>
    </w:rPr>
  </w:style>
  <w:style w:type="paragraph" w:customStyle="1" w:styleId="APABodyText">
    <w:name w:val="APA Body Text"/>
    <w:link w:val="APABodyTextChar"/>
    <w:qFormat/>
    <w:rsid w:val="008F0063"/>
    <w:pPr>
      <w:spacing w:line="480" w:lineRule="auto"/>
    </w:pPr>
    <w:rPr>
      <w:rFonts w:ascii="Tinos" w:eastAsia="Times New Roman" w:hAnsi="Tinos" w:cs="Times New Roman"/>
      <w:color w:val="000000"/>
      <w:sz w:val="24"/>
      <w:szCs w:val="24"/>
    </w:rPr>
  </w:style>
  <w:style w:type="character" w:customStyle="1" w:styleId="APABodyTextChar">
    <w:name w:val="APA Body Text Char"/>
    <w:basedOn w:val="APAHeading1Char"/>
    <w:link w:val="APABodyText"/>
    <w:rsid w:val="008F0063"/>
    <w:rPr>
      <w:rFonts w:ascii="Tinos" w:eastAsia="Times New Roman" w:hAnsi="Tinos" w:cs="Times New Roman"/>
      <w:b w:val="0"/>
      <w:bCs w:val="0"/>
      <w:color w:val="000000"/>
      <w:sz w:val="24"/>
      <w:szCs w:val="24"/>
    </w:rPr>
  </w:style>
  <w:style w:type="paragraph" w:styleId="ListParagraph">
    <w:name w:val="List Paragraph"/>
    <w:basedOn w:val="Normal"/>
    <w:uiPriority w:val="34"/>
    <w:qFormat/>
    <w:rsid w:val="00FE7B41"/>
    <w:pPr>
      <w:ind w:left="720"/>
      <w:contextualSpacing/>
    </w:pPr>
  </w:style>
  <w:style w:type="character" w:styleId="Hyperlink">
    <w:name w:val="Hyperlink"/>
    <w:basedOn w:val="DefaultParagraphFont"/>
    <w:uiPriority w:val="99"/>
    <w:unhideWhenUsed/>
    <w:rsid w:val="00FB784C"/>
    <w:rPr>
      <w:color w:val="0563C1" w:themeColor="hyperlink"/>
      <w:u w:val="single"/>
    </w:rPr>
  </w:style>
  <w:style w:type="character" w:styleId="UnresolvedMention">
    <w:name w:val="Unresolved Mention"/>
    <w:basedOn w:val="DefaultParagraphFont"/>
    <w:uiPriority w:val="99"/>
    <w:semiHidden/>
    <w:unhideWhenUsed/>
    <w:rsid w:val="00FB7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6847">
      <w:bodyDiv w:val="1"/>
      <w:marLeft w:val="0"/>
      <w:marRight w:val="0"/>
      <w:marTop w:val="0"/>
      <w:marBottom w:val="0"/>
      <w:divBdr>
        <w:top w:val="none" w:sz="0" w:space="0" w:color="auto"/>
        <w:left w:val="none" w:sz="0" w:space="0" w:color="auto"/>
        <w:bottom w:val="none" w:sz="0" w:space="0" w:color="auto"/>
        <w:right w:val="none" w:sz="0" w:space="0" w:color="auto"/>
      </w:divBdr>
      <w:divsChild>
        <w:div w:id="1497115094">
          <w:marLeft w:val="0"/>
          <w:marRight w:val="0"/>
          <w:marTop w:val="0"/>
          <w:marBottom w:val="0"/>
          <w:divBdr>
            <w:top w:val="none" w:sz="0" w:space="0" w:color="auto"/>
            <w:left w:val="none" w:sz="0" w:space="0" w:color="auto"/>
            <w:bottom w:val="none" w:sz="0" w:space="0" w:color="auto"/>
            <w:right w:val="none" w:sz="0" w:space="0" w:color="auto"/>
          </w:divBdr>
          <w:divsChild>
            <w:div w:id="6351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7391">
      <w:bodyDiv w:val="1"/>
      <w:marLeft w:val="0"/>
      <w:marRight w:val="0"/>
      <w:marTop w:val="0"/>
      <w:marBottom w:val="0"/>
      <w:divBdr>
        <w:top w:val="none" w:sz="0" w:space="0" w:color="auto"/>
        <w:left w:val="none" w:sz="0" w:space="0" w:color="auto"/>
        <w:bottom w:val="none" w:sz="0" w:space="0" w:color="auto"/>
        <w:right w:val="none" w:sz="0" w:space="0" w:color="auto"/>
      </w:divBdr>
      <w:divsChild>
        <w:div w:id="1602294946">
          <w:marLeft w:val="0"/>
          <w:marRight w:val="0"/>
          <w:marTop w:val="0"/>
          <w:marBottom w:val="0"/>
          <w:divBdr>
            <w:top w:val="none" w:sz="0" w:space="0" w:color="auto"/>
            <w:left w:val="none" w:sz="0" w:space="0" w:color="auto"/>
            <w:bottom w:val="none" w:sz="0" w:space="0" w:color="auto"/>
            <w:right w:val="none" w:sz="0" w:space="0" w:color="auto"/>
          </w:divBdr>
          <w:divsChild>
            <w:div w:id="13562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4569">
      <w:bodyDiv w:val="1"/>
      <w:marLeft w:val="0"/>
      <w:marRight w:val="0"/>
      <w:marTop w:val="0"/>
      <w:marBottom w:val="0"/>
      <w:divBdr>
        <w:top w:val="none" w:sz="0" w:space="0" w:color="auto"/>
        <w:left w:val="none" w:sz="0" w:space="0" w:color="auto"/>
        <w:bottom w:val="none" w:sz="0" w:space="0" w:color="auto"/>
        <w:right w:val="none" w:sz="0" w:space="0" w:color="auto"/>
      </w:divBdr>
      <w:divsChild>
        <w:div w:id="59519018">
          <w:marLeft w:val="0"/>
          <w:marRight w:val="0"/>
          <w:marTop w:val="0"/>
          <w:marBottom w:val="0"/>
          <w:divBdr>
            <w:top w:val="none" w:sz="0" w:space="0" w:color="auto"/>
            <w:left w:val="none" w:sz="0" w:space="0" w:color="auto"/>
            <w:bottom w:val="none" w:sz="0" w:space="0" w:color="auto"/>
            <w:right w:val="none" w:sz="0" w:space="0" w:color="auto"/>
          </w:divBdr>
          <w:divsChild>
            <w:div w:id="446971476">
              <w:marLeft w:val="0"/>
              <w:marRight w:val="0"/>
              <w:marTop w:val="0"/>
              <w:marBottom w:val="0"/>
              <w:divBdr>
                <w:top w:val="none" w:sz="0" w:space="0" w:color="auto"/>
                <w:left w:val="none" w:sz="0" w:space="0" w:color="auto"/>
                <w:bottom w:val="none" w:sz="0" w:space="0" w:color="auto"/>
                <w:right w:val="none" w:sz="0" w:space="0" w:color="auto"/>
              </w:divBdr>
            </w:div>
            <w:div w:id="1244535953">
              <w:marLeft w:val="0"/>
              <w:marRight w:val="0"/>
              <w:marTop w:val="0"/>
              <w:marBottom w:val="0"/>
              <w:divBdr>
                <w:top w:val="none" w:sz="0" w:space="0" w:color="auto"/>
                <w:left w:val="none" w:sz="0" w:space="0" w:color="auto"/>
                <w:bottom w:val="none" w:sz="0" w:space="0" w:color="auto"/>
                <w:right w:val="none" w:sz="0" w:space="0" w:color="auto"/>
              </w:divBdr>
            </w:div>
            <w:div w:id="1999110861">
              <w:marLeft w:val="0"/>
              <w:marRight w:val="0"/>
              <w:marTop w:val="0"/>
              <w:marBottom w:val="0"/>
              <w:divBdr>
                <w:top w:val="none" w:sz="0" w:space="0" w:color="auto"/>
                <w:left w:val="none" w:sz="0" w:space="0" w:color="auto"/>
                <w:bottom w:val="none" w:sz="0" w:space="0" w:color="auto"/>
                <w:right w:val="none" w:sz="0" w:space="0" w:color="auto"/>
              </w:divBdr>
            </w:div>
            <w:div w:id="195853350">
              <w:marLeft w:val="0"/>
              <w:marRight w:val="0"/>
              <w:marTop w:val="0"/>
              <w:marBottom w:val="0"/>
              <w:divBdr>
                <w:top w:val="none" w:sz="0" w:space="0" w:color="auto"/>
                <w:left w:val="none" w:sz="0" w:space="0" w:color="auto"/>
                <w:bottom w:val="none" w:sz="0" w:space="0" w:color="auto"/>
                <w:right w:val="none" w:sz="0" w:space="0" w:color="auto"/>
              </w:divBdr>
            </w:div>
            <w:div w:id="14857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13B53-25D7-476F-8DBB-DA8E5147F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Pages>
  <Words>680</Words>
  <Characters>3924</Characters>
  <Application>Microsoft Office Word</Application>
  <DocSecurity>0</DocSecurity>
  <Lines>71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Cattell Jr., Michael Joseph</dc:creator>
  <cp:keywords/>
  <dc:description/>
  <cp:lastModifiedBy>Cattell Jr., Michael Joseph</cp:lastModifiedBy>
  <cp:revision>16</cp:revision>
  <dcterms:created xsi:type="dcterms:W3CDTF">2024-02-27T16:30:00Z</dcterms:created>
  <dcterms:modified xsi:type="dcterms:W3CDTF">2024-02-28T15:33:00Z</dcterms:modified>
</cp:coreProperties>
</file>