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Otto-Eldred School District was in opposition of increasing school funding in the midst of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06B472D7" w:rsidR="008577C4" w:rsidRDefault="008577C4" w:rsidP="008577C4">
      <w:pPr>
        <w:pStyle w:val="APABodyText"/>
        <w:numPr>
          <w:ilvl w:val="0"/>
          <w:numId w:val="2"/>
        </w:numPr>
      </w:pPr>
      <w:r>
        <w:t>How rural or urban the school district as a whole is,</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337A3239"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w:t>
      </w:r>
      <w:proofErr w:type="gramStart"/>
      <w:r w:rsidR="00412DB3">
        <w:t>have</w:t>
      </w:r>
      <w:proofErr w:type="gramEnd"/>
      <w:r w:rsidR="00412DB3">
        <w:t xml:space="preserve"> a public education clause in their constitution</w:t>
      </w:r>
      <w:r w:rsidR="00DB611B">
        <w:t xml:space="preserve"> (Murry et al., 1998).</w:t>
      </w:r>
      <w:r w:rsidR="00255CD8">
        <w:t xml:space="preserve"> State courts largely coalesced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09D8410"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1/3 of the </w:t>
      </w:r>
      <w:r w:rsidR="00DF7679">
        <w:t xml:space="preserve">school </w:t>
      </w:r>
      <w:r w:rsidR="00C11BF7">
        <w:t>funding goal being met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in order to fulfill the needs of the commonwealth.</w:t>
      </w:r>
    </w:p>
    <w:p w14:paraId="778E2D45" w14:textId="15BC6D76" w:rsidR="00D65EC3" w:rsidRDefault="00D65EC3" w:rsidP="007233AF">
      <w:pPr>
        <w:pStyle w:val="APABodyText"/>
      </w:pPr>
      <w:r>
        <w:tab/>
        <w:t>Two years after the lawsuit had been filed, the General Assembly had passed Act 35 of 2016, which established the aforementioned BEF formula</w:t>
      </w:r>
      <w:r w:rsidR="005B493C">
        <w:t xml:space="preserve"> and its hold-harmless provision. The key problem with this provision is that the baseline was set prior to the enactment of the formula. 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are harmed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7C6BAE96" w:rsidR="009B37AB" w:rsidRDefault="00BB6BAF" w:rsidP="007233AF">
      <w:pPr>
        <w:pStyle w:val="APAHeading1"/>
      </w:pPr>
      <w:r>
        <w:t xml:space="preserve">Josh Shapiro’s </w:t>
      </w:r>
      <w:r w:rsidR="002B1382">
        <w:t>Proposed Budget</w:t>
      </w:r>
    </w:p>
    <w:p w14:paraId="60CF24DC" w14:textId="73111E3E" w:rsidR="009B37AB"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r w:rsidR="00C83CE1">
        <w:t xml:space="preserve"> Shapiro is quoted by Morrison (2024) as saying, “No one here should be OK with an unconstitutional education system for our kids”, highlighting just how salient the</w:t>
      </w:r>
      <w:r w:rsidR="00DF7679">
        <w:t xml:space="preserve"> court</w:t>
      </w:r>
      <w:r w:rsidR="00C83CE1">
        <w:t xml:space="preserve"> ruling is.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t>Data Sources</w:t>
      </w:r>
    </w:p>
    <w:p w14:paraId="3651E5A9" w14:textId="599D3B03" w:rsidR="001150AB" w:rsidRDefault="001150AB" w:rsidP="001150AB">
      <w:pPr>
        <w:pStyle w:val="APABodyText"/>
      </w:pPr>
      <w:r>
        <w:tab/>
        <w:t>The majority of data is sourced from the Pennsylvania Department of Education (PDE). The PDE provides annual financial reports (AFRs) that break down how much revenue schools receive from various federal, state, and local revenue streams. They also provide data on average daily membership (ADM), which is the average number of students through a school year that are in attendance across a school district, as well as weighted ADM, which weights students based on characteristics like being an English language learner and poverty status.</w:t>
      </w:r>
      <w:r w:rsidR="00DF7679">
        <w:t xml:space="preserve"> AFR and attendance data is only publicly available</w:t>
      </w:r>
      <w:r w:rsidR="00C95876">
        <w:t xml:space="preserve"> from the PDE</w:t>
      </w:r>
      <w:r w:rsidR="00DF7679">
        <w:t xml:space="preserve"> through the 2020-2021 school year.</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26245A84" w14:textId="3B46B9BF" w:rsidR="00681210" w:rsidRDefault="004D388C" w:rsidP="00DF7679">
      <w:pPr>
        <w:pStyle w:val="APAHeading2"/>
      </w:pPr>
      <w:r>
        <w:rPr>
          <w:noProof/>
        </w:rPr>
        <w:drawing>
          <wp:anchor distT="0" distB="0" distL="114300" distR="114300" simplePos="0" relativeHeight="251658240" behindDoc="0" locked="0" layoutInCell="1" allowOverlap="1" wp14:anchorId="061592EA" wp14:editId="3020AF80">
            <wp:simplePos x="0" y="0"/>
            <wp:positionH relativeFrom="rightMargin">
              <wp:posOffset>-2971800</wp:posOffset>
            </wp:positionH>
            <wp:positionV relativeFrom="paragraph">
              <wp:posOffset>396028</wp:posOffset>
            </wp:positionV>
            <wp:extent cx="2971800" cy="1783080"/>
            <wp:effectExtent l="19050" t="19050" r="19050" b="26670"/>
            <wp:wrapSquare wrapText="bothSides"/>
            <wp:docPr id="908873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78308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BF7169">
        <w:t>Evaluating the proposal’s effect on rural, suburban, town, and urban districts</w:t>
      </w:r>
    </w:p>
    <w:p w14:paraId="20D193BB" w14:textId="2D841531" w:rsidR="004D388C" w:rsidRDefault="004D388C" w:rsidP="004D388C">
      <w:pPr>
        <w:pStyle w:val="APABodyText"/>
      </w:pPr>
    </w:p>
    <w:p w14:paraId="75C2931C" w14:textId="013BB164" w:rsidR="00681210" w:rsidRDefault="00681210" w:rsidP="007233AF">
      <w:pPr>
        <w:pStyle w:val="APAHeading2"/>
      </w:pPr>
      <w:r>
        <w:t xml:space="preserve">Evaluating whether the proposal furthers racial disparities or offers </w:t>
      </w:r>
      <w:proofErr w:type="gramStart"/>
      <w:r>
        <w:t>remedies</w:t>
      </w:r>
      <w:proofErr w:type="gramEnd"/>
    </w:p>
    <w:p w14:paraId="4ACC03BC" w14:textId="77777777" w:rsidR="00925E87" w:rsidRDefault="00925E87" w:rsidP="00925E87">
      <w:pPr>
        <w:pStyle w:val="APABodyText"/>
      </w:pPr>
    </w:p>
    <w:p w14:paraId="06B09473" w14:textId="2350ACF4" w:rsidR="00681210" w:rsidRDefault="004D388C" w:rsidP="00925E87">
      <w:pPr>
        <w:pStyle w:val="APAHeading2"/>
      </w:pPr>
      <w:r>
        <w:rPr>
          <w:noProof/>
        </w:rPr>
        <mc:AlternateContent>
          <mc:Choice Requires="wps">
            <w:drawing>
              <wp:anchor distT="0" distB="0" distL="114300" distR="114300" simplePos="0" relativeHeight="251660288" behindDoc="0" locked="0" layoutInCell="1" allowOverlap="1" wp14:anchorId="5AF6C2AF" wp14:editId="03BE9A19">
                <wp:simplePos x="0" y="0"/>
                <wp:positionH relativeFrom="column">
                  <wp:posOffset>2971800</wp:posOffset>
                </wp:positionH>
                <wp:positionV relativeFrom="paragraph">
                  <wp:posOffset>328930</wp:posOffset>
                </wp:positionV>
                <wp:extent cx="2971800" cy="457200"/>
                <wp:effectExtent l="0" t="0" r="0" b="0"/>
                <wp:wrapSquare wrapText="bothSides"/>
                <wp:docPr id="1661514894" name="Text Box 1"/>
                <wp:cNvGraphicFramePr/>
                <a:graphic xmlns:a="http://schemas.openxmlformats.org/drawingml/2006/main">
                  <a:graphicData uri="http://schemas.microsoft.com/office/word/2010/wordprocessingShape">
                    <wps:wsp>
                      <wps:cNvSpPr txBox="1"/>
                      <wps:spPr>
                        <a:xfrm>
                          <a:off x="0" y="0"/>
                          <a:ext cx="2971800" cy="457200"/>
                        </a:xfrm>
                        <a:prstGeom prst="rect">
                          <a:avLst/>
                        </a:prstGeom>
                        <a:solidFill>
                          <a:prstClr val="white"/>
                        </a:solidFill>
                        <a:ln>
                          <a:noFill/>
                        </a:ln>
                      </wps:spPr>
                      <wps:txbx>
                        <w:txbxContent>
                          <w:p w14:paraId="21F943E6" w14:textId="38CF8833" w:rsidR="004D388C" w:rsidRPr="004D388C" w:rsidRDefault="004D388C" w:rsidP="004D388C">
                            <w:pPr>
                              <w:pStyle w:val="Caption"/>
                              <w:jc w:val="center"/>
                              <w:rPr>
                                <w:rFonts w:ascii="Tinos" w:eastAsiaTheme="majorEastAsia" w:hAnsi="Tinos" w:cs="Tinos"/>
                                <w:b/>
                                <w:bCs/>
                                <w:noProof/>
                                <w:color w:val="auto"/>
                                <w:szCs w:val="26"/>
                              </w:rPr>
                            </w:pPr>
                            <w:r w:rsidRPr="004D388C">
                              <w:rPr>
                                <w:rFonts w:ascii="Tinos" w:hAnsi="Tinos" w:cs="Tinos"/>
                                <w:color w:val="auto"/>
                              </w:rPr>
                              <w:t xml:space="preserve">Figure </w:t>
                            </w:r>
                            <w:r w:rsidRPr="004D388C">
                              <w:rPr>
                                <w:rFonts w:ascii="Tinos" w:hAnsi="Tinos" w:cs="Tinos"/>
                                <w:color w:val="auto"/>
                              </w:rPr>
                              <w:fldChar w:fldCharType="begin"/>
                            </w:r>
                            <w:r w:rsidRPr="004D388C">
                              <w:rPr>
                                <w:rFonts w:ascii="Tinos" w:hAnsi="Tinos" w:cs="Tinos"/>
                                <w:color w:val="auto"/>
                              </w:rPr>
                              <w:instrText xml:space="preserve"> SEQ Figure \* ARABIC </w:instrText>
                            </w:r>
                            <w:r w:rsidRPr="004D388C">
                              <w:rPr>
                                <w:rFonts w:ascii="Tinos" w:hAnsi="Tinos" w:cs="Tinos"/>
                                <w:color w:val="auto"/>
                              </w:rPr>
                              <w:fldChar w:fldCharType="separate"/>
                            </w:r>
                            <w:r w:rsidRPr="004D388C">
                              <w:rPr>
                                <w:rFonts w:ascii="Tinos" w:hAnsi="Tinos" w:cs="Tinos"/>
                                <w:noProof/>
                                <w:color w:val="auto"/>
                              </w:rPr>
                              <w:t>1</w:t>
                            </w:r>
                            <w:r w:rsidRPr="004D388C">
                              <w:rPr>
                                <w:rFonts w:ascii="Tinos" w:hAnsi="Tinos" w:cs="Tinos"/>
                                <w:color w:val="auto"/>
                              </w:rPr>
                              <w:fldChar w:fldCharType="end"/>
                            </w:r>
                            <w:r w:rsidRPr="004D388C">
                              <w:rPr>
                                <w:rFonts w:ascii="Tinos" w:hAnsi="Tinos" w:cs="Tinos"/>
                                <w:color w:val="auto"/>
                              </w:rPr>
                              <w:t>: Median Actual Instruction Expense (AIE) per Weighted Average Daily Membership (WADM) from the 2014-15 school year to the 2020-21 school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F6C2AF" id="_x0000_t202" coordsize="21600,21600" o:spt="202" path="m,l,21600r21600,l21600,xe">
                <v:stroke joinstyle="miter"/>
                <v:path gradientshapeok="t" o:connecttype="rect"/>
              </v:shapetype>
              <v:shape id="Text Box 1" o:spid="_x0000_s1026" type="#_x0000_t202" style="position:absolute;margin-left:234pt;margin-top:25.9pt;width:234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" stroked="f">
                <v:textbox inset="0,0,0,0">
                  <w:txbxContent>
                    <w:p w14:paraId="21F943E6" w14:textId="38CF8833" w:rsidR="004D388C" w:rsidRPr="004D388C" w:rsidRDefault="004D388C" w:rsidP="004D388C">
                      <w:pPr>
                        <w:pStyle w:val="Caption"/>
                        <w:jc w:val="center"/>
                        <w:rPr>
                          <w:rFonts w:ascii="Tinos" w:eastAsiaTheme="majorEastAsia" w:hAnsi="Tinos" w:cs="Tinos"/>
                          <w:b/>
                          <w:bCs/>
                          <w:noProof/>
                          <w:color w:val="auto"/>
                          <w:szCs w:val="26"/>
                        </w:rPr>
                      </w:pPr>
                      <w:r w:rsidRPr="004D388C">
                        <w:rPr>
                          <w:rFonts w:ascii="Tinos" w:hAnsi="Tinos" w:cs="Tinos"/>
                          <w:color w:val="auto"/>
                        </w:rPr>
                        <w:t xml:space="preserve">Figure </w:t>
                      </w:r>
                      <w:r w:rsidRPr="004D388C">
                        <w:rPr>
                          <w:rFonts w:ascii="Tinos" w:hAnsi="Tinos" w:cs="Tinos"/>
                          <w:color w:val="auto"/>
                        </w:rPr>
                        <w:fldChar w:fldCharType="begin"/>
                      </w:r>
                      <w:r w:rsidRPr="004D388C">
                        <w:rPr>
                          <w:rFonts w:ascii="Tinos" w:hAnsi="Tinos" w:cs="Tinos"/>
                          <w:color w:val="auto"/>
                        </w:rPr>
                        <w:instrText xml:space="preserve"> SEQ Figure \* ARABIC </w:instrText>
                      </w:r>
                      <w:r w:rsidRPr="004D388C">
                        <w:rPr>
                          <w:rFonts w:ascii="Tinos" w:hAnsi="Tinos" w:cs="Tinos"/>
                          <w:color w:val="auto"/>
                        </w:rPr>
                        <w:fldChar w:fldCharType="separate"/>
                      </w:r>
                      <w:r w:rsidRPr="004D388C">
                        <w:rPr>
                          <w:rFonts w:ascii="Tinos" w:hAnsi="Tinos" w:cs="Tinos"/>
                          <w:noProof/>
                          <w:color w:val="auto"/>
                        </w:rPr>
                        <w:t>1</w:t>
                      </w:r>
                      <w:r w:rsidRPr="004D388C">
                        <w:rPr>
                          <w:rFonts w:ascii="Tinos" w:hAnsi="Tinos" w:cs="Tinos"/>
                          <w:color w:val="auto"/>
                        </w:rPr>
                        <w:fldChar w:fldCharType="end"/>
                      </w:r>
                      <w:r w:rsidRPr="004D388C">
                        <w:rPr>
                          <w:rFonts w:ascii="Tinos" w:hAnsi="Tinos" w:cs="Tinos"/>
                          <w:color w:val="auto"/>
                        </w:rPr>
                        <w:t>: Median Actual Instruction Expense (AIE) per Weighted Average Daily Membership (WADM) from the 2014-15 school year to the 2020-21 school year.</w:t>
                      </w:r>
                    </w:p>
                  </w:txbxContent>
                </v:textbox>
                <w10:wrap type="square"/>
              </v:shape>
            </w:pict>
          </mc:Fallback>
        </mc:AlternateContent>
      </w:r>
      <w:r w:rsidR="00925E87">
        <w:t>Evaluating disparities between poor and wealthy school districts</w:t>
      </w:r>
    </w:p>
    <w:p w14:paraId="75020F24" w14:textId="77777777" w:rsidR="00925E87" w:rsidRDefault="00925E87" w:rsidP="00925E87">
      <w:pPr>
        <w:pStyle w:val="APABodyText"/>
      </w:pPr>
    </w:p>
    <w:p w14:paraId="1D55B691" w14:textId="0281D1A8" w:rsidR="000C338D" w:rsidRDefault="000C338D" w:rsidP="000C338D">
      <w:pPr>
        <w:pStyle w:val="APAHeading1"/>
      </w:pPr>
      <w:r>
        <w:t>Concluding Recommendations</w:t>
      </w:r>
    </w:p>
    <w:p w14:paraId="546870E4" w14:textId="5A8224FC" w:rsidR="000C338D" w:rsidRPr="00AC40C2" w:rsidRDefault="000C338D" w:rsidP="000C338D">
      <w:pPr>
        <w:pStyle w:val="APABodyText"/>
      </w:pPr>
    </w:p>
    <w:sectPr w:rsidR="000C338D" w:rsidRPr="00AC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 w:numId="2" w16cid:durableId="61258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41B65"/>
    <w:rsid w:val="000B1950"/>
    <w:rsid w:val="000C338D"/>
    <w:rsid w:val="000D1C54"/>
    <w:rsid w:val="000D6E73"/>
    <w:rsid w:val="000F6E2E"/>
    <w:rsid w:val="001150AB"/>
    <w:rsid w:val="00140811"/>
    <w:rsid w:val="00163A9B"/>
    <w:rsid w:val="00171E1F"/>
    <w:rsid w:val="00177866"/>
    <w:rsid w:val="001F10CD"/>
    <w:rsid w:val="00250FEC"/>
    <w:rsid w:val="00255CD8"/>
    <w:rsid w:val="002B1382"/>
    <w:rsid w:val="0030701F"/>
    <w:rsid w:val="00373D10"/>
    <w:rsid w:val="00412DB3"/>
    <w:rsid w:val="00487100"/>
    <w:rsid w:val="004A38C4"/>
    <w:rsid w:val="004C1BFD"/>
    <w:rsid w:val="004C53F7"/>
    <w:rsid w:val="004D388C"/>
    <w:rsid w:val="005038C6"/>
    <w:rsid w:val="00520D7A"/>
    <w:rsid w:val="005B493C"/>
    <w:rsid w:val="005C1BE8"/>
    <w:rsid w:val="00617AB4"/>
    <w:rsid w:val="0064421A"/>
    <w:rsid w:val="00681210"/>
    <w:rsid w:val="006F5294"/>
    <w:rsid w:val="00716E37"/>
    <w:rsid w:val="00721608"/>
    <w:rsid w:val="007233AF"/>
    <w:rsid w:val="0072696A"/>
    <w:rsid w:val="00751823"/>
    <w:rsid w:val="007A0D1C"/>
    <w:rsid w:val="0082280C"/>
    <w:rsid w:val="008570ED"/>
    <w:rsid w:val="008577C4"/>
    <w:rsid w:val="00860BE6"/>
    <w:rsid w:val="008C6257"/>
    <w:rsid w:val="008F0063"/>
    <w:rsid w:val="00925E87"/>
    <w:rsid w:val="00954272"/>
    <w:rsid w:val="00982BBF"/>
    <w:rsid w:val="009B37AB"/>
    <w:rsid w:val="00A147B2"/>
    <w:rsid w:val="00AA25BA"/>
    <w:rsid w:val="00AC40C2"/>
    <w:rsid w:val="00AE5E69"/>
    <w:rsid w:val="00B23390"/>
    <w:rsid w:val="00B6073B"/>
    <w:rsid w:val="00BB6BAF"/>
    <w:rsid w:val="00BC449B"/>
    <w:rsid w:val="00BC71FE"/>
    <w:rsid w:val="00BE210D"/>
    <w:rsid w:val="00BF7169"/>
    <w:rsid w:val="00C071E6"/>
    <w:rsid w:val="00C11BF7"/>
    <w:rsid w:val="00C836B7"/>
    <w:rsid w:val="00C83CE1"/>
    <w:rsid w:val="00C95876"/>
    <w:rsid w:val="00CA5038"/>
    <w:rsid w:val="00CD536F"/>
    <w:rsid w:val="00D65EC3"/>
    <w:rsid w:val="00D8295D"/>
    <w:rsid w:val="00DB611B"/>
    <w:rsid w:val="00DB72AF"/>
    <w:rsid w:val="00DF7679"/>
    <w:rsid w:val="00E574E1"/>
    <w:rsid w:val="00EB5AFA"/>
    <w:rsid w:val="00EB7EEA"/>
    <w:rsid w:val="00EC6BD7"/>
    <w:rsid w:val="00EE0D82"/>
    <w:rsid w:val="00F442B5"/>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 w:type="paragraph" w:styleId="Caption">
    <w:name w:val="caption"/>
    <w:basedOn w:val="Normal"/>
    <w:next w:val="Normal"/>
    <w:uiPriority w:val="35"/>
    <w:unhideWhenUsed/>
    <w:qFormat/>
    <w:rsid w:val="004D388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1450</Words>
  <Characters>8269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How are schools funded in Pennsylvania?</vt:lpstr>
      <vt:lpstr>School funding as a problem</vt:lpstr>
      <vt:lpstr>    Why does funding matter?</vt:lpstr>
      <vt:lpstr>    Getting court mandates to reform school funding</vt:lpstr>
      <vt:lpstr>    Pennsylvania’s and its “McDonald’s Career Track” students</vt:lpstr>
      <vt:lpstr>Josh Shapiro’s Proposed Budget</vt:lpstr>
      <vt:lpstr>What does this proposal mean for Pennsylvania schools?</vt:lpstr>
      <vt:lpstr>    Data Sources</vt:lpstr>
      <vt:lpstr>    /Evaluating the proposal’s effect on rural, suburban, town, and urban districts</vt:lpstr>
      <vt:lpstr>    Evaluating whether the proposal furthers racial disparities or offers remedies</vt:lpstr>
      <vt:lpstr>    /Evaluating disparities between poor and wealthy school districts</vt:lpstr>
      <vt:lpstr>Concluding Recommendations</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46</cp:revision>
  <dcterms:created xsi:type="dcterms:W3CDTF">2024-04-06T20:23:00Z</dcterms:created>
  <dcterms:modified xsi:type="dcterms:W3CDTF">2024-04-12T13:25:00Z</dcterms:modified>
</cp:coreProperties>
</file>