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4441" w14:textId="4839C5B4" w:rsidR="00CD536F" w:rsidRDefault="00AC40C2" w:rsidP="007233AF">
      <w:pPr>
        <w:spacing w:line="480" w:lineRule="auto"/>
        <w:rPr>
          <w:rFonts w:ascii="Tinos" w:hAnsi="Tinos" w:cs="Tinos"/>
          <w:b/>
          <w:bCs/>
          <w:sz w:val="24"/>
          <w:szCs w:val="24"/>
        </w:rPr>
      </w:pPr>
      <w:r>
        <w:rPr>
          <w:rFonts w:ascii="Tinos" w:hAnsi="Tinos" w:cs="Tinos"/>
          <w:b/>
          <w:bCs/>
          <w:sz w:val="24"/>
          <w:szCs w:val="24"/>
        </w:rPr>
        <w:t>Michael Cattell</w:t>
      </w:r>
    </w:p>
    <w:p w14:paraId="3A6F5444" w14:textId="56FBD995" w:rsidR="00AC40C2" w:rsidRDefault="00AC40C2" w:rsidP="007233AF">
      <w:pPr>
        <w:spacing w:line="480" w:lineRule="auto"/>
        <w:rPr>
          <w:rFonts w:ascii="Tinos" w:hAnsi="Tinos" w:cs="Tinos"/>
          <w:b/>
          <w:bCs/>
          <w:sz w:val="24"/>
          <w:szCs w:val="24"/>
        </w:rPr>
      </w:pPr>
      <w:r>
        <w:rPr>
          <w:rFonts w:ascii="Tinos" w:hAnsi="Tinos" w:cs="Tinos"/>
          <w:b/>
          <w:bCs/>
          <w:sz w:val="24"/>
          <w:szCs w:val="24"/>
        </w:rPr>
        <w:t>EDTHP 518 Policy Analysis Paper</w:t>
      </w:r>
    </w:p>
    <w:p w14:paraId="54B8D1D0" w14:textId="3A79D2F7" w:rsidR="00AC40C2" w:rsidRDefault="00AC40C2" w:rsidP="007233AF">
      <w:pPr>
        <w:spacing w:line="480" w:lineRule="auto"/>
        <w:rPr>
          <w:rFonts w:ascii="Tinos" w:hAnsi="Tinos" w:cs="Tinos"/>
          <w:b/>
          <w:bCs/>
          <w:sz w:val="24"/>
          <w:szCs w:val="24"/>
        </w:rPr>
      </w:pPr>
      <w:r>
        <w:rPr>
          <w:rFonts w:ascii="Tinos" w:hAnsi="Tinos" w:cs="Tinos"/>
          <w:b/>
          <w:bCs/>
          <w:sz w:val="24"/>
          <w:szCs w:val="24"/>
        </w:rPr>
        <w:t>April 10, 2024</w:t>
      </w:r>
    </w:p>
    <w:p w14:paraId="7B8523BC" w14:textId="6104B079" w:rsidR="00AC40C2" w:rsidRDefault="00AC40C2" w:rsidP="007233AF">
      <w:pPr>
        <w:pStyle w:val="APAHeading1"/>
      </w:pPr>
      <w:r>
        <w:t>Introduction</w:t>
      </w:r>
    </w:p>
    <w:p w14:paraId="393CE76A" w14:textId="3D6032DE" w:rsidR="00163A9B" w:rsidRDefault="009B37AB" w:rsidP="007233AF">
      <w:pPr>
        <w:pStyle w:val="APABodyText"/>
      </w:pPr>
      <w:r>
        <w:tab/>
      </w:r>
      <w:r w:rsidR="00163A9B">
        <w:t xml:space="preserve">John Krill stood in a Harrisburg courtroom and posed a question to Matthew Splain: </w:t>
      </w:r>
      <w:r w:rsidR="00163A9B" w:rsidRPr="00163A9B">
        <w:rPr>
          <w:i/>
          <w:iCs/>
        </w:rPr>
        <w:t>“What use would someone on the McDonald’s career track have for Algebra 1?</w:t>
      </w:r>
      <w:r w:rsidR="00163A9B">
        <w:rPr>
          <w:i/>
          <w:iCs/>
        </w:rPr>
        <w:t>”</w:t>
      </w:r>
      <w:r w:rsidR="00163A9B">
        <w:t xml:space="preserve"> The lawyer for the Pennsylvania Senate President Pro Tempore’s line of question to the superintendent of </w:t>
      </w:r>
      <w:r w:rsidR="00163A9B">
        <w:t>Otto-Eldred School District</w:t>
      </w:r>
      <w:r w:rsidR="00163A9B">
        <w:t xml:space="preserve"> was in opposition of increasing school funding in the midst of a landmark school funding lawsuit challenging the way Pennsylvania allocated school funds. Krill argued that “…[Pennsylvania] has many needs”, so why should Pennsylvania fund schools in a way that would divert would-be retail employees making minimum wage towards a </w:t>
      </w:r>
      <w:r w:rsidR="005038C6">
        <w:t xml:space="preserve">possibly </w:t>
      </w:r>
      <w:r w:rsidR="00163A9B">
        <w:t>more lucrative engineering job?</w:t>
      </w:r>
    </w:p>
    <w:p w14:paraId="0B6F2DB7" w14:textId="20743E8D" w:rsidR="005038C6" w:rsidRDefault="005038C6" w:rsidP="007233AF">
      <w:pPr>
        <w:pStyle w:val="APABodyText"/>
      </w:pPr>
      <w:r>
        <w:tab/>
        <w:t xml:space="preserve">Ultimately, however, John Krill and other lawyers for Pennsylvania Republicans would be unsuccessful, and </w:t>
      </w:r>
      <w:r w:rsidRPr="005038C6">
        <w:t>Commonwealth Court Judge Renee Cohn Jubilerer</w:t>
      </w:r>
      <w:r>
        <w:t xml:space="preserve"> would rule that Pennsylvania’s method of allocating school funds is not in line with the commonwealth’s own constitutional mandate to provide a “…thorough and efficient system of public schooling…”.</w:t>
      </w:r>
      <w:r w:rsidR="00617AB4">
        <w:t xml:space="preserve"> The ruling would require the commonwealth to increase school funding and remedy disparities that have been perpetuated in the past.</w:t>
      </w:r>
    </w:p>
    <w:p w14:paraId="0C58C6AB" w14:textId="2FF32401" w:rsidR="00617AB4" w:rsidRPr="00163A9B" w:rsidRDefault="00617AB4" w:rsidP="007233AF">
      <w:pPr>
        <w:pStyle w:val="APABodyText"/>
      </w:pPr>
      <w:r>
        <w:tab/>
        <w:t>Pennsylvania’s governor, Josh Shapiro, proposed a budget in February of 2024 that purports to be “historic”. A statement released by Shapiro’s office claims that his budget includes a $1,100,000,000 increase in the Basic Education Funding allocation, $900,000,000 of which goes towards a “first-year adequacy investment”; the remaining is allocated via a formula previously passed by the Pennsylvania General Assembly.</w:t>
      </w:r>
    </w:p>
    <w:p w14:paraId="4DF786EB" w14:textId="0327F1EA" w:rsidR="0082280C" w:rsidRPr="009B37AB" w:rsidRDefault="002B1382" w:rsidP="007233AF">
      <w:pPr>
        <w:pStyle w:val="APAHeading1"/>
      </w:pPr>
      <w:r>
        <w:lastRenderedPageBreak/>
        <w:t>How are schools funded in Pennsylvania</w:t>
      </w:r>
      <w:r w:rsidR="00BB6BAF">
        <w:t>?</w:t>
      </w:r>
    </w:p>
    <w:p w14:paraId="12FCD331" w14:textId="4CF1ACAC" w:rsidR="00BB6BAF" w:rsidRDefault="002B1382" w:rsidP="007233AF">
      <w:pPr>
        <w:pStyle w:val="APABodyText"/>
      </w:pPr>
      <w:r>
        <w:tab/>
      </w:r>
      <w:r w:rsidR="0072696A">
        <w:t>A significant portion of Pennsylvania’s allocation to its public schools comes from the Basic Education Funding (BEF) formula outlined in Act 35 of 2016</w:t>
      </w:r>
      <w:r w:rsidR="00F87045">
        <w:t xml:space="preserve">. </w:t>
      </w:r>
      <w:r w:rsidR="008577C4">
        <w:t>This formula weights students and their communities based on the following characteristics:</w:t>
      </w:r>
    </w:p>
    <w:p w14:paraId="5E32E719" w14:textId="0B006B98" w:rsidR="008577C4" w:rsidRDefault="008577C4" w:rsidP="008577C4">
      <w:pPr>
        <w:pStyle w:val="APABodyText"/>
        <w:numPr>
          <w:ilvl w:val="0"/>
          <w:numId w:val="2"/>
        </w:numPr>
      </w:pPr>
      <w:r>
        <w:t>What the student’s poverty status is,</w:t>
      </w:r>
    </w:p>
    <w:p w14:paraId="0FC8DBA5" w14:textId="71D19A49" w:rsidR="008577C4" w:rsidRDefault="008577C4" w:rsidP="008577C4">
      <w:pPr>
        <w:pStyle w:val="APABodyText"/>
        <w:numPr>
          <w:ilvl w:val="0"/>
          <w:numId w:val="2"/>
        </w:numPr>
      </w:pPr>
      <w:r>
        <w:t>Whether a student is limited in their English proficiency,</w:t>
      </w:r>
    </w:p>
    <w:p w14:paraId="0384FBF6" w14:textId="468C39B0" w:rsidR="008577C4" w:rsidRDefault="008577C4" w:rsidP="008577C4">
      <w:pPr>
        <w:pStyle w:val="APABodyText"/>
        <w:numPr>
          <w:ilvl w:val="0"/>
          <w:numId w:val="2"/>
        </w:numPr>
      </w:pPr>
      <w:r>
        <w:t>Whether a student is attending a charter school in the district,</w:t>
      </w:r>
    </w:p>
    <w:p w14:paraId="3E895D62" w14:textId="06B472D7" w:rsidR="008577C4" w:rsidRDefault="008577C4" w:rsidP="008577C4">
      <w:pPr>
        <w:pStyle w:val="APABodyText"/>
        <w:numPr>
          <w:ilvl w:val="0"/>
          <w:numId w:val="2"/>
        </w:numPr>
      </w:pPr>
      <w:r>
        <w:t>How rural or urban the school district as a whole is,</w:t>
      </w:r>
    </w:p>
    <w:p w14:paraId="2CEF20AB" w14:textId="6BB77157" w:rsidR="008577C4" w:rsidRDefault="00954272" w:rsidP="008577C4">
      <w:pPr>
        <w:pStyle w:val="APABodyText"/>
        <w:numPr>
          <w:ilvl w:val="0"/>
          <w:numId w:val="2"/>
        </w:numPr>
      </w:pPr>
      <w:r>
        <w:t>The wealth of the community,</w:t>
      </w:r>
    </w:p>
    <w:p w14:paraId="1D91E13B" w14:textId="533BD790" w:rsidR="00954272" w:rsidRDefault="00954272" w:rsidP="008577C4">
      <w:pPr>
        <w:pStyle w:val="APABodyText"/>
        <w:numPr>
          <w:ilvl w:val="0"/>
          <w:numId w:val="2"/>
        </w:numPr>
      </w:pPr>
      <w:r>
        <w:t>The capacity of the school district to raise revenue through local sources like property taxes.</w:t>
      </w:r>
    </w:p>
    <w:p w14:paraId="02D35807" w14:textId="2C53BEC2" w:rsidR="00954272" w:rsidRDefault="00954272" w:rsidP="00AE5E69">
      <w:pPr>
        <w:pStyle w:val="APABodyText"/>
        <w:ind w:firstLine="360"/>
      </w:pPr>
      <w:r>
        <w:t>One of the most notable aspects of this formula, however, is the inclusion of a “hold-harmless” provision. This means that schools cannot receive less money than they received the year before, with the funding allocation from a year before the formula’s enactment being the baseline</w:t>
      </w:r>
      <w:r w:rsidR="00FC3371">
        <w:t>.</w:t>
      </w:r>
    </w:p>
    <w:p w14:paraId="27547527" w14:textId="329FB6E9" w:rsidR="00860BE6" w:rsidRDefault="00250FEC" w:rsidP="007233AF">
      <w:pPr>
        <w:pStyle w:val="APAHeading1"/>
      </w:pPr>
      <w:r>
        <w:t>School funding as a problem</w:t>
      </w:r>
    </w:p>
    <w:p w14:paraId="748BF0BB" w14:textId="08625F80" w:rsidR="00B6073B" w:rsidRPr="00A147B2" w:rsidRDefault="00B6073B" w:rsidP="007233AF">
      <w:pPr>
        <w:pStyle w:val="APABodyText"/>
      </w:pPr>
      <w:r>
        <w:tab/>
        <w:t xml:space="preserve">School funding is not an issue confined to Pennsylvania, but rather something that </w:t>
      </w:r>
      <w:r w:rsidR="00250FEC">
        <w:t>has permeated in the U.S. education system for decades</w:t>
      </w:r>
      <w:r w:rsidR="0064421A">
        <w:t xml:space="preserve">. </w:t>
      </w:r>
      <w:r w:rsidR="00250FEC">
        <w:t xml:space="preserve">Despite </w:t>
      </w:r>
      <w:r w:rsidR="007233AF">
        <w:t>research</w:t>
      </w:r>
      <w:r w:rsidR="00250FEC">
        <w:t xml:space="preserve"> showing</w:t>
      </w:r>
      <w:r w:rsidR="0064421A">
        <w:t xml:space="preserve"> benefits to increased school funding, </w:t>
      </w:r>
      <w:r w:rsidR="007233AF">
        <w:t xml:space="preserve">states like Pennsylvania tend to give schools too few resources to accomplish too many goals, forcing schools to rely </w:t>
      </w:r>
      <w:r w:rsidR="00721608">
        <w:t>on local revenue that is typically raised primarily through property taxes</w:t>
      </w:r>
      <w:r w:rsidR="007233AF">
        <w:t>.</w:t>
      </w:r>
      <w:r w:rsidR="00A147B2">
        <w:t xml:space="preserve"> Pennsylvania, for example, recently had its school funding system found unconstitutional by a state court, leading to proposals to</w:t>
      </w:r>
      <w:r w:rsidR="004C1BFD">
        <w:t xml:space="preserve"> increase funding and</w:t>
      </w:r>
      <w:r w:rsidR="00A147B2">
        <w:t xml:space="preserve"> change how schools are funded in the commonwealth.</w:t>
      </w:r>
    </w:p>
    <w:p w14:paraId="7BD6F97F" w14:textId="08E2C3C0" w:rsidR="00250FEC" w:rsidRDefault="00250FEC" w:rsidP="007233AF">
      <w:pPr>
        <w:pStyle w:val="APAHeading2"/>
      </w:pPr>
      <w:r>
        <w:t>Why does funding matter?</w:t>
      </w:r>
    </w:p>
    <w:p w14:paraId="2C40E9F5" w14:textId="77777777" w:rsidR="00B6073B" w:rsidRDefault="00860BE6" w:rsidP="007233AF">
      <w:pPr>
        <w:pStyle w:val="APABodyText"/>
      </w:pPr>
      <w:r>
        <w:tab/>
        <w:t xml:space="preserve">Whether school funding matters for students has been a question percolating within education for several decades. Modern discussion of school finance can be traced back to the </w:t>
      </w:r>
      <w:r>
        <w:rPr>
          <w:i/>
          <w:iCs/>
        </w:rPr>
        <w:t>Equality of Educational Opportunity</w:t>
      </w:r>
      <w:r>
        <w:t xml:space="preserve"> report, colloquially known as the </w:t>
      </w:r>
      <w:r>
        <w:rPr>
          <w:i/>
          <w:iCs/>
        </w:rPr>
        <w:t>Coleman Report</w:t>
      </w:r>
      <w:r>
        <w:t xml:space="preserve"> (Hutt, 2017; Kantor &amp; Lowe, 2017; Downey &amp; Condron, 2016). The </w:t>
      </w:r>
      <w:r>
        <w:rPr>
          <w:i/>
          <w:iCs/>
        </w:rPr>
        <w:t>Coleman Report</w:t>
      </w:r>
      <w:r>
        <w:t xml:space="preserve"> was commissioned by the U.S. Congress and stated that schools </w:t>
      </w:r>
      <w:r w:rsidR="00C836B7">
        <w:t>have a smaller</w:t>
      </w:r>
      <w:r>
        <w:t xml:space="preserve"> influence on student outcomes and achievement gaps </w:t>
      </w:r>
      <w:r w:rsidR="00C836B7">
        <w:t xml:space="preserve">along racial and class lines </w:t>
      </w:r>
      <w:r>
        <w:t>as out-of-school environments (Downey &amp; Condron, 2016).</w:t>
      </w:r>
    </w:p>
    <w:p w14:paraId="783E0ADB" w14:textId="6BCC7D3F" w:rsidR="00860BE6" w:rsidRDefault="00860BE6" w:rsidP="007233AF">
      <w:pPr>
        <w:pStyle w:val="APABodyText"/>
        <w:ind w:firstLine="720"/>
      </w:pPr>
      <w:r>
        <w:t xml:space="preserve">Since then, a wealth of research has come out that has, over time, found that schools do play a role in students’ </w:t>
      </w:r>
      <w:r w:rsidR="00B6073B">
        <w:t xml:space="preserve">life outcomes and that increasing school funding can improve those outcomes. Specifically, better school funding can improve student performance (Lafortune et al., 2018), postsecondary degree attainment (Hyman, 2017), lower the chance a student ends up in poverty (Jackson et al., 2015), and </w:t>
      </w:r>
      <w:r w:rsidR="007233AF">
        <w:t>increase their future income post-graduation (Jackson et al., 2015). Additionally, increasing student exposure to high quality teachers can improve their post-graduation outcomes (Chetty et al., 2014), which can be achieved in part through increasing teacher salary by increasing school funding</w:t>
      </w:r>
      <w:r w:rsidR="00721608">
        <w:t>.</w:t>
      </w:r>
    </w:p>
    <w:p w14:paraId="3CFF27F4" w14:textId="43DBAC53" w:rsidR="00520D7A" w:rsidRDefault="00520D7A" w:rsidP="007233AF">
      <w:pPr>
        <w:pStyle w:val="APAHeading2"/>
      </w:pPr>
      <w:r>
        <w:t xml:space="preserve">Getting </w:t>
      </w:r>
      <w:r w:rsidR="00982BBF">
        <w:t>court mandates to reform school funding</w:t>
      </w:r>
    </w:p>
    <w:p w14:paraId="512D870B" w14:textId="337A3239" w:rsidR="00520D7A" w:rsidRPr="00982BBF" w:rsidRDefault="00982BBF" w:rsidP="00982BBF">
      <w:pPr>
        <w:pStyle w:val="APABodyText"/>
      </w:pPr>
      <w:r>
        <w:tab/>
      </w:r>
      <w:r w:rsidR="006F5294">
        <w:t xml:space="preserve">The U.S. Supreme Court’s landmark ruling in </w:t>
      </w:r>
      <w:r w:rsidR="006F5294">
        <w:rPr>
          <w:i/>
          <w:iCs/>
        </w:rPr>
        <w:t>San Antonio v. Rodriguez</w:t>
      </w:r>
      <w:r w:rsidR="006F5294">
        <w:t xml:space="preserve"> (1973) dealt two blows to education advocates: under the U.S. Constitution, wealth is not a protected class and education is not a fundamental right protected by the Constitution (Library of Congress, n.d.). This effectively removed federal courts from being able to remedy school funding disparities.</w:t>
      </w:r>
      <w:r w:rsidR="00412DB3">
        <w:t xml:space="preserve"> School funding advocates were then forced to move to state courts that were more friendly to school funding lawsuits, due in large part to many states have a public education clause in their constitution</w:t>
      </w:r>
      <w:r w:rsidR="00DB611B">
        <w:t xml:space="preserve"> (Murry et al., 1998).</w:t>
      </w:r>
      <w:r w:rsidR="00255CD8">
        <w:t xml:space="preserve"> State courts largely coalesced around states needing to allocate “adequate” funds so that students would be able to meet standards set by the state (Murry et al., 1998; Candelaria &amp; Shores, 2019).</w:t>
      </w:r>
      <w:r w:rsidR="00EB7EEA">
        <w:t xml:space="preserve"> Following court mandates, poorer schools generally received more money while wealthier schools’ allocation remained largely unchanged</w:t>
      </w:r>
      <w:r w:rsidR="00CA5038">
        <w:t xml:space="preserve"> (Murry et al., 1998). </w:t>
      </w:r>
      <w:r w:rsidR="00C071E6">
        <w:t>Schools subsequently saw improvements in graduation rates and spending per student (Candelaria &amp; Shores, 2019).</w:t>
      </w:r>
    </w:p>
    <w:p w14:paraId="0B100FEB" w14:textId="47C35B5F" w:rsidR="00520D7A" w:rsidRDefault="007233AF" w:rsidP="000C338D">
      <w:pPr>
        <w:pStyle w:val="APAHeading2"/>
      </w:pPr>
      <w:r>
        <w:t xml:space="preserve">Pennsylvania’s </w:t>
      </w:r>
      <w:r w:rsidR="000C338D">
        <w:t xml:space="preserve">and its </w:t>
      </w:r>
      <w:r>
        <w:t xml:space="preserve">“McDonald’s </w:t>
      </w:r>
      <w:r w:rsidR="00EB5AFA">
        <w:t>C</w:t>
      </w:r>
      <w:r>
        <w:t>areer Track” students</w:t>
      </w:r>
    </w:p>
    <w:p w14:paraId="06374820" w14:textId="753C5860" w:rsidR="00EB5AFA" w:rsidRDefault="00EC6BD7" w:rsidP="007233AF">
      <w:pPr>
        <w:pStyle w:val="APABodyText"/>
      </w:pPr>
      <w:r>
        <w:tab/>
      </w:r>
      <w:r w:rsidR="00EB5AFA">
        <w:t xml:space="preserve">In the last 20 years, Pennsylvania has seen various changes in the way its schools are funded. Steinberg &amp; Quinn (2015) found that despite increased state education spending from 2001 to 2011, disparities in school funding persisted. </w:t>
      </w:r>
      <w:r w:rsidR="005C1BE8">
        <w:t>These disparities tended to be between smaller and larger districts, with smaller districts benefitting from increased state spending more than their larger counterparts.</w:t>
      </w:r>
      <w:r w:rsidR="00C11BF7">
        <w:t xml:space="preserve"> Significant cuts to state education funding occurred in 2011, however, with only about 1/3 of the funding goal being met by the state (Kelly &amp; Maselli, 2023).</w:t>
      </w:r>
    </w:p>
    <w:p w14:paraId="26350412" w14:textId="22C87B54" w:rsidR="00520D7A" w:rsidRDefault="00140811" w:rsidP="00EB5AFA">
      <w:pPr>
        <w:pStyle w:val="APABodyText"/>
        <w:ind w:firstLine="720"/>
      </w:pPr>
      <w:r>
        <w:t>Three years later, in</w:t>
      </w:r>
      <w:r w:rsidR="00FC3371">
        <w:t xml:space="preserve"> 2014, six school districts brought a lawsuit against Pennsylvania, alleging that the state had not fulfilled its obligation under the commonwealth’s constitution to appropriately fund its schools (Hanna et al., 2021).</w:t>
      </w:r>
      <w:r w:rsidR="00D65EC3">
        <w:t xml:space="preserve"> During this the course of the trial, lawyers for Republican leaders in the General Assembly, such as John Krill, argued that the state had met its obligation, as the state needed students to be on the “McDonald’s career track” in order to fulfill the needs of the commonwealth.</w:t>
      </w:r>
    </w:p>
    <w:p w14:paraId="778E2D45" w14:textId="15BC6D76" w:rsidR="00D65EC3" w:rsidRDefault="00D65EC3" w:rsidP="007233AF">
      <w:pPr>
        <w:pStyle w:val="APABodyText"/>
      </w:pPr>
      <w:r>
        <w:tab/>
        <w:t>Two years after the lawsuit had been filed, the General Assembly had passed Act 35 of 2016, which established the aforementioned BEF formula</w:t>
      </w:r>
      <w:r w:rsidR="005B493C">
        <w:t xml:space="preserve"> and its hold-harmless provision. The key problem with this provision is that the baseline was set prior to the enactment of the formula. Kelly (2021) found that this provision disproportionately harmed 149 of the 500 Pennsylvania school districts; 77% of Black students and 82% of Latinx students in Pennsylvania attend school within these districts, meaning that the vast majority of Black and Latinx students in Pennsylvania are harmed by this policy.</w:t>
      </w:r>
    </w:p>
    <w:p w14:paraId="647A9E72" w14:textId="51836E0C" w:rsidR="0030701F" w:rsidRPr="00EB5AFA" w:rsidRDefault="0030701F" w:rsidP="007233AF">
      <w:pPr>
        <w:pStyle w:val="APABodyText"/>
      </w:pPr>
      <w:r>
        <w:tab/>
        <w:t>A little over one year after the trial began</w:t>
      </w:r>
      <w:r w:rsidR="00EB5AFA">
        <w:t xml:space="preserve"> in 2021</w:t>
      </w:r>
      <w:r>
        <w:t>, Pennsylvania’s school funding system was found unconstitutional according to the commonwealth’s constitution.</w:t>
      </w:r>
      <w:r w:rsidR="00EB5AFA">
        <w:t xml:space="preserve"> </w:t>
      </w:r>
    </w:p>
    <w:p w14:paraId="7233634E" w14:textId="7C6BAE96" w:rsidR="009B37AB" w:rsidRDefault="00BB6BAF" w:rsidP="007233AF">
      <w:pPr>
        <w:pStyle w:val="APAHeading1"/>
      </w:pPr>
      <w:r>
        <w:t xml:space="preserve">Josh Shapiro’s </w:t>
      </w:r>
      <w:r w:rsidR="002B1382">
        <w:t>Proposed Budget</w:t>
      </w:r>
    </w:p>
    <w:p w14:paraId="60CF24DC" w14:textId="323EB698" w:rsidR="009B37AB" w:rsidRDefault="00EE0D82" w:rsidP="007233AF">
      <w:pPr>
        <w:pStyle w:val="APABodyText"/>
      </w:pPr>
      <w:r>
        <w:tab/>
        <w:t xml:space="preserve">Josh Shapiro’s budget </w:t>
      </w:r>
      <w:r w:rsidR="00F442B5">
        <w:t>follows the ruling declaring Pennsylvania’s school funding mechanism unconstitutional, which is the primary frame that Shapiro and other advocates are using with this year’s education budget.</w:t>
      </w:r>
      <w:r w:rsidR="00C83CE1">
        <w:t xml:space="preserve"> Shapiro is quoted by Morrison (2024) as saying, </w:t>
      </w:r>
      <w:r w:rsidR="00C83CE1">
        <w:t>“No one here should be OK with an unconstitutional education system for our kids</w:t>
      </w:r>
      <w:r w:rsidR="00C83CE1">
        <w:t xml:space="preserve">”, highlighting just how salient the ruling is. </w:t>
      </w:r>
    </w:p>
    <w:p w14:paraId="1BBF3D01" w14:textId="66CB4BD3" w:rsidR="009B37AB" w:rsidRDefault="002B1382" w:rsidP="007233AF">
      <w:pPr>
        <w:pStyle w:val="APAHeading1"/>
      </w:pPr>
      <w:r>
        <w:t>What does this</w:t>
      </w:r>
      <w:r w:rsidR="007233AF">
        <w:t xml:space="preserve"> proposal</w:t>
      </w:r>
      <w:r>
        <w:t xml:space="preserve"> mean for Pennsylvania schools?</w:t>
      </w:r>
    </w:p>
    <w:p w14:paraId="696A2CC6" w14:textId="64A49FFD" w:rsidR="00BF7169" w:rsidRDefault="00BF7169" w:rsidP="007233AF">
      <w:pPr>
        <w:pStyle w:val="APABodyText"/>
      </w:pPr>
      <w:r>
        <w:tab/>
        <w:t>Budgets are a way to judge an entity’s values, as what is funded—or not funded—can be indicative of how much that entity truly cares about a particular issue. Josh Shapiro’s budget is judged against these factors</w:t>
      </w:r>
      <w:r w:rsidR="00721608">
        <w:t xml:space="preserve"> based on valuing remedying past inequality along different lines</w:t>
      </w:r>
      <w:r>
        <w:t>:</w:t>
      </w:r>
    </w:p>
    <w:p w14:paraId="4C869873" w14:textId="4D107738" w:rsidR="00BF7169" w:rsidRDefault="00BF7169" w:rsidP="007233AF">
      <w:pPr>
        <w:pStyle w:val="APABodyText"/>
        <w:numPr>
          <w:ilvl w:val="0"/>
          <w:numId w:val="1"/>
        </w:numPr>
      </w:pPr>
      <w:r>
        <w:t>Whether it remedies or perpetuates rural and urban resource divides</w:t>
      </w:r>
      <w:r w:rsidR="00681210">
        <w:t>,</w:t>
      </w:r>
    </w:p>
    <w:p w14:paraId="7A1E68DA" w14:textId="1E6EDBD5" w:rsidR="00BF7169" w:rsidRDefault="007233AF" w:rsidP="007233AF">
      <w:pPr>
        <w:pStyle w:val="APABodyText"/>
        <w:numPr>
          <w:ilvl w:val="0"/>
          <w:numId w:val="1"/>
        </w:numPr>
      </w:pPr>
      <w:r>
        <w:t>Whether it remedies racial disparities perpetuated by past school funding plans,</w:t>
      </w:r>
    </w:p>
    <w:p w14:paraId="3E41DD31" w14:textId="178EA80A" w:rsidR="007233AF" w:rsidRDefault="00721608" w:rsidP="007233AF">
      <w:pPr>
        <w:pStyle w:val="APABodyText"/>
        <w:numPr>
          <w:ilvl w:val="0"/>
          <w:numId w:val="1"/>
        </w:numPr>
      </w:pPr>
      <w:r>
        <w:t>Whether it remedies income disparities and reduces reliance on property taxes.</w:t>
      </w:r>
    </w:p>
    <w:p w14:paraId="4FC05E6E" w14:textId="311E1EFE" w:rsidR="001150AB" w:rsidRDefault="001150AB" w:rsidP="001150AB">
      <w:pPr>
        <w:pStyle w:val="APAHeading2"/>
      </w:pPr>
      <w:r>
        <w:t>Data Sources</w:t>
      </w:r>
    </w:p>
    <w:p w14:paraId="3651E5A9" w14:textId="50B31C52" w:rsidR="001150AB" w:rsidRDefault="001150AB" w:rsidP="001150AB">
      <w:pPr>
        <w:pStyle w:val="APABodyText"/>
      </w:pPr>
      <w:r>
        <w:tab/>
        <w:t>The majority of data is sourced from the Pennsylvania Department of Education (PDE). The PDE provides annual financial reports (AFRs) that break down how much revenue schools receive from various federal, state, and local revenue streams. They also provide data on average daily membership (ADM), which is the average number of students through a school year that are in attendance across a school district, as well as weighted ADM, which weights students based on characteristics like being an English language learner and poverty status.</w:t>
      </w:r>
      <w:r w:rsidR="00BE210D">
        <w:t xml:space="preserve"> The final dataset from the PDE categorizes urban codes for each school district (e.g., urban, rural, etc.).</w:t>
      </w:r>
      <w:r w:rsidR="001F10CD">
        <w:t xml:space="preserve"> Student enrollment by race was sourced from the National Center for Education </w:t>
      </w:r>
      <w:r w:rsidR="00B23390">
        <w:t>Statistics’</w:t>
      </w:r>
      <w:r w:rsidR="001F10CD">
        <w:t xml:space="preserve"> (NCES) Common Core of Data (CCD). Lastly, school district boundaries come from the U.S. Census Bureau’s TIGER/Line Shapefile database.</w:t>
      </w:r>
    </w:p>
    <w:p w14:paraId="2EEEFD32" w14:textId="0BBA8759" w:rsidR="002B1382" w:rsidRDefault="00BF7169" w:rsidP="007233AF">
      <w:pPr>
        <w:pStyle w:val="APAHeading2"/>
      </w:pPr>
      <w:r>
        <w:t>Evaluating the proposal’s effect on rural, suburban, town, and urban districts</w:t>
      </w:r>
    </w:p>
    <w:p w14:paraId="26245A84" w14:textId="71E58F4B" w:rsidR="00681210" w:rsidRDefault="00041B65" w:rsidP="007233AF">
      <w:pPr>
        <w:pStyle w:val="APABodyText"/>
      </w:pPr>
      <w:r>
        <w:tab/>
      </w:r>
    </w:p>
    <w:p w14:paraId="75C2931C" w14:textId="013BB164" w:rsidR="00681210" w:rsidRDefault="00681210" w:rsidP="007233AF">
      <w:pPr>
        <w:pStyle w:val="APAHeading2"/>
      </w:pPr>
      <w:r>
        <w:t>Evaluating whether the proposal furthers racial disparities or offers remedies</w:t>
      </w:r>
    </w:p>
    <w:p w14:paraId="4ACC03BC" w14:textId="77777777" w:rsidR="00925E87" w:rsidRDefault="00925E87" w:rsidP="00925E87">
      <w:pPr>
        <w:pStyle w:val="APABodyText"/>
      </w:pPr>
    </w:p>
    <w:p w14:paraId="06B09473" w14:textId="441CB0A2" w:rsidR="00681210" w:rsidRDefault="00925E87" w:rsidP="00925E87">
      <w:pPr>
        <w:pStyle w:val="APAHeading2"/>
      </w:pPr>
      <w:r>
        <w:t>Evaluating disparities between poor and wealthy school districts</w:t>
      </w:r>
    </w:p>
    <w:p w14:paraId="75020F24" w14:textId="77777777" w:rsidR="00925E87" w:rsidRDefault="00925E87" w:rsidP="00925E87">
      <w:pPr>
        <w:pStyle w:val="APABodyText"/>
      </w:pPr>
    </w:p>
    <w:p w14:paraId="1D55B691" w14:textId="0281D1A8" w:rsidR="000C338D" w:rsidRDefault="000C338D" w:rsidP="000C338D">
      <w:pPr>
        <w:pStyle w:val="APAHeading1"/>
      </w:pPr>
      <w:r>
        <w:t>Concluding Recommendations</w:t>
      </w:r>
    </w:p>
    <w:p w14:paraId="546870E4" w14:textId="6AA4A633" w:rsidR="000C338D" w:rsidRPr="00AC40C2" w:rsidRDefault="000C338D" w:rsidP="000C338D">
      <w:pPr>
        <w:pStyle w:val="APABodyText"/>
      </w:pPr>
    </w:p>
    <w:sectPr w:rsidR="000C338D" w:rsidRPr="00AC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nos">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01FF4"/>
    <w:multiLevelType w:val="hybridMultilevel"/>
    <w:tmpl w:val="F74E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A5D2D"/>
    <w:multiLevelType w:val="hybridMultilevel"/>
    <w:tmpl w:val="7F3E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753520">
    <w:abstractNumId w:val="0"/>
  </w:num>
  <w:num w:numId="2" w16cid:durableId="612589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C2"/>
    <w:rsid w:val="00021FAD"/>
    <w:rsid w:val="00041B65"/>
    <w:rsid w:val="000B1950"/>
    <w:rsid w:val="000C338D"/>
    <w:rsid w:val="000D1C54"/>
    <w:rsid w:val="000D6E73"/>
    <w:rsid w:val="000F6E2E"/>
    <w:rsid w:val="001150AB"/>
    <w:rsid w:val="00140811"/>
    <w:rsid w:val="00163A9B"/>
    <w:rsid w:val="00171E1F"/>
    <w:rsid w:val="00177866"/>
    <w:rsid w:val="001F10CD"/>
    <w:rsid w:val="00250FEC"/>
    <w:rsid w:val="00255CD8"/>
    <w:rsid w:val="002B1382"/>
    <w:rsid w:val="0030701F"/>
    <w:rsid w:val="00373D10"/>
    <w:rsid w:val="00412DB3"/>
    <w:rsid w:val="00487100"/>
    <w:rsid w:val="004A38C4"/>
    <w:rsid w:val="004C1BFD"/>
    <w:rsid w:val="004C53F7"/>
    <w:rsid w:val="005038C6"/>
    <w:rsid w:val="00520D7A"/>
    <w:rsid w:val="005B493C"/>
    <w:rsid w:val="005C1BE8"/>
    <w:rsid w:val="00617AB4"/>
    <w:rsid w:val="0064421A"/>
    <w:rsid w:val="00681210"/>
    <w:rsid w:val="006F5294"/>
    <w:rsid w:val="00716E37"/>
    <w:rsid w:val="00721608"/>
    <w:rsid w:val="007233AF"/>
    <w:rsid w:val="0072696A"/>
    <w:rsid w:val="00751823"/>
    <w:rsid w:val="007A0D1C"/>
    <w:rsid w:val="0082280C"/>
    <w:rsid w:val="008570ED"/>
    <w:rsid w:val="008577C4"/>
    <w:rsid w:val="00860BE6"/>
    <w:rsid w:val="008C6257"/>
    <w:rsid w:val="008F0063"/>
    <w:rsid w:val="00925E87"/>
    <w:rsid w:val="00954272"/>
    <w:rsid w:val="00982BBF"/>
    <w:rsid w:val="009B37AB"/>
    <w:rsid w:val="00A147B2"/>
    <w:rsid w:val="00AA25BA"/>
    <w:rsid w:val="00AC40C2"/>
    <w:rsid w:val="00AE5E69"/>
    <w:rsid w:val="00B23390"/>
    <w:rsid w:val="00B6073B"/>
    <w:rsid w:val="00BB6BAF"/>
    <w:rsid w:val="00BC449B"/>
    <w:rsid w:val="00BE210D"/>
    <w:rsid w:val="00BF7169"/>
    <w:rsid w:val="00C071E6"/>
    <w:rsid w:val="00C11BF7"/>
    <w:rsid w:val="00C836B7"/>
    <w:rsid w:val="00C83CE1"/>
    <w:rsid w:val="00CA5038"/>
    <w:rsid w:val="00CD536F"/>
    <w:rsid w:val="00D65EC3"/>
    <w:rsid w:val="00D8295D"/>
    <w:rsid w:val="00DB611B"/>
    <w:rsid w:val="00DB72AF"/>
    <w:rsid w:val="00E574E1"/>
    <w:rsid w:val="00EB5AFA"/>
    <w:rsid w:val="00EB7EEA"/>
    <w:rsid w:val="00EC6BD7"/>
    <w:rsid w:val="00EE0D82"/>
    <w:rsid w:val="00F442B5"/>
    <w:rsid w:val="00F87045"/>
    <w:rsid w:val="00F87707"/>
    <w:rsid w:val="00FC3371"/>
    <w:rsid w:val="00FD14B9"/>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BE30"/>
  <w15:chartTrackingRefBased/>
  <w15:docId w15:val="{9B9C33AD-8129-40B3-AD03-FD32FCE9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9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487100"/>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87100"/>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AC4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0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0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0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0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Heading2">
    <w:name w:val="APA Heading 2"/>
    <w:basedOn w:val="Heading2"/>
    <w:link w:val="APAHeading2Char"/>
    <w:autoRedefine/>
    <w:qFormat/>
    <w:rsid w:val="00716E37"/>
    <w:pPr>
      <w:spacing w:before="120" w:line="480" w:lineRule="auto"/>
    </w:pPr>
    <w:rPr>
      <w:rFonts w:ascii="Tinos" w:hAnsi="Tinos"/>
      <w:b/>
      <w:bCs/>
      <w:color w:val="000000"/>
      <w:sz w:val="24"/>
    </w:rPr>
  </w:style>
  <w:style w:type="character" w:customStyle="1" w:styleId="APAHeading2Char">
    <w:name w:val="APA Heading 2 Char"/>
    <w:basedOn w:val="APAHeading1Char"/>
    <w:link w:val="APAHeading2"/>
    <w:rsid w:val="00716E37"/>
    <w:rPr>
      <w:rFonts w:ascii="Tinos" w:eastAsiaTheme="majorEastAsia" w:hAnsi="Tinos" w:cstheme="majorBidi"/>
      <w:b/>
      <w:bCs/>
      <w:color w:val="000000"/>
      <w:sz w:val="24"/>
      <w:szCs w:val="26"/>
    </w:rPr>
  </w:style>
  <w:style w:type="paragraph" w:customStyle="1" w:styleId="APAHeading1">
    <w:name w:val="APA Heading 1"/>
    <w:basedOn w:val="Heading1"/>
    <w:link w:val="APAHeading1Char"/>
    <w:autoRedefine/>
    <w:qFormat/>
    <w:rsid w:val="009B37AB"/>
    <w:pPr>
      <w:spacing w:before="120" w:line="480" w:lineRule="auto"/>
      <w:jc w:val="center"/>
    </w:pPr>
    <w:rPr>
      <w:rFonts w:ascii="Tinos" w:eastAsia="Times New Roman" w:hAnsi="Tinos" w:cs="Times New Roman"/>
      <w:b/>
      <w:bCs/>
      <w:color w:val="000000"/>
      <w:sz w:val="24"/>
      <w:szCs w:val="24"/>
    </w:rPr>
  </w:style>
  <w:style w:type="character" w:customStyle="1" w:styleId="APAHeading1Char">
    <w:name w:val="APA Heading 1 Char"/>
    <w:basedOn w:val="Heading1Char"/>
    <w:link w:val="APAHeading1"/>
    <w:rsid w:val="009B37AB"/>
    <w:rPr>
      <w:rFonts w:ascii="Tinos" w:eastAsia="Times New Roman" w:hAnsi="Tinos" w:cs="Times New Roman"/>
      <w:b/>
      <w:bCs/>
      <w:color w:val="000000"/>
      <w:sz w:val="24"/>
      <w:szCs w:val="24"/>
    </w:rPr>
  </w:style>
  <w:style w:type="character" w:customStyle="1" w:styleId="Heading1Char">
    <w:name w:val="Heading 1 Char"/>
    <w:basedOn w:val="DefaultParagraphFont"/>
    <w:link w:val="Heading1"/>
    <w:uiPriority w:val="9"/>
    <w:rsid w:val="00D8295D"/>
    <w:rPr>
      <w:rFonts w:asciiTheme="majorHAnsi" w:eastAsiaTheme="majorEastAsia" w:hAnsiTheme="majorHAnsi" w:cstheme="majorBidi"/>
      <w:color w:val="0F4761" w:themeColor="accent1" w:themeShade="BF"/>
      <w:sz w:val="32"/>
      <w:szCs w:val="32"/>
    </w:rPr>
  </w:style>
  <w:style w:type="paragraph" w:customStyle="1" w:styleId="APAHeading3">
    <w:name w:val="APA Heading 3"/>
    <w:basedOn w:val="Heading3"/>
    <w:link w:val="APAHeading3Char"/>
    <w:autoRedefine/>
    <w:qFormat/>
    <w:rsid w:val="00716E37"/>
    <w:pPr>
      <w:spacing w:before="120" w:line="480" w:lineRule="auto"/>
    </w:pPr>
    <w:rPr>
      <w:rFonts w:ascii="Times New Roman" w:hAnsi="Times New Roman"/>
      <w:b/>
      <w:bCs/>
      <w:i/>
      <w:color w:val="000000"/>
    </w:rPr>
  </w:style>
  <w:style w:type="character" w:customStyle="1" w:styleId="APAHeading3Char">
    <w:name w:val="APA Heading 3 Char"/>
    <w:basedOn w:val="APAHeading2Char"/>
    <w:link w:val="APAHeading3"/>
    <w:rsid w:val="00716E37"/>
    <w:rPr>
      <w:rFonts w:ascii="Times New Roman" w:eastAsiaTheme="majorEastAsia" w:hAnsi="Times New Roman" w:cstheme="majorBidi"/>
      <w:b/>
      <w:bCs/>
      <w:i/>
      <w:color w:val="000000"/>
      <w:sz w:val="24"/>
      <w:szCs w:val="24"/>
    </w:rPr>
  </w:style>
  <w:style w:type="character" w:customStyle="1" w:styleId="Heading2Char">
    <w:name w:val="Heading 2 Char"/>
    <w:basedOn w:val="DefaultParagraphFont"/>
    <w:link w:val="Heading2"/>
    <w:uiPriority w:val="9"/>
    <w:semiHidden/>
    <w:rsid w:val="0048710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487100"/>
    <w:rPr>
      <w:rFonts w:asciiTheme="majorHAnsi" w:eastAsiaTheme="majorEastAsia" w:hAnsiTheme="majorHAnsi" w:cstheme="majorBidi"/>
      <w:color w:val="0A2F40" w:themeColor="accent1" w:themeShade="7F"/>
      <w:sz w:val="24"/>
      <w:szCs w:val="24"/>
    </w:rPr>
  </w:style>
  <w:style w:type="paragraph" w:customStyle="1" w:styleId="APABodyText">
    <w:name w:val="APA Body Text"/>
    <w:link w:val="APABodyTextChar"/>
    <w:qFormat/>
    <w:rsid w:val="008F0063"/>
    <w:pPr>
      <w:spacing w:line="480" w:lineRule="auto"/>
    </w:pPr>
    <w:rPr>
      <w:rFonts w:ascii="Tinos" w:eastAsia="Times New Roman" w:hAnsi="Tinos" w:cs="Times New Roman"/>
      <w:color w:val="000000"/>
      <w:sz w:val="24"/>
      <w:szCs w:val="24"/>
    </w:rPr>
  </w:style>
  <w:style w:type="character" w:customStyle="1" w:styleId="APABodyTextChar">
    <w:name w:val="APA Body Text Char"/>
    <w:basedOn w:val="APAHeading1Char"/>
    <w:link w:val="APABodyText"/>
    <w:rsid w:val="008F0063"/>
    <w:rPr>
      <w:rFonts w:ascii="Tinos" w:eastAsia="Times New Roman" w:hAnsi="Tinos" w:cs="Times New Roman"/>
      <w:b w:val="0"/>
      <w:bCs w:val="0"/>
      <w:color w:val="000000"/>
      <w:sz w:val="24"/>
      <w:szCs w:val="24"/>
    </w:rPr>
  </w:style>
  <w:style w:type="character" w:customStyle="1" w:styleId="Heading4Char">
    <w:name w:val="Heading 4 Char"/>
    <w:basedOn w:val="DefaultParagraphFont"/>
    <w:link w:val="Heading4"/>
    <w:uiPriority w:val="9"/>
    <w:semiHidden/>
    <w:rsid w:val="00AC4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0C2"/>
    <w:rPr>
      <w:rFonts w:eastAsiaTheme="majorEastAsia" w:cstheme="majorBidi"/>
      <w:color w:val="272727" w:themeColor="text1" w:themeTint="D8"/>
    </w:rPr>
  </w:style>
  <w:style w:type="paragraph" w:styleId="Title">
    <w:name w:val="Title"/>
    <w:basedOn w:val="Normal"/>
    <w:next w:val="Normal"/>
    <w:link w:val="TitleChar"/>
    <w:uiPriority w:val="10"/>
    <w:qFormat/>
    <w:rsid w:val="00AC4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0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0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40C2"/>
    <w:rPr>
      <w:i/>
      <w:iCs/>
      <w:color w:val="404040" w:themeColor="text1" w:themeTint="BF"/>
    </w:rPr>
  </w:style>
  <w:style w:type="paragraph" w:styleId="ListParagraph">
    <w:name w:val="List Paragraph"/>
    <w:basedOn w:val="Normal"/>
    <w:uiPriority w:val="34"/>
    <w:qFormat/>
    <w:rsid w:val="00AC40C2"/>
    <w:pPr>
      <w:ind w:left="720"/>
      <w:contextualSpacing/>
    </w:pPr>
  </w:style>
  <w:style w:type="character" w:styleId="IntenseEmphasis">
    <w:name w:val="Intense Emphasis"/>
    <w:basedOn w:val="DefaultParagraphFont"/>
    <w:uiPriority w:val="21"/>
    <w:qFormat/>
    <w:rsid w:val="00AC40C2"/>
    <w:rPr>
      <w:i/>
      <w:iCs/>
      <w:color w:val="0F4761" w:themeColor="accent1" w:themeShade="BF"/>
    </w:rPr>
  </w:style>
  <w:style w:type="paragraph" w:styleId="IntenseQuote">
    <w:name w:val="Intense Quote"/>
    <w:basedOn w:val="Normal"/>
    <w:next w:val="Normal"/>
    <w:link w:val="IntenseQuoteChar"/>
    <w:uiPriority w:val="30"/>
    <w:qFormat/>
    <w:rsid w:val="00AC4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0C2"/>
    <w:rPr>
      <w:i/>
      <w:iCs/>
      <w:color w:val="0F4761" w:themeColor="accent1" w:themeShade="BF"/>
    </w:rPr>
  </w:style>
  <w:style w:type="character" w:styleId="IntenseReference">
    <w:name w:val="Intense Reference"/>
    <w:basedOn w:val="DefaultParagraphFont"/>
    <w:uiPriority w:val="32"/>
    <w:qFormat/>
    <w:rsid w:val="00AC4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1433</Words>
  <Characters>8173</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How are schools funded in Pennsylvania?</vt:lpstr>
      <vt:lpstr>School funding as a problem</vt:lpstr>
      <vt:lpstr>    Why does funding matter?</vt:lpstr>
      <vt:lpstr>    Getting court mandates to reform school funding</vt:lpstr>
      <vt:lpstr>    Pennsylvania’s and its “McDonald’s Career Track” students</vt:lpstr>
      <vt:lpstr>Josh Shapiro’s Proposed Budget</vt:lpstr>
      <vt:lpstr>What does this proposal mean for Pennsylvania schools?</vt:lpstr>
      <vt:lpstr>    Data Sources</vt:lpstr>
      <vt:lpstr>    Evaluating the proposal’s effect on rural, suburban, town, and urban districts</vt:lpstr>
      <vt:lpstr>    Evaluating whether the proposal furthers racial disparities or offers remedies</vt:lpstr>
      <vt:lpstr>    Evaluating disparities between poor and wealthy school districts</vt:lpstr>
      <vt:lpstr>Concluding Recommendations</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Cattell Jr., Michael Joseph</dc:creator>
  <cp:keywords/>
  <dc:description/>
  <cp:lastModifiedBy>Cattell Jr., Michael Joseph</cp:lastModifiedBy>
  <cp:revision>43</cp:revision>
  <dcterms:created xsi:type="dcterms:W3CDTF">2024-04-06T20:23:00Z</dcterms:created>
  <dcterms:modified xsi:type="dcterms:W3CDTF">2024-04-12T02:30:00Z</dcterms:modified>
</cp:coreProperties>
</file>