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Federal</w:t>
      </w:r>
      <w:r>
        <w:t xml:space="preserve"> </w:t>
      </w:r>
      <w:r>
        <w:t xml:space="preserve">Funds</w:t>
      </w:r>
      <w:r>
        <w:t xml:space="preserve"> </w:t>
      </w:r>
      <w:r>
        <w:t xml:space="preserve">and</w:t>
      </w:r>
      <w:r>
        <w:t xml:space="preserve"> </w:t>
      </w:r>
      <w:r>
        <w:t xml:space="preserve">Rural</w:t>
      </w:r>
      <w:r>
        <w:t xml:space="preserve"> </w:t>
      </w:r>
      <w:r>
        <w:t xml:space="preserve">Schools</w:t>
      </w:r>
    </w:p>
    <w:p>
      <w:pPr>
        <w:pStyle w:val="Author"/>
      </w:pPr>
      <w:r>
        <w:t xml:space="preserve">Michael</w:t>
      </w:r>
      <w:r>
        <w:t xml:space="preserve"> </w:t>
      </w:r>
      <w:r>
        <w:t xml:space="preserve">Cattell,</w:t>
      </w:r>
      <w:r>
        <w:t xml:space="preserve"> </w:t>
      </w:r>
      <w:r>
        <w:t xml:space="preserve">Scott</w:t>
      </w:r>
      <w:r>
        <w:t xml:space="preserve"> </w:t>
      </w:r>
      <w:r>
        <w:t xml:space="preserve">Levengood</w:t>
      </w:r>
    </w:p>
    <w:bookmarkStart w:id="20" w:name="introduction"/>
    <w:p>
      <w:pPr>
        <w:pStyle w:val="Heading1"/>
      </w:pPr>
      <w:r>
        <w:t xml:space="preserve">Introduction</w:t>
      </w:r>
    </w:p>
    <w:p>
      <w:pPr>
        <w:pStyle w:val="FirstParagraph"/>
      </w:pPr>
      <w:r>
        <w:t xml:space="preserve">Rural schools face unique challenges. They exist distant from major economic centers, have high poverty rates, and have less infrastructure, like broadband internet, roads, or government services. Part of the effect these factors have on rural residents is the quality of their and their kids’ education.</w:t>
      </w:r>
    </w:p>
    <w:p>
      <w:pPr>
        <w:pStyle w:val="BodyText"/>
      </w:pPr>
      <w:r>
        <w:t xml:space="preserve">Grants and other programs from the federal government have the potential to act as an equalizer between districts situated in different contexts. This study investigates whether federal grants and programs harness this potential and actually serve as an equalizer.</w:t>
      </w:r>
    </w:p>
    <w:bookmarkEnd w:id="20"/>
    <w:bookmarkStart w:id="24" w:name="literature-review"/>
    <w:p>
      <w:pPr>
        <w:pStyle w:val="Heading1"/>
      </w:pPr>
      <w:r>
        <w:t xml:space="preserve">Literature Review</w:t>
      </w:r>
    </w:p>
    <w:bookmarkStart w:id="21" w:name="defining-rurality"/>
    <w:p>
      <w:pPr>
        <w:pStyle w:val="Heading2"/>
      </w:pPr>
      <w:r>
        <w:t xml:space="preserve">Defining Rurality</w:t>
      </w:r>
    </w:p>
    <w:p>
      <w:pPr>
        <w:numPr>
          <w:ilvl w:val="0"/>
          <w:numId w:val="1001"/>
        </w:numPr>
      </w:pPr>
      <w:r>
        <w:t xml:space="preserve">Hoggart (1990): Argues against the monolithic</w:t>
      </w:r>
      <w:r>
        <w:t xml:space="preserve"> </w:t>
      </w:r>
      <w:r>
        <w:t xml:space="preserve">“</w:t>
      </w:r>
      <w:r>
        <w:t xml:space="preserve">rural</w:t>
      </w:r>
      <w:r>
        <w:t xml:space="preserve">”</w:t>
      </w:r>
    </w:p>
    <w:p>
      <w:pPr>
        <w:numPr>
          <w:ilvl w:val="0"/>
          <w:numId w:val="1001"/>
        </w:numPr>
      </w:pPr>
      <w:r>
        <w:t xml:space="preserve">Nelson &amp; Nguyen (2023): Creates a new measure for rurality using amenities available through OpenStreetMap</w:t>
      </w:r>
    </w:p>
    <w:bookmarkEnd w:id="21"/>
    <w:bookmarkStart w:id="22" w:name="rural-schools"/>
    <w:p>
      <w:pPr>
        <w:pStyle w:val="Heading2"/>
      </w:pPr>
      <w:r>
        <w:t xml:space="preserve">Rural Schools</w:t>
      </w:r>
    </w:p>
    <w:p>
      <w:pPr>
        <w:numPr>
          <w:ilvl w:val="0"/>
          <w:numId w:val="1002"/>
        </w:numPr>
      </w:pPr>
      <w:r>
        <w:t xml:space="preserve">Schaft (2016): Rural school link with community well-being</w:t>
      </w:r>
    </w:p>
    <w:p>
      <w:pPr>
        <w:numPr>
          <w:ilvl w:val="0"/>
          <w:numId w:val="1002"/>
        </w:numPr>
      </w:pPr>
      <w:r>
        <w:t xml:space="preserve">Masumoto &amp; Brown-Welty (2009): School and community relationship in rural districts that are</w:t>
      </w:r>
      <w:r>
        <w:t xml:space="preserve"> </w:t>
      </w:r>
      <w:r>
        <w:t xml:space="preserve">“</w:t>
      </w:r>
      <w:r>
        <w:t xml:space="preserve">high-performing</w:t>
      </w:r>
      <w:r>
        <w:t xml:space="preserve">”</w:t>
      </w:r>
      <w:r>
        <w:t xml:space="preserve"> </w:t>
      </w:r>
      <w:r>
        <w:t xml:space="preserve">and have high poverty rates.</w:t>
      </w:r>
    </w:p>
    <w:p>
      <w:pPr>
        <w:numPr>
          <w:ilvl w:val="0"/>
          <w:numId w:val="1002"/>
        </w:numPr>
      </w:pPr>
      <w:r>
        <w:t xml:space="preserve">Bauch (2001): School and community partnerships in rural districts</w:t>
      </w:r>
    </w:p>
    <w:p>
      <w:pPr>
        <w:numPr>
          <w:ilvl w:val="0"/>
          <w:numId w:val="1002"/>
        </w:numPr>
      </w:pPr>
      <w:r>
        <w:t xml:space="preserve">Boulden &amp; Schimmel (2021): Analysis of a university-district partnership aimed at training and retaining school counselors</w:t>
      </w:r>
    </w:p>
    <w:bookmarkEnd w:id="22"/>
    <w:bookmarkStart w:id="23" w:name="federal-funding-in-schools"/>
    <w:p>
      <w:pPr>
        <w:pStyle w:val="Heading2"/>
      </w:pPr>
      <w:r>
        <w:t xml:space="preserve">Federal Funding in Schools</w:t>
      </w:r>
    </w:p>
    <w:p>
      <w:pPr>
        <w:numPr>
          <w:ilvl w:val="0"/>
          <w:numId w:val="1003"/>
        </w:numPr>
      </w:pPr>
      <w:r>
        <w:t xml:space="preserve">Kolbe &amp; Rice (2012): Race to the Top (RTTP) and whether it improved funding</w:t>
      </w:r>
    </w:p>
    <w:p>
      <w:pPr>
        <w:numPr>
          <w:ilvl w:val="0"/>
          <w:numId w:val="1003"/>
        </w:numPr>
      </w:pPr>
      <w:r>
        <w:t xml:space="preserve">Brenner (2018): The impact of the ESSA on rural education</w:t>
      </w:r>
    </w:p>
    <w:p>
      <w:pPr>
        <w:numPr>
          <w:ilvl w:val="0"/>
          <w:numId w:val="1003"/>
        </w:numPr>
      </w:pPr>
      <w:r>
        <w:t xml:space="preserve">Yettick et al. (2014): Looking at ESEA and whether (and how) the administrative aspect of ESEA disadvantages rural school districts</w:t>
      </w:r>
    </w:p>
    <w:p>
      <w:pPr>
        <w:numPr>
          <w:ilvl w:val="0"/>
          <w:numId w:val="1003"/>
        </w:numPr>
      </w:pPr>
      <w:r>
        <w:t xml:space="preserve">Elliot et al. (2014): Impact of the Physical Education for Progress (PEP) federal grant in a school district</w:t>
      </w:r>
    </w:p>
    <w:p>
      <w:pPr>
        <w:numPr>
          <w:ilvl w:val="0"/>
          <w:numId w:val="1003"/>
        </w:numPr>
      </w:pPr>
      <w:r>
        <w:t xml:space="preserve">Herr &amp; Brooks (2003): Not strictly federal, but discusses the impact of a lottery program akin to RTTP and the impact the lottery system has</w:t>
      </w:r>
    </w:p>
    <w:p>
      <w:pPr>
        <w:numPr>
          <w:ilvl w:val="0"/>
          <w:numId w:val="1003"/>
        </w:numPr>
      </w:pPr>
      <w:r>
        <w:t xml:space="preserve">Eppley (2009): Critical look at the impact of No Child Left Behind (NCLB) on rural schools, specifically the</w:t>
      </w:r>
      <w:r>
        <w:t xml:space="preserve"> </w:t>
      </w:r>
      <w:r>
        <w:t xml:space="preserve">“</w:t>
      </w:r>
      <w:r>
        <w:t xml:space="preserve">highly qualified teacher</w:t>
      </w:r>
      <w:r>
        <w:t xml:space="preserve">”</w:t>
      </w:r>
      <w:r>
        <w:t xml:space="preserve"> </w:t>
      </w:r>
      <w:r>
        <w:t xml:space="preserve">provision</w:t>
      </w:r>
    </w:p>
    <w:bookmarkEnd w:id="23"/>
    <w:bookmarkEnd w:id="24"/>
    <w:bookmarkStart w:id="25" w:name="data-and-methods"/>
    <w:p>
      <w:pPr>
        <w:pStyle w:val="Heading1"/>
      </w:pPr>
      <w:r>
        <w:t xml:space="preserve">Data and Methods</w:t>
      </w:r>
    </w:p>
    <w:p>
      <w:pPr>
        <w:pStyle w:val="FirstParagraph"/>
      </w:pPr>
      <w:r>
        <w:t xml:space="preserve">Data for this study comes from two primary sources: the National Center for Education Statistics (NCES) and the Pennsylvania Department of Education (PDE).</w:t>
      </w:r>
    </w:p>
    <w:p>
      <w:pPr>
        <w:pStyle w:val="BodyText"/>
      </w:pPr>
      <w:r>
        <w:t xml:space="preserve">NCES provides a wide range of data through their Common Core of Data (CCD). Data on school district enrollment by race and locale classification (i.e., whether a district is considered urban, suburban, a town, or rural). Sourcing locale classifications from NCES provides a standardized comparison with other states, though utilizing a different rurality classification system is certainly possible. The definitions NCES uses for defining locales is in the table below.</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Rural Classification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Criteria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miles or closer to urban area with 50,000 or more people, and is 2.5 miles or closer to urban area with less than 50,000 people.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5 - 25 miles from an urban area with 50,000 or more people, and is 2.5 - 10 miles from an urban area with less than 50,000 people.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Remote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miles from an urban area with 50,000 or more people, and more than 10 miles from an urban area with less than 50,000 people.</w:t>
            </w:r>
          </w:p>
        </w:tc>
      </w:tr>
    </w:tbl>
    <w:p>
      <w:pPr>
        <w:pStyle w:val="BodyText"/>
      </w:pPr>
      <w:r>
        <w:t xml:space="preserve">PDE publishes school district finance data on school districts for each fiscal year. At the time of writing, the most recent fiscal year with available finance data is FY2022-23, which encompasses the same school year. Data on average daily membership (ADM) and weighted average daily membership (WADM), as well as categorical revenue sources (e.g., revenue from specific state programs, federal grants, etc.).</w:t>
      </w:r>
    </w:p>
    <w:p>
      <w:pPr>
        <w:pStyle w:val="BodyText"/>
      </w:pPr>
      <w:r>
        <w:t xml:space="preserve">An important limitation to note with the FY2022-23 is a significant rural grant program, Title V, Part B, Subpart 1 of the Elementary and Secondary Education Act (ESEA) and its subsequent re-authorizations, is grouped with other federal funds irrespective to locale classifications. Beginning with the FY2023-24 district revenue data, Title V, Part B, Subpart 1 revenue is its own classification. That data, however, is not yet available.</w:t>
      </w:r>
    </w:p>
    <w:p>
      <w:pPr>
        <w:pStyle w:val="BodyText"/>
      </w:pPr>
      <w:r>
        <w:t xml:space="preserve">To assess the federal government’s role as a funding equalizer, funding across 10 funding categories that both Pennsylvania and the federal government provides funding for will be compared. These categories are derived from the Chart of Accounts file provided by the PDE; this file is used by school districts to report revenue and expenditure data to the PDE. Revenue will be normalized by comparing revenue per average daily membership between revenue and state revenue. The expectation would be that school districts receiving more money from Pennsylvania in a given category will receive less from the federal government, and vice-versa.</w:t>
      </w:r>
    </w:p>
    <w:p>
      <w:pPr>
        <w:pStyle w:val="BodyText"/>
      </w:pPr>
      <w:r>
        <w:t xml:space="preserve">An important note in the classification scheme is that the Head Start program was excluded from analysis at this stage due to the way funds are distributed. Some funds are given to school districts, but funds are also given to Intermediate Units (IUs). As data could not be found on the locale classification for IUs, there was a significant swath of Head Start funding that was excluded from analysis. This data will be incorporated into analysis should locale classification data be found, or if a bridge between school districts and associated IUs is found.</w:t>
      </w:r>
    </w:p>
    <w:bookmarkEnd w:id="25"/>
    <w:bookmarkStart w:id="30" w:name="results"/>
    <w:p>
      <w:pPr>
        <w:pStyle w:val="Heading1"/>
      </w:pPr>
      <w:r>
        <w:t xml:space="preserve">Results</w:t>
      </w:r>
    </w:p>
    <w:bookmarkStart w:id="26" w:name="rural-school-district-demographics"/>
    <w:p>
      <w:pPr>
        <w:pStyle w:val="Heading2"/>
      </w:pPr>
      <w:r>
        <w:t xml:space="preserve">Rural School District Demographics</w:t>
      </w:r>
    </w:p>
    <w:bookmarkEnd w:id="26"/>
    <w:bookmarkStart w:id="27" w:name="nutrition-funding-disparities"/>
    <w:p>
      <w:pPr>
        <w:pStyle w:val="Heading2"/>
      </w:pPr>
      <w:r>
        <w:t xml:space="preserve">Nutrition Funding Disparities</w:t>
      </w:r>
    </w:p>
    <w:bookmarkEnd w:id="27"/>
    <w:bookmarkStart w:id="28" w:name="school-improvement-funding"/>
    <w:p>
      <w:pPr>
        <w:pStyle w:val="Heading2"/>
      </w:pPr>
      <w:r>
        <w:t xml:space="preserve">School Improvement Funding</w:t>
      </w:r>
    </w:p>
    <w:bookmarkEnd w:id="28"/>
    <w:bookmarkStart w:id="29" w:name="medical-assistance-funding"/>
    <w:p>
      <w:pPr>
        <w:pStyle w:val="Heading2"/>
      </w:pPr>
      <w:r>
        <w:t xml:space="preserve">Medical Assistance Funding</w:t>
      </w:r>
    </w:p>
    <w:bookmarkEnd w:id="29"/>
    <w:bookmarkEnd w:id="30"/>
    <w:bookmarkStart w:id="31" w:name="conclusions"/>
    <w:p>
      <w:pPr>
        <w:pStyle w:val="Heading1"/>
      </w:pPr>
      <w:r>
        <w:t xml:space="preserve">Conclusions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Funds and Rural Schools</dc:title>
  <dc:creator>Michael Cattell, Scott Levengood</dc:creator>
  <cp:keywords/>
  <dcterms:created xsi:type="dcterms:W3CDTF">2025-04-08T23:07:24Z</dcterms:created>
  <dcterms:modified xsi:type="dcterms:W3CDTF">2025-04-08T23:07:24Z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