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jc w:val="center"/>
      </w:pPr>
    </w:p>
    <w:p>
      <w:pPr>
        <w:pStyle w:val="Title A"/>
        <w:jc w:val="center"/>
      </w:pPr>
    </w:p>
    <w:p>
      <w:pPr>
        <w:pStyle w:val="Title A"/>
        <w:jc w:val="center"/>
        <w:rPr>
          <w:sz w:val="72"/>
          <w:szCs w:val="72"/>
          <w:lang w:val="zh-TW" w:eastAsia="zh-TW"/>
        </w:rPr>
      </w:pPr>
      <w:r>
        <w:rPr>
          <w:rFonts w:eastAsia="Arial Unicode MS" w:hint="eastAsia"/>
          <w:b w:val="0"/>
          <w:bCs w:val="0"/>
          <w:sz w:val="72"/>
          <w:szCs w:val="72"/>
          <w:rtl w:val="0"/>
          <w:lang w:val="zh-TW" w:eastAsia="zh-TW"/>
        </w:rPr>
        <w:t>格文致知</w:t>
      </w:r>
    </w:p>
    <w:p>
      <w:pPr>
        <w:pStyle w:val="Body A"/>
      </w:pPr>
    </w:p>
    <w:p>
      <w:pPr>
        <w:pStyle w:val="Title A"/>
        <w:jc w:val="center"/>
      </w:pPr>
      <w:r>
        <w:rPr>
          <w:rtl w:val="0"/>
          <w:lang w:val="en-US"/>
        </w:rPr>
        <w:t>—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文档格式检测规正的</w:t>
      </w:r>
    </w:p>
    <w:p>
      <w:pPr>
        <w:pStyle w:val="Title A"/>
        <w:jc w:val="center"/>
        <w:rPr>
          <w:lang w:val="zh-TW" w:eastAsia="zh-TW"/>
        </w:rPr>
      </w:pPr>
      <w:r>
        <w:rPr>
          <w:rFonts w:eastAsia="Arial Unicode MS" w:hint="eastAsia"/>
          <w:b w:val="0"/>
          <w:bCs w:val="0"/>
          <w:rtl w:val="0"/>
          <w:lang w:val="zh-TW" w:eastAsia="zh-TW"/>
        </w:rPr>
        <w:t>智能管理平台</w:t>
      </w:r>
    </w:p>
    <w:p>
      <w:pPr>
        <w:pStyle w:val="Subtitle A"/>
        <w:jc w:val="center"/>
      </w:pPr>
    </w:p>
    <w:p>
      <w:pPr>
        <w:pStyle w:val="Subtitle A"/>
        <w:jc w:val="center"/>
      </w:pPr>
    </w:p>
    <w:p>
      <w:pPr>
        <w:pStyle w:val="Subtitle A"/>
        <w:jc w:val="center"/>
      </w:pPr>
    </w:p>
    <w:p>
      <w:pPr>
        <w:pStyle w:val="Subtitle A"/>
        <w:jc w:val="center"/>
      </w:pPr>
    </w:p>
    <w:p>
      <w:pPr>
        <w:pStyle w:val="Subtitle A"/>
        <w:jc w:val="center"/>
      </w:pPr>
    </w:p>
    <w:p>
      <w:pPr>
        <w:pStyle w:val="Subtitle A"/>
        <w:jc w:val="center"/>
        <w:rPr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项目计划书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 3"/>
        <w:jc w:val="center"/>
        <w:sectPr>
          <w:headerReference w:type="default" r:id="rId4"/>
          <w:footerReference w:type="default" r:id="rId5"/>
          <w:pgSz w:w="11900" w:h="16840" w:orient="portrait"/>
          <w:pgMar w:top="1134" w:right="1134" w:bottom="1134" w:left="1134" w:header="709" w:footer="850"/>
          <w:bidi w:val="0"/>
        </w:sectPr>
      </w:pPr>
    </w:p>
    <w:p>
      <w:pPr>
        <w:pStyle w:val="heading 3"/>
      </w:pPr>
      <w:r>
        <w:rPr>
          <w:rtl w:val="0"/>
          <w:lang w:val="zh-TW" w:eastAsia="zh-TW"/>
        </w:rPr>
        <w:t>一、项目背景</w:t>
      </w:r>
    </w:p>
    <w:p>
      <w:pPr>
        <w:pStyle w:val="Body A"/>
      </w:pPr>
    </w:p>
    <w:p>
      <w:pPr>
        <w:pStyle w:val="Default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ind w:firstLine="480"/>
        <w:rPr>
          <w:rFonts w:ascii="Times" w:cs="Times" w:hAnsi="Times" w:eastAsia="Times"/>
          <w:kern w:val="2"/>
          <w:sz w:val="24"/>
          <w:szCs w:val="24"/>
          <w:u w:color="000000"/>
          <w:shd w:val="clear" w:color="auto" w:fill="ffffff"/>
          <w:lang w:val="zh-TW" w:eastAsia="zh-TW"/>
        </w:rPr>
      </w:pPr>
      <w:r>
        <w:rPr>
          <w:kern w:val="2"/>
          <w:sz w:val="24"/>
          <w:szCs w:val="24"/>
          <w:u w:color="000000"/>
          <w:shd w:val="clear" w:color="auto" w:fill="ffffff"/>
          <w:rtl w:val="0"/>
          <w:lang w:val="zh-TW" w:eastAsia="zh-TW"/>
        </w:rPr>
        <w:t>毕业论文作为高校教学计划中的重要环节，在教学评估中占有举足轻重的地位，对提高教学质量、培养学生的综合应用能力具有十分重要的意义。因此，高校不仅在内容上对其有很高的要求，在格式上也有着非常严格的规定。为了满足教学管理的需求，保证毕业论文，甚至是毕业实习报告、课程设计报告和实验报告等论文格式的规范化，保证高校论文质量，需要一个论文检测和查阅系统，实现学生对论文格式的检测以及教师、管理员对论文的查阅功能。</w:t>
      </w:r>
    </w:p>
    <w:p>
      <w:pPr>
        <w:pStyle w:val="Body A"/>
        <w:spacing w:line="360" w:lineRule="auto"/>
        <w:rPr>
          <w:rFonts w:ascii="Times" w:cs="Times" w:hAnsi="Times" w:eastAsia="Times"/>
          <w:sz w:val="24"/>
          <w:szCs w:val="24"/>
          <w:lang w:val="zh-TW" w:eastAsia="zh-TW"/>
        </w:rPr>
      </w:pPr>
      <w:r>
        <w:rPr>
          <w:rFonts w:ascii="Times" w:hAnsi="Times"/>
          <w:sz w:val="24"/>
          <w:szCs w:val="24"/>
          <w:rtl w:val="0"/>
          <w:lang w:val="zh-TW" w:eastAsia="zh-TW"/>
        </w:rPr>
        <w:t xml:space="preserve">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按照目前学术界对论文格式的规范要求，推广至企业文档规范化管理的要求，针对依靠人工校验方法的费时、低效的缺点，研究并设计一个由计算机自动进行格式检测，系统参照模板自动纠错，并能在线查阅审核的系统非常具有应用价值。</w:t>
      </w:r>
    </w:p>
    <w:p>
      <w:pPr>
        <w:pStyle w:val="Body A"/>
        <w:spacing w:line="360" w:lineRule="auto"/>
        <w:rPr>
          <w:rFonts w:ascii="Times" w:cs="Times" w:hAnsi="Times" w:eastAsia="Times"/>
          <w:sz w:val="24"/>
          <w:szCs w:val="24"/>
        </w:rPr>
      </w:pPr>
    </w:p>
    <w:p>
      <w:pPr>
        <w:pStyle w:val="Body A"/>
      </w:pPr>
    </w:p>
    <w:p>
      <w:pPr>
        <w:pStyle w:val="heading 3"/>
      </w:pPr>
      <w:r>
        <w:rPr>
          <w:rtl w:val="0"/>
          <w:lang w:val="zh-TW" w:eastAsia="zh-TW"/>
        </w:rPr>
        <w:t>二、市场分析</w:t>
      </w:r>
    </w:p>
    <w:p>
      <w:pPr>
        <w:pStyle w:val="Body A"/>
      </w:pPr>
    </w:p>
    <w:p>
      <w:pPr>
        <w:pStyle w:val="Body A"/>
        <w:spacing w:line="360" w:lineRule="auto"/>
        <w:rPr>
          <w:rFonts w:ascii="Times" w:cs="Times" w:hAnsi="Times" w:eastAsia="Times"/>
          <w:sz w:val="24"/>
          <w:szCs w:val="24"/>
          <w:lang w:val="zh-TW" w:eastAsia="zh-TW"/>
        </w:rPr>
      </w:pPr>
      <w:r>
        <w:rPr>
          <w:rFonts w:ascii="Times" w:hAnsi="Times"/>
          <w:sz w:val="24"/>
          <w:szCs w:val="24"/>
          <w:rtl w:val="0"/>
          <w:lang w:val="zh-TW" w:eastAsia="zh-TW"/>
        </w:rPr>
        <w:t xml:space="preserve">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该系统能够保证学校课程报告及论文、企业部门文档规范化、统一化，对于学校学科评估时所要求的规范化、企业无纸化文档规范化很有意义。除此以外，文档提交即自动抽取关键数据，形成数据检索系统，可以免去信息录入的冗余工作，能有效提高文档的数据智能化处理能力，为大数据抽取和处理开拓新的思路。</w:t>
      </w:r>
    </w:p>
    <w:p>
      <w:pPr>
        <w:pStyle w:val="Body A"/>
        <w:spacing w:line="360" w:lineRule="auto"/>
        <w:rPr>
          <w:rFonts w:ascii="Times" w:cs="Times" w:hAnsi="Times" w:eastAsia="Times"/>
          <w:sz w:val="24"/>
          <w:szCs w:val="24"/>
          <w:lang w:val="zh-TW" w:eastAsia="zh-TW"/>
        </w:rPr>
      </w:pPr>
      <w:r>
        <w:rPr>
          <w:rFonts w:ascii="Times" w:hAnsi="Times"/>
          <w:sz w:val="24"/>
          <w:szCs w:val="24"/>
          <w:rtl w:val="0"/>
          <w:lang w:val="zh-TW" w:eastAsia="zh-TW"/>
        </w:rPr>
        <w:t xml:space="preserve">         1.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格式检测功能：目前国内外研究主要针对</w:t>
      </w:r>
      <w:r>
        <w:rPr>
          <w:rFonts w:ascii="Times" w:hAnsi="Times"/>
          <w:sz w:val="24"/>
          <w:szCs w:val="24"/>
          <w:rtl w:val="0"/>
          <w:lang w:val="zh-TW" w:eastAsia="zh-TW"/>
        </w:rPr>
        <w:t>XML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进行，有很多局限之处。</w:t>
      </w:r>
    </w:p>
    <w:p>
      <w:pPr>
        <w:pStyle w:val="Body A"/>
        <w:spacing w:line="360" w:lineRule="auto"/>
        <w:rPr>
          <w:rFonts w:ascii="Times" w:cs="Times" w:hAnsi="Times" w:eastAsia="Times"/>
          <w:sz w:val="24"/>
          <w:szCs w:val="24"/>
          <w:lang w:val="zh-TW" w:eastAsia="zh-TW"/>
        </w:rPr>
      </w:pPr>
      <w:r>
        <w:rPr>
          <w:rFonts w:ascii="Times" w:hAnsi="Times"/>
          <w:sz w:val="24"/>
          <w:szCs w:val="24"/>
          <w:rtl w:val="0"/>
          <w:lang w:val="zh-TW" w:eastAsia="zh-TW"/>
        </w:rPr>
        <w:t xml:space="preserve">         2.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格式规正功能：目前市场上的排版工具多倾向于内置的格式模板，需要用户逐块添加文本，操作不便，也不符合用户先写文档，后修改格式的习惯。</w:t>
      </w:r>
    </w:p>
    <w:p>
      <w:pPr>
        <w:pStyle w:val="Body A"/>
        <w:spacing w:line="360" w:lineRule="auto"/>
        <w:rPr>
          <w:rFonts w:ascii="Times" w:cs="Times" w:hAnsi="Times" w:eastAsia="Times"/>
          <w:sz w:val="24"/>
          <w:szCs w:val="24"/>
          <w:lang w:val="zh-TW" w:eastAsia="zh-TW"/>
        </w:rPr>
      </w:pPr>
      <w:r>
        <w:rPr>
          <w:rFonts w:ascii="Times" w:hAnsi="Times"/>
          <w:sz w:val="24"/>
          <w:szCs w:val="24"/>
          <w:rtl w:val="0"/>
          <w:lang w:val="zh-TW" w:eastAsia="zh-TW"/>
        </w:rPr>
        <w:t xml:space="preserve">        3.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数据抽取功能：虽然市场上已经实现文档信息抽取，但未见利用在规范化文档上的实例，但这是无纸化文档数据管理的重要思路。</w:t>
      </w:r>
    </w:p>
    <w:p>
      <w:pPr>
        <w:pStyle w:val="Body A"/>
        <w:spacing w:line="360" w:lineRule="auto"/>
        <w:rPr>
          <w:rFonts w:ascii="Times" w:cs="Times" w:hAnsi="Times" w:eastAsia="Times"/>
          <w:sz w:val="24"/>
          <w:szCs w:val="24"/>
          <w:lang w:val="zh-TW" w:eastAsia="zh-TW"/>
        </w:rPr>
      </w:pPr>
      <w:r>
        <w:rPr>
          <w:rFonts w:ascii="Times" w:hAnsi="Times"/>
          <w:sz w:val="24"/>
          <w:szCs w:val="24"/>
          <w:rtl w:val="0"/>
          <w:lang w:val="zh-TW" w:eastAsia="zh-TW"/>
        </w:rPr>
        <w:t xml:space="preserve">       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综上，产品将以上核心功能相结合，具有积极的市场前景。</w:t>
      </w:r>
    </w:p>
    <w:p>
      <w:pPr>
        <w:pStyle w:val="Body A"/>
        <w:rPr>
          <w:rFonts w:ascii="Times" w:cs="Times" w:hAnsi="Times" w:eastAsia="Times"/>
          <w:sz w:val="24"/>
          <w:szCs w:val="24"/>
        </w:rPr>
      </w:pPr>
    </w:p>
    <w:p>
      <w:pPr>
        <w:pStyle w:val="Body A"/>
        <w:rPr>
          <w:rFonts w:ascii="Times" w:cs="Times" w:hAnsi="Times" w:eastAsia="Times"/>
          <w:sz w:val="24"/>
          <w:szCs w:val="24"/>
        </w:rPr>
      </w:pPr>
    </w:p>
    <w:p>
      <w:pPr>
        <w:pStyle w:val="Body A"/>
        <w:rPr>
          <w:rFonts w:ascii="Times" w:cs="Times" w:hAnsi="Times" w:eastAsia="Times"/>
          <w:sz w:val="24"/>
          <w:szCs w:val="24"/>
        </w:rPr>
      </w:pPr>
    </w:p>
    <w:p>
      <w:pPr>
        <w:pStyle w:val="Body A"/>
        <w:rPr>
          <w:rFonts w:ascii="Times" w:cs="Times" w:hAnsi="Times" w:eastAsia="Times"/>
          <w:sz w:val="24"/>
          <w:szCs w:val="24"/>
        </w:rPr>
      </w:pPr>
    </w:p>
    <w:p>
      <w:pPr>
        <w:pStyle w:val="Body A"/>
        <w:rPr>
          <w:rFonts w:ascii="Times" w:cs="Times" w:hAnsi="Times" w:eastAsia="Times"/>
          <w:sz w:val="24"/>
          <w:szCs w:val="24"/>
        </w:rPr>
      </w:pPr>
    </w:p>
    <w:p>
      <w:pPr>
        <w:pStyle w:val="Body A"/>
        <w:rPr>
          <w:rFonts w:ascii="Times" w:cs="Times" w:hAnsi="Times" w:eastAsia="Times"/>
          <w:sz w:val="24"/>
          <w:szCs w:val="24"/>
        </w:rPr>
      </w:pPr>
    </w:p>
    <w:p>
      <w:pPr>
        <w:pStyle w:val="Body A"/>
        <w:rPr>
          <w:rFonts w:ascii="Times" w:cs="Times" w:hAnsi="Times" w:eastAsia="Times"/>
          <w:sz w:val="24"/>
          <w:szCs w:val="24"/>
        </w:rPr>
      </w:pPr>
    </w:p>
    <w:p>
      <w:pPr>
        <w:pStyle w:val="Body A"/>
      </w:pPr>
    </w:p>
    <w:p>
      <w:pPr>
        <w:pStyle w:val="heading 3"/>
      </w:pPr>
      <w:r>
        <w:rPr>
          <w:rtl w:val="0"/>
          <w:lang w:val="zh-TW" w:eastAsia="zh-TW"/>
        </w:rPr>
        <w:t>三、项目范围</w:t>
      </w:r>
    </w:p>
    <w:p>
      <w:pPr>
        <w:pStyle w:val="Body A"/>
      </w:pPr>
    </w:p>
    <w:p>
      <w:pPr>
        <w:pStyle w:val="Body A"/>
        <w:rPr>
          <w:rFonts w:ascii="Times" w:cs="Times" w:hAnsi="Times" w:eastAsia="Times"/>
          <w:sz w:val="24"/>
          <w:szCs w:val="24"/>
          <w:lang w:val="zh-TW" w:eastAsia="zh-TW"/>
        </w:rPr>
      </w:pPr>
      <w:r>
        <w:rPr>
          <w:rtl w:val="0"/>
          <w:lang w:val="zh-TW" w:eastAsia="zh-TW"/>
        </w:rPr>
        <w:t xml:space="preserve">       </w:t>
      </w:r>
      <w:r>
        <w:rPr>
          <w:rFonts w:ascii="Times" w:hAnsi="Times"/>
          <w:sz w:val="24"/>
          <w:szCs w:val="24"/>
          <w:rtl w:val="0"/>
          <w:lang w:val="zh-TW" w:eastAsia="zh-TW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以组织为单位分析用户群体，初步假定系统用户为以下三类：文档编写者、部门审核人、管理员。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Times" w:cs="Times" w:hAnsi="Times" w:eastAsia="Times"/>
          <w:kern w:val="2"/>
          <w:sz w:val="24"/>
          <w:szCs w:val="24"/>
          <w:u w:color="000000"/>
          <w:lang w:val="zh-TW" w:eastAsia="zh-TW"/>
        </w:rPr>
      </w:pPr>
      <w:r>
        <w:rPr>
          <w:kern w:val="2"/>
          <w:sz w:val="24"/>
          <w:szCs w:val="24"/>
          <w:u w:color="000000"/>
          <w:rtl w:val="0"/>
          <w:lang w:val="zh-TW" w:eastAsia="zh-TW"/>
        </w:rPr>
        <w:t>以下为产品范围明细：</w:t>
      </w:r>
    </w:p>
    <w:p>
      <w:pPr>
        <w:pStyle w:val="Default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Times" w:cs="Times" w:hAnsi="Times" w:eastAsia="Times"/>
          <w:kern w:val="2"/>
          <w:sz w:val="24"/>
          <w:szCs w:val="24"/>
          <w:u w:color="000000"/>
          <w:lang w:val="zh-TW" w:eastAsia="zh-TW"/>
        </w:rPr>
      </w:pPr>
    </w:p>
    <w:p>
      <w:pPr>
        <w:pStyle w:val="Body A"/>
        <w:rPr>
          <w:rFonts w:ascii="Times" w:cs="Times" w:hAnsi="Times" w:eastAsia="Times"/>
          <w:sz w:val="24"/>
          <w:szCs w:val="24"/>
        </w:rPr>
      </w:pPr>
    </w:p>
    <w:p>
      <w:pPr>
        <w:pStyle w:val="Body A"/>
        <w:rPr>
          <w:rFonts w:ascii="Times" w:cs="Times" w:hAnsi="Times" w:eastAsia="Times"/>
          <w:sz w:val="24"/>
          <w:szCs w:val="24"/>
        </w:rPr>
      </w:pPr>
    </w:p>
    <w:p>
      <w:pPr>
        <w:pStyle w:val="Body A"/>
        <w:rPr>
          <w:rFonts w:ascii="Times" w:cs="Times" w:hAnsi="Times" w:eastAsia="Times"/>
          <w:sz w:val="24"/>
          <w:szCs w:val="24"/>
        </w:rPr>
      </w:pPr>
    </w:p>
    <w:tbl>
      <w:tblPr>
        <w:tblW w:w="94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121"/>
        <w:gridCol w:w="2759"/>
        <w:gridCol w:w="3550"/>
      </w:tblGrid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943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产品范围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31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jc w:val="both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用户类型</w:t>
            </w:r>
          </w:p>
        </w:tc>
        <w:tc>
          <w:tcPr>
            <w:tcW w:type="dxa" w:w="2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both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功能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both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1040" w:hRule="atLeast"/>
        </w:trPr>
        <w:tc>
          <w:tcPr>
            <w:tcW w:type="dxa" w:w="31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文档编写者</w:t>
            </w:r>
          </w:p>
        </w:tc>
        <w:tc>
          <w:tcPr>
            <w:tcW w:type="dxa" w:w="2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登录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使用账号和密码登录，由组织的管理员提供部门成员的账号和初始密码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31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修改密码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用户使用账号和初始密码登录成功后可修改密码</w:t>
            </w:r>
          </w:p>
        </w:tc>
      </w:tr>
      <w:tr>
        <w:tblPrEx>
          <w:shd w:val="clear" w:color="auto" w:fill="ceddeb"/>
        </w:tblPrEx>
        <w:trPr>
          <w:trHeight w:val="1521" w:hRule="atLeast"/>
        </w:trPr>
        <w:tc>
          <w:tcPr>
            <w:tcW w:type="dxa" w:w="31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检查本地文档格式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选择文件预览，可检查文档是否符合制定模板的格式规范，若符合则可以选择上传，否则可对照查看标示的错误原因。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31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保存规范文档到本地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使用系统自动纠错功能实现文档规范化，另存到本地。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31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上传合格文档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经过系统检查合格的本地文档可上传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31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查看上传文档记录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查看历史上传记录，查看审核状态和审核意见</w:t>
            </w:r>
          </w:p>
        </w:tc>
      </w:tr>
      <w:tr>
        <w:tblPrEx>
          <w:shd w:val="clear" w:color="auto" w:fill="ceddeb"/>
        </w:tblPrEx>
        <w:trPr>
          <w:trHeight w:val="1040" w:hRule="atLeast"/>
        </w:trPr>
        <w:tc>
          <w:tcPr>
            <w:tcW w:type="dxa" w:w="31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部门审核人</w:t>
            </w:r>
          </w:p>
        </w:tc>
        <w:tc>
          <w:tcPr>
            <w:tcW w:type="dxa" w:w="2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登录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使用账号和密码登录，由组织的管理员提供部门成员的账号和初始密码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31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修改密码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用户使用账号和初始密码登录成功后可修改密码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31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上传文档模板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新增需提交的文档，上传文档模板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31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审核本部门上传的文档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审核部门下属的文档编写者上传的文档，提交审核意见</w:t>
            </w:r>
          </w:p>
        </w:tc>
      </w:tr>
      <w:tr>
        <w:tblPrEx>
          <w:shd w:val="clear" w:color="auto" w:fill="ceddeb"/>
        </w:tblPrEx>
        <w:trPr>
          <w:trHeight w:val="921" w:hRule="atLeast"/>
        </w:trPr>
        <w:tc>
          <w:tcPr>
            <w:tcW w:type="dxa" w:w="31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26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管理员</w:t>
            </w:r>
          </w:p>
        </w:tc>
        <w:tc>
          <w:tcPr>
            <w:tcW w:type="dxa" w:w="2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登录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使用账号和密码登录，由系统提供管理员的账号和初始密码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31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修改密码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用户使用账号和初始密码登录成功后可修改密码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31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管理组织内的部门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增删改部门信息</w:t>
            </w:r>
          </w:p>
        </w:tc>
      </w:tr>
      <w:tr>
        <w:tblPrEx>
          <w:shd w:val="clear" w:color="auto" w:fill="ceddeb"/>
        </w:tblPrEx>
        <w:trPr>
          <w:trHeight w:val="360" w:hRule="atLeast"/>
        </w:trPr>
        <w:tc>
          <w:tcPr>
            <w:tcW w:type="dxa" w:w="31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管理部门成员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增删改部门成员信息</w:t>
            </w:r>
          </w:p>
        </w:tc>
      </w:tr>
      <w:tr>
        <w:tblPrEx>
          <w:shd w:val="clear" w:color="auto" w:fill="ceddeb"/>
        </w:tblPrEx>
        <w:trPr>
          <w:trHeight w:val="700" w:hRule="atLeast"/>
        </w:trPr>
        <w:tc>
          <w:tcPr>
            <w:tcW w:type="dxa" w:w="31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查看文档的上传审核情况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分部门查看文档上传审核情况</w:t>
            </w:r>
          </w:p>
        </w:tc>
      </w:tr>
      <w:tr>
        <w:tblPrEx>
          <w:shd w:val="clear" w:color="auto" w:fill="ceddeb"/>
        </w:tblPrEx>
        <w:trPr>
          <w:trHeight w:val="1380" w:hRule="atLeast"/>
        </w:trPr>
        <w:tc>
          <w:tcPr>
            <w:tcW w:type="dxa" w:w="31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查看文档数据统计信息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从上传文档中自动提取统计信息（标题，作者，上传时间，关键词等）映射导入数据库，管理员可查看检索数据</w:t>
            </w:r>
          </w:p>
        </w:tc>
      </w:tr>
      <w:tr>
        <w:tblPrEx>
          <w:shd w:val="clear" w:color="auto" w:fill="ceddeb"/>
        </w:tblPrEx>
        <w:trPr>
          <w:trHeight w:val="1380" w:hRule="atLeast"/>
        </w:trPr>
        <w:tc>
          <w:tcPr>
            <w:tcW w:type="dxa" w:w="31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ff2600"/>
                <w:kern w:val="2"/>
                <w:sz w:val="24"/>
                <w:szCs w:val="24"/>
                <w:rtl w:val="0"/>
                <w:lang w:val="zh-CN" w:eastAsia="zh-CN"/>
              </w:rPr>
              <w:t>超级管理员</w:t>
            </w:r>
          </w:p>
        </w:tc>
        <w:tc>
          <w:tcPr>
            <w:tcW w:type="dxa" w:w="2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登录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使用账号和密码登录，由系统提供管理员的账号和初始密码</w:t>
            </w:r>
          </w:p>
        </w:tc>
      </w:tr>
      <w:tr>
        <w:tblPrEx>
          <w:shd w:val="clear" w:color="auto" w:fill="ceddeb"/>
        </w:tblPrEx>
        <w:trPr>
          <w:trHeight w:val="1380" w:hRule="atLeast"/>
        </w:trPr>
        <w:tc>
          <w:tcPr>
            <w:tcW w:type="dxa" w:w="31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修改密码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用户使用账号和初始密码登录成功后可修改密码</w:t>
            </w:r>
          </w:p>
        </w:tc>
      </w:tr>
      <w:tr>
        <w:tblPrEx>
          <w:shd w:val="clear" w:color="auto" w:fill="ceddeb"/>
        </w:tblPrEx>
        <w:trPr>
          <w:trHeight w:val="1380" w:hRule="atLeast"/>
        </w:trPr>
        <w:tc>
          <w:tcPr>
            <w:tcW w:type="dxa" w:w="31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管理组织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380" w:hRule="atLeast"/>
        </w:trPr>
        <w:tc>
          <w:tcPr>
            <w:tcW w:type="dxa" w:w="31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管理部门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380" w:hRule="atLeast"/>
        </w:trPr>
        <w:tc>
          <w:tcPr>
            <w:tcW w:type="dxa" w:w="31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管理管理员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  <w:r>
        <w:rPr>
          <w:rFonts w:ascii="Times" w:cs="Times" w:hAnsi="Times" w:eastAsia="Times"/>
          <w:sz w:val="24"/>
          <w:szCs w:val="24"/>
        </w:rPr>
      </w:r>
    </w:p>
    <w:sectPr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 A">
    <w:name w:val="Title A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Subtitle A">
    <w:name w:val="Subtitle A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zh-TW" w:eastAsia="zh-TW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