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A159E" w14:textId="6855D80C" w:rsidR="0028559B" w:rsidRDefault="0028559B" w:rsidP="00DE7B99">
      <w:pPr>
        <w:pStyle w:val="Heading1"/>
      </w:pPr>
      <w:r>
        <w:t>Coffin Bay KBA, South Australia</w:t>
      </w:r>
    </w:p>
    <w:p w14:paraId="61C441A7" w14:textId="11C1E685" w:rsidR="0028559B" w:rsidRDefault="0028559B" w:rsidP="00F50463">
      <w:pPr>
        <w:pStyle w:val="Subtitle"/>
      </w:pPr>
      <w:proofErr w:type="spellStart"/>
      <w:r>
        <w:t>BirdLife</w:t>
      </w:r>
      <w:proofErr w:type="spellEnd"/>
      <w:r>
        <w:t xml:space="preserve"> Australia Key Biodiversity Area (KBA) Change Detection Report</w:t>
      </w:r>
    </w:p>
    <w:p w14:paraId="4180C47F" w14:textId="790EF3E8" w:rsidR="0028559B" w:rsidRDefault="0028559B" w:rsidP="0028559B">
      <w:r>
        <w:t xml:space="preserve">Prepared for </w:t>
      </w:r>
      <w:hyperlink r:id="rId7" w:history="1">
        <w:proofErr w:type="spellStart"/>
        <w:r w:rsidRPr="00331DF0">
          <w:rPr>
            <w:rStyle w:val="Hyperlink"/>
          </w:rPr>
          <w:t>BirdLife</w:t>
        </w:r>
        <w:proofErr w:type="spellEnd"/>
        <w:r w:rsidRPr="00331DF0">
          <w:rPr>
            <w:rStyle w:val="Hyperlink"/>
          </w:rPr>
          <w:t xml:space="preserve"> Australia</w:t>
        </w:r>
      </w:hyperlink>
      <w:r>
        <w:t xml:space="preserve"> by </w:t>
      </w:r>
      <w:hyperlink r:id="rId8" w:history="1">
        <w:r w:rsidRPr="00331DF0">
          <w:rPr>
            <w:rStyle w:val="Hyperlink"/>
          </w:rPr>
          <w:t>Michael Dear</w:t>
        </w:r>
      </w:hyperlink>
      <w:r>
        <w:t>, April 2024</w:t>
      </w:r>
    </w:p>
    <w:p w14:paraId="747C13F6" w14:textId="77777777" w:rsidR="00CF5404" w:rsidRDefault="00CF5404" w:rsidP="0028559B"/>
    <w:p w14:paraId="03FF142E" w14:textId="1A62F519" w:rsidR="0028559B" w:rsidRDefault="0028559B" w:rsidP="00DE7B99">
      <w:pPr>
        <w:pStyle w:val="Heading2"/>
      </w:pPr>
      <w:r>
        <w:t>Links</w:t>
      </w:r>
    </w:p>
    <w:p w14:paraId="3D4272CA" w14:textId="102B8CFE" w:rsidR="0028559B" w:rsidRDefault="00331DF0" w:rsidP="0028559B">
      <w:hyperlink r:id="rId9" w:history="1">
        <w:r w:rsidRPr="00331DF0">
          <w:rPr>
            <w:rStyle w:val="Hyperlink"/>
          </w:rPr>
          <w:t xml:space="preserve">Coffin Bay </w:t>
        </w:r>
        <w:proofErr w:type="spellStart"/>
        <w:r w:rsidRPr="00331DF0">
          <w:rPr>
            <w:rStyle w:val="Hyperlink"/>
          </w:rPr>
          <w:t>BirdLife</w:t>
        </w:r>
        <w:proofErr w:type="spellEnd"/>
        <w:r w:rsidRPr="00331DF0">
          <w:rPr>
            <w:rStyle w:val="Hyperlink"/>
          </w:rPr>
          <w:t xml:space="preserve"> Factsheet</w:t>
        </w:r>
      </w:hyperlink>
    </w:p>
    <w:p w14:paraId="1FD902DB" w14:textId="77777777" w:rsidR="00CF5404" w:rsidRDefault="00CF5404" w:rsidP="0028559B"/>
    <w:p w14:paraId="393A74B1" w14:textId="0847D3DE" w:rsidR="0028559B" w:rsidRDefault="0028559B" w:rsidP="00DE7B99">
      <w:pPr>
        <w:pStyle w:val="Heading2"/>
      </w:pPr>
      <w:r>
        <w:t>Glossary</w:t>
      </w:r>
    </w:p>
    <w:p w14:paraId="129B84D1" w14:textId="20C77704" w:rsidR="0028559B" w:rsidRDefault="0028559B" w:rsidP="00792AAB">
      <w:r w:rsidRPr="00792AAB">
        <w:rPr>
          <w:rStyle w:val="Emphasis"/>
        </w:rPr>
        <w:t>Mean</w:t>
      </w:r>
      <w:r>
        <w:t>: the average of a set of numbers.</w:t>
      </w:r>
    </w:p>
    <w:p w14:paraId="73430995" w14:textId="22D5ABB2" w:rsidR="0028559B" w:rsidRDefault="0028559B" w:rsidP="00792AAB">
      <w:r w:rsidRPr="00792AAB">
        <w:rPr>
          <w:rStyle w:val="Emphasis"/>
        </w:rPr>
        <w:t>Normalised Difference Vegetation Index (NDVI)</w:t>
      </w:r>
      <w:r>
        <w:t xml:space="preserve">: The NDVI is a common remote sensing index used for the assessment of vegetation cover and vigour. The NDVI has values in the range of -1 to 1. Values below 0 are generally associated with deep water. Values above 0.8 are associated with dense forest. </w:t>
      </w:r>
    </w:p>
    <w:p w14:paraId="69CDC247" w14:textId="6D8C68AB" w:rsidR="0028559B" w:rsidRDefault="0028559B" w:rsidP="0028559B">
      <w:r w:rsidRPr="00792AAB">
        <w:rPr>
          <w:rStyle w:val="Emphasis"/>
        </w:rPr>
        <w:t>Masked</w:t>
      </w:r>
      <w:r>
        <w:t>: Pixels that were excluded from the dataset due to a lack of data e.g. cloud cover</w:t>
      </w:r>
    </w:p>
    <w:p w14:paraId="7251AC84" w14:textId="77777777" w:rsidR="00CF5404" w:rsidRDefault="00CF5404" w:rsidP="0028559B"/>
    <w:p w14:paraId="15A2FE3B" w14:textId="126C3D9F" w:rsidR="0028559B" w:rsidRDefault="0028559B" w:rsidP="00DE7B99">
      <w:pPr>
        <w:pStyle w:val="Heading2"/>
      </w:pPr>
      <w:r>
        <w:t>Key Points</w:t>
      </w:r>
    </w:p>
    <w:p w14:paraId="28FFC825" w14:textId="3BDBDECF" w:rsidR="0028559B" w:rsidRDefault="0028559B" w:rsidP="001C6A5F">
      <w:pPr>
        <w:pStyle w:val="ListParagraph"/>
        <w:numPr>
          <w:ilvl w:val="0"/>
          <w:numId w:val="2"/>
        </w:numPr>
      </w:pPr>
      <w:r>
        <w:t>A much larger area of the KBA was classified as medium density vegetation in 2023 than in 2024 or for the mean of 2019 to 2023. This could be due to higher rainfall or error introduced by atmospheric or other noise effects.</w:t>
      </w:r>
    </w:p>
    <w:p w14:paraId="6894339B" w14:textId="754B6D08" w:rsidR="0028559B" w:rsidRDefault="0028559B" w:rsidP="0028559B">
      <w:pPr>
        <w:pStyle w:val="ListParagraph"/>
        <w:numPr>
          <w:ilvl w:val="0"/>
          <w:numId w:val="2"/>
        </w:numPr>
      </w:pPr>
      <w:r>
        <w:t>Other land cover classes were</w:t>
      </w:r>
      <w:r w:rsidR="001C6A5F">
        <w:t xml:space="preserve"> found to be</w:t>
      </w:r>
      <w:r>
        <w:t xml:space="preserve"> relatively stable.</w:t>
      </w:r>
    </w:p>
    <w:p w14:paraId="34AAF102" w14:textId="77777777" w:rsidR="00CF5404" w:rsidRDefault="00CF5404" w:rsidP="00CF5404"/>
    <w:p w14:paraId="188CB06E" w14:textId="5B9E0BD9" w:rsidR="0028559B" w:rsidRDefault="0028559B" w:rsidP="00DE7B99">
      <w:pPr>
        <w:pStyle w:val="Heading2"/>
      </w:pPr>
      <w:r>
        <w:t>Method</w:t>
      </w:r>
    </w:p>
    <w:p w14:paraId="403CE4A9" w14:textId="5B85D60B" w:rsidR="0028559B" w:rsidRDefault="0028559B" w:rsidP="0028559B">
      <w:r>
        <w:t xml:space="preserve">Sentinel 2 satellite data was obtained from </w:t>
      </w:r>
      <w:hyperlink r:id="rId10" w:history="1">
        <w:r w:rsidRPr="001C6A5F">
          <w:rPr>
            <w:rStyle w:val="Hyperlink"/>
          </w:rPr>
          <w:t>Digital Earth Australia's</w:t>
        </w:r>
      </w:hyperlink>
      <w:r>
        <w:t xml:space="preserve"> Open Data Cube for the period January to March in each year from 2019 to 2024. Each hectare in the study area was represented by one pixel in the dataset. NDVI and 5-year mean datasets were produced. True-colour (RGB) and NDVI images of the KBA and its surrounds were plotted and reviewed. A classification was developed using NDVI thresholds, from which class change matrices were produced.</w:t>
      </w:r>
    </w:p>
    <w:p w14:paraId="7115F1D1" w14:textId="77777777" w:rsidR="00CF5404" w:rsidRDefault="00CF5404" w:rsidP="0028559B"/>
    <w:p w14:paraId="5B2B3EF9" w14:textId="77777777" w:rsidR="00CF5404" w:rsidRDefault="00CF5404" w:rsidP="0028559B"/>
    <w:p w14:paraId="3674752C" w14:textId="77777777" w:rsidR="00CF5404" w:rsidRDefault="00CF5404" w:rsidP="0028559B"/>
    <w:p w14:paraId="5AFB9883" w14:textId="77777777" w:rsidR="00CF5404" w:rsidRDefault="00CF5404" w:rsidP="0028559B"/>
    <w:p w14:paraId="61B7348F" w14:textId="77777777" w:rsidR="00CF5404" w:rsidRDefault="00CF5404" w:rsidP="0028559B"/>
    <w:p w14:paraId="55646A7F" w14:textId="77777777" w:rsidR="00CF5404" w:rsidRDefault="00CF5404" w:rsidP="0028559B"/>
    <w:p w14:paraId="1FBA2F85" w14:textId="70142C44" w:rsidR="0028559B" w:rsidRDefault="0028559B" w:rsidP="003B5626">
      <w:pPr>
        <w:pStyle w:val="Heading2"/>
      </w:pPr>
      <w:r>
        <w:t>Plots</w:t>
      </w:r>
    </w:p>
    <w:p w14:paraId="44BDB8B0" w14:textId="170E7E11" w:rsidR="0028559B" w:rsidRDefault="0028559B" w:rsidP="00DE7B99">
      <w:pPr>
        <w:pStyle w:val="Heading3"/>
      </w:pPr>
      <w:r>
        <w:t>True-colour (RGB) Plots</w:t>
      </w:r>
    </w:p>
    <w:p w14:paraId="3D631AB2" w14:textId="77777777" w:rsidR="0028559B" w:rsidRDefault="0028559B" w:rsidP="0028559B">
      <w:r>
        <w:t>These plots show a true-colour representation of the KBA and its surrounds. The KBA boundary is shown in orange.</w:t>
      </w:r>
    </w:p>
    <w:p w14:paraId="727E549D" w14:textId="46B8E5C9" w:rsidR="0028559B" w:rsidRDefault="006422E6" w:rsidP="0028559B">
      <w:r>
        <w:rPr>
          <w:noProof/>
        </w:rPr>
        <w:drawing>
          <wp:inline distT="0" distB="0" distL="0" distR="0" wp14:anchorId="2C67EBB1" wp14:editId="3E5439D2">
            <wp:extent cx="5730240" cy="1965960"/>
            <wp:effectExtent l="0" t="0" r="3810" b="0"/>
            <wp:docPr id="180923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1965960"/>
                    </a:xfrm>
                    <a:prstGeom prst="rect">
                      <a:avLst/>
                    </a:prstGeom>
                    <a:noFill/>
                    <a:ln>
                      <a:noFill/>
                    </a:ln>
                  </pic:spPr>
                </pic:pic>
              </a:graphicData>
            </a:graphic>
          </wp:inline>
        </w:drawing>
      </w:r>
    </w:p>
    <w:p w14:paraId="73810012" w14:textId="2B9964B6" w:rsidR="0028559B" w:rsidRDefault="0028559B" w:rsidP="0028559B">
      <w:r>
        <w:t xml:space="preserve">The blue areas within the KBA boundary in the 5-year mean are </w:t>
      </w:r>
      <w:r w:rsidR="009F057E">
        <w:t>possibly</w:t>
      </w:r>
      <w:r>
        <w:t xml:space="preserve"> </w:t>
      </w:r>
      <w:r w:rsidR="008552B6">
        <w:t>an artefact caused by the aggregation process</w:t>
      </w:r>
      <w:r>
        <w:t>. There is a large agricultural area to the north-east of the KBA which could be a source of nutrient and pesticide runoff.</w:t>
      </w:r>
    </w:p>
    <w:p w14:paraId="2FFF86E1" w14:textId="76CCD5CC" w:rsidR="0028559B" w:rsidRDefault="0028559B" w:rsidP="00DE7B99">
      <w:pPr>
        <w:pStyle w:val="Heading3"/>
      </w:pPr>
      <w:r>
        <w:t>Normalised Difference Vegetation Index (NDVI)</w:t>
      </w:r>
    </w:p>
    <w:p w14:paraId="78E6213A" w14:textId="15FD2F33" w:rsidR="0028559B" w:rsidRDefault="0028559B" w:rsidP="0028559B">
      <w:r>
        <w:t>The NDVI plots indicate the regions of higher and lower '</w:t>
      </w:r>
      <w:r w:rsidR="002504A8">
        <w:t>greenness</w:t>
      </w:r>
      <w:r>
        <w:t xml:space="preserve">' for each period. The medium density vegetation areas appear to be greener in 2023 than in 2024. This situation is highlighted in the NDVI Classification plots by the larger extent of the Medium Density class in 2023. No vegetation in the KBA was classified as High Density during the study period. </w:t>
      </w:r>
    </w:p>
    <w:p w14:paraId="66B2C5DA" w14:textId="602C3545" w:rsidR="00DE50CD" w:rsidRDefault="00DE50CD" w:rsidP="0028559B"/>
    <w:p w14:paraId="2F95B6D1" w14:textId="0B416455" w:rsidR="0028559B" w:rsidRDefault="00DE50CD" w:rsidP="0028559B">
      <w:r>
        <w:rPr>
          <w:noProof/>
        </w:rPr>
        <w:drawing>
          <wp:inline distT="0" distB="0" distL="0" distR="0" wp14:anchorId="2AA0BD4B" wp14:editId="2D963052">
            <wp:extent cx="5730240" cy="2415540"/>
            <wp:effectExtent l="0" t="0" r="3810" b="3810"/>
            <wp:docPr id="2140444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14:paraId="2551F81E" w14:textId="77777777" w:rsidR="0028559B" w:rsidRDefault="0028559B" w:rsidP="0028559B"/>
    <w:p w14:paraId="158CB7B4" w14:textId="129085A6" w:rsidR="00DE50CD" w:rsidRDefault="00DE50CD" w:rsidP="0028559B">
      <w:r>
        <w:rPr>
          <w:noProof/>
        </w:rPr>
        <w:lastRenderedPageBreak/>
        <w:drawing>
          <wp:inline distT="0" distB="0" distL="0" distR="0" wp14:anchorId="4D63F557" wp14:editId="252C3FBE">
            <wp:extent cx="5730240" cy="2415540"/>
            <wp:effectExtent l="0" t="0" r="3810" b="3810"/>
            <wp:docPr id="892828908" name="Picture 3"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8908" name="Picture 3" descr="A map of different colo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14:paraId="138A1199" w14:textId="77777777" w:rsidR="0059499A" w:rsidRDefault="0059499A" w:rsidP="0028559B"/>
    <w:p w14:paraId="54A85683" w14:textId="6551D357" w:rsidR="0028559B" w:rsidRDefault="0028559B" w:rsidP="00DE7B99">
      <w:pPr>
        <w:pStyle w:val="Heading2"/>
      </w:pPr>
      <w:r>
        <w:t xml:space="preserve">Class Change </w:t>
      </w:r>
    </w:p>
    <w:p w14:paraId="590BC198" w14:textId="2BA21068" w:rsidR="0028559B" w:rsidRDefault="00BA18D0" w:rsidP="0028559B">
      <w:r>
        <w:t xml:space="preserve">The following </w:t>
      </w:r>
      <w:r w:rsidR="00D45F9C">
        <w:t xml:space="preserve">table displays the </w:t>
      </w:r>
      <w:r w:rsidR="00CF21CF">
        <w:t xml:space="preserve">area </w:t>
      </w:r>
      <w:r w:rsidR="00916A16">
        <w:t xml:space="preserve">for each class in the current year as a percentage of the total area for each class from the previous year. </w:t>
      </w:r>
      <w:r w:rsidR="0028559B">
        <w:t>The rows of the table represent 2023 and the columns represent 2024. Almost half of the vegetation classified as Medium Density in 2023 was classified as Sparse in 2024. The RGB plots of the KBA do not suggest that this change is due to vegetation clearing. The remaining classes show little change.</w:t>
      </w:r>
    </w:p>
    <w:tbl>
      <w:tblPr>
        <w:tblStyle w:val="PlainTable2"/>
        <w:tblW w:w="0" w:type="auto"/>
        <w:tblLook w:val="04A0" w:firstRow="1" w:lastRow="0" w:firstColumn="1" w:lastColumn="0" w:noHBand="0" w:noVBand="1"/>
      </w:tblPr>
      <w:tblGrid>
        <w:gridCol w:w="499"/>
        <w:gridCol w:w="1948"/>
        <w:gridCol w:w="1087"/>
        <w:gridCol w:w="1072"/>
        <w:gridCol w:w="1098"/>
        <w:gridCol w:w="1110"/>
        <w:gridCol w:w="1105"/>
        <w:gridCol w:w="1107"/>
      </w:tblGrid>
      <w:tr w:rsidR="00CF5404" w:rsidRPr="003C10CF" w14:paraId="60EFF4BA" w14:textId="77777777" w:rsidTr="00CF5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extDirection w:val="btLr"/>
            <w:vAlign w:val="center"/>
          </w:tcPr>
          <w:p w14:paraId="312B28C7" w14:textId="77777777" w:rsidR="00CF5404" w:rsidRDefault="00CF5404" w:rsidP="00CF5404">
            <w:pPr>
              <w:ind w:left="113" w:right="113"/>
              <w:jc w:val="center"/>
              <w:rPr>
                <w:lang w:eastAsia="en-AU"/>
              </w:rPr>
            </w:pPr>
          </w:p>
        </w:tc>
        <w:tc>
          <w:tcPr>
            <w:tcW w:w="1948" w:type="dxa"/>
          </w:tcPr>
          <w:p w14:paraId="5FC8260B" w14:textId="77777777" w:rsidR="00CF5404" w:rsidRPr="003C10CF" w:rsidRDefault="00CF5404" w:rsidP="00BA18D0">
            <w:pPr>
              <w:cnfStyle w:val="100000000000" w:firstRow="1" w:lastRow="0" w:firstColumn="0" w:lastColumn="0" w:oddVBand="0" w:evenVBand="0" w:oddHBand="0" w:evenHBand="0" w:firstRowFirstColumn="0" w:firstRowLastColumn="0" w:lastRowFirstColumn="0" w:lastRowLastColumn="0"/>
              <w:rPr>
                <w:lang w:eastAsia="en-AU"/>
              </w:rPr>
            </w:pPr>
          </w:p>
        </w:tc>
        <w:tc>
          <w:tcPr>
            <w:tcW w:w="6579" w:type="dxa"/>
            <w:gridSpan w:val="6"/>
            <w:vAlign w:val="center"/>
          </w:tcPr>
          <w:p w14:paraId="7B28A286" w14:textId="3147BBCF" w:rsidR="00CF5404" w:rsidRPr="00CF5404" w:rsidRDefault="00CF5404" w:rsidP="00CF5404">
            <w:pPr>
              <w:jc w:val="center"/>
              <w:cnfStyle w:val="100000000000" w:firstRow="1" w:lastRow="0" w:firstColumn="0" w:lastColumn="0" w:oddVBand="0" w:evenVBand="0" w:oddHBand="0" w:evenHBand="0" w:firstRowFirstColumn="0" w:firstRowLastColumn="0" w:lastRowFirstColumn="0" w:lastRowLastColumn="0"/>
              <w:rPr>
                <w:lang w:eastAsia="en-AU"/>
              </w:rPr>
            </w:pPr>
            <w:r w:rsidRPr="00CF5404">
              <w:rPr>
                <w:lang w:eastAsia="en-AU"/>
              </w:rPr>
              <w:t>2024</w:t>
            </w:r>
          </w:p>
        </w:tc>
      </w:tr>
      <w:tr w:rsidR="00916A16" w:rsidRPr="003C10CF" w14:paraId="18BAF4CD" w14:textId="77777777" w:rsidTr="00CF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vMerge w:val="restart"/>
            <w:textDirection w:val="btLr"/>
            <w:vAlign w:val="center"/>
          </w:tcPr>
          <w:p w14:paraId="71A52A28" w14:textId="76796728" w:rsidR="00916A16" w:rsidRPr="003C10CF" w:rsidRDefault="00916A16" w:rsidP="00CF5404">
            <w:pPr>
              <w:ind w:left="113" w:right="113"/>
              <w:jc w:val="center"/>
              <w:rPr>
                <w:lang w:eastAsia="en-AU"/>
              </w:rPr>
            </w:pPr>
            <w:r>
              <w:rPr>
                <w:lang w:eastAsia="en-AU"/>
              </w:rPr>
              <w:t>2023</w:t>
            </w:r>
          </w:p>
        </w:tc>
        <w:tc>
          <w:tcPr>
            <w:tcW w:w="1948" w:type="dxa"/>
            <w:hideMark/>
          </w:tcPr>
          <w:p w14:paraId="2DD8AFAE" w14:textId="16A922B5"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p>
        </w:tc>
        <w:tc>
          <w:tcPr>
            <w:tcW w:w="1087" w:type="dxa"/>
            <w:hideMark/>
          </w:tcPr>
          <w:p w14:paraId="6CD8727C"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Water</w:t>
            </w:r>
          </w:p>
        </w:tc>
        <w:tc>
          <w:tcPr>
            <w:tcW w:w="1072" w:type="dxa"/>
            <w:hideMark/>
          </w:tcPr>
          <w:p w14:paraId="46ACFBCD"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Bare</w:t>
            </w:r>
          </w:p>
        </w:tc>
        <w:tc>
          <w:tcPr>
            <w:tcW w:w="1098" w:type="dxa"/>
            <w:hideMark/>
          </w:tcPr>
          <w:p w14:paraId="7544D1F1"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Sparse</w:t>
            </w:r>
          </w:p>
        </w:tc>
        <w:tc>
          <w:tcPr>
            <w:tcW w:w="1110" w:type="dxa"/>
            <w:hideMark/>
          </w:tcPr>
          <w:p w14:paraId="6C370F06"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Medium Density</w:t>
            </w:r>
          </w:p>
        </w:tc>
        <w:tc>
          <w:tcPr>
            <w:tcW w:w="1105" w:type="dxa"/>
            <w:hideMark/>
          </w:tcPr>
          <w:p w14:paraId="1748386B"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High Density</w:t>
            </w:r>
          </w:p>
        </w:tc>
        <w:tc>
          <w:tcPr>
            <w:tcW w:w="1107" w:type="dxa"/>
            <w:hideMark/>
          </w:tcPr>
          <w:p w14:paraId="48A90F40"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Masked</w:t>
            </w:r>
          </w:p>
        </w:tc>
      </w:tr>
      <w:tr w:rsidR="00916A16" w:rsidRPr="003C10CF" w14:paraId="683C15A4" w14:textId="77777777" w:rsidTr="00CF5404">
        <w:tc>
          <w:tcPr>
            <w:cnfStyle w:val="001000000000" w:firstRow="0" w:lastRow="0" w:firstColumn="1" w:lastColumn="0" w:oddVBand="0" w:evenVBand="0" w:oddHBand="0" w:evenHBand="0" w:firstRowFirstColumn="0" w:firstRowLastColumn="0" w:lastRowFirstColumn="0" w:lastRowLastColumn="0"/>
            <w:tcW w:w="499" w:type="dxa"/>
            <w:vMerge/>
          </w:tcPr>
          <w:p w14:paraId="08C4E4A2" w14:textId="77777777" w:rsidR="00916A16" w:rsidRPr="003C10CF" w:rsidRDefault="00916A16" w:rsidP="00BA18D0">
            <w:pPr>
              <w:rPr>
                <w:b w:val="0"/>
                <w:bCs w:val="0"/>
                <w:lang w:eastAsia="en-AU"/>
              </w:rPr>
            </w:pPr>
          </w:p>
        </w:tc>
        <w:tc>
          <w:tcPr>
            <w:tcW w:w="1948" w:type="dxa"/>
            <w:hideMark/>
          </w:tcPr>
          <w:p w14:paraId="574E1B30" w14:textId="1E283D50"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b/>
                <w:bCs/>
                <w:lang w:eastAsia="en-AU"/>
              </w:rPr>
            </w:pPr>
            <w:r w:rsidRPr="003C10CF">
              <w:rPr>
                <w:b/>
                <w:bCs/>
                <w:lang w:eastAsia="en-AU"/>
              </w:rPr>
              <w:t>Water</w:t>
            </w:r>
          </w:p>
        </w:tc>
        <w:tc>
          <w:tcPr>
            <w:tcW w:w="1087" w:type="dxa"/>
            <w:hideMark/>
          </w:tcPr>
          <w:p w14:paraId="6A75DB8C"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97.0</w:t>
            </w:r>
          </w:p>
        </w:tc>
        <w:tc>
          <w:tcPr>
            <w:tcW w:w="1072" w:type="dxa"/>
            <w:hideMark/>
          </w:tcPr>
          <w:p w14:paraId="46748544"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2.9</w:t>
            </w:r>
          </w:p>
        </w:tc>
        <w:tc>
          <w:tcPr>
            <w:tcW w:w="1098" w:type="dxa"/>
            <w:hideMark/>
          </w:tcPr>
          <w:p w14:paraId="7F2961C2"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0.0</w:t>
            </w:r>
          </w:p>
        </w:tc>
        <w:tc>
          <w:tcPr>
            <w:tcW w:w="1110" w:type="dxa"/>
            <w:hideMark/>
          </w:tcPr>
          <w:p w14:paraId="71984A6E"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0.0</w:t>
            </w:r>
          </w:p>
        </w:tc>
        <w:tc>
          <w:tcPr>
            <w:tcW w:w="1105" w:type="dxa"/>
            <w:hideMark/>
          </w:tcPr>
          <w:p w14:paraId="7A6C6102"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0.0</w:t>
            </w:r>
          </w:p>
        </w:tc>
        <w:tc>
          <w:tcPr>
            <w:tcW w:w="1107" w:type="dxa"/>
            <w:hideMark/>
          </w:tcPr>
          <w:p w14:paraId="2AD27E18"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0.1</w:t>
            </w:r>
          </w:p>
        </w:tc>
      </w:tr>
      <w:tr w:rsidR="00916A16" w:rsidRPr="003C10CF" w14:paraId="6D3FB091" w14:textId="77777777" w:rsidTr="00CF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vMerge/>
          </w:tcPr>
          <w:p w14:paraId="37CCF0F9" w14:textId="77777777" w:rsidR="00916A16" w:rsidRPr="003C10CF" w:rsidRDefault="00916A16" w:rsidP="00BA18D0">
            <w:pPr>
              <w:rPr>
                <w:b w:val="0"/>
                <w:bCs w:val="0"/>
                <w:lang w:eastAsia="en-AU"/>
              </w:rPr>
            </w:pPr>
          </w:p>
        </w:tc>
        <w:tc>
          <w:tcPr>
            <w:tcW w:w="1948" w:type="dxa"/>
            <w:hideMark/>
          </w:tcPr>
          <w:p w14:paraId="641713E3" w14:textId="78D5A94D"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Bare</w:t>
            </w:r>
          </w:p>
        </w:tc>
        <w:tc>
          <w:tcPr>
            <w:tcW w:w="1087" w:type="dxa"/>
            <w:hideMark/>
          </w:tcPr>
          <w:p w14:paraId="6462C71A"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1.4</w:t>
            </w:r>
          </w:p>
        </w:tc>
        <w:tc>
          <w:tcPr>
            <w:tcW w:w="1072" w:type="dxa"/>
            <w:hideMark/>
          </w:tcPr>
          <w:p w14:paraId="3C7D0FE8"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98.3</w:t>
            </w:r>
          </w:p>
        </w:tc>
        <w:tc>
          <w:tcPr>
            <w:tcW w:w="1098" w:type="dxa"/>
            <w:hideMark/>
          </w:tcPr>
          <w:p w14:paraId="24D7FA7E"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0.3</w:t>
            </w:r>
          </w:p>
        </w:tc>
        <w:tc>
          <w:tcPr>
            <w:tcW w:w="1110" w:type="dxa"/>
            <w:hideMark/>
          </w:tcPr>
          <w:p w14:paraId="0CB18AFE"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c>
          <w:tcPr>
            <w:tcW w:w="1105" w:type="dxa"/>
            <w:hideMark/>
          </w:tcPr>
          <w:p w14:paraId="122DF63D"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c>
          <w:tcPr>
            <w:tcW w:w="1107" w:type="dxa"/>
            <w:hideMark/>
          </w:tcPr>
          <w:p w14:paraId="084C2BF9"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r>
      <w:tr w:rsidR="00916A16" w:rsidRPr="003C10CF" w14:paraId="3CAC43F0" w14:textId="77777777" w:rsidTr="00CF5404">
        <w:tc>
          <w:tcPr>
            <w:cnfStyle w:val="001000000000" w:firstRow="0" w:lastRow="0" w:firstColumn="1" w:lastColumn="0" w:oddVBand="0" w:evenVBand="0" w:oddHBand="0" w:evenHBand="0" w:firstRowFirstColumn="0" w:firstRowLastColumn="0" w:lastRowFirstColumn="0" w:lastRowLastColumn="0"/>
            <w:tcW w:w="499" w:type="dxa"/>
            <w:vMerge/>
          </w:tcPr>
          <w:p w14:paraId="795F2E7E" w14:textId="77777777" w:rsidR="00916A16" w:rsidRPr="003C10CF" w:rsidRDefault="00916A16" w:rsidP="00BA18D0">
            <w:pPr>
              <w:rPr>
                <w:b w:val="0"/>
                <w:bCs w:val="0"/>
                <w:lang w:eastAsia="en-AU"/>
              </w:rPr>
            </w:pPr>
          </w:p>
        </w:tc>
        <w:tc>
          <w:tcPr>
            <w:tcW w:w="1948" w:type="dxa"/>
            <w:hideMark/>
          </w:tcPr>
          <w:p w14:paraId="3F65A4F6" w14:textId="038DFE3D"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b/>
                <w:bCs/>
                <w:lang w:eastAsia="en-AU"/>
              </w:rPr>
            </w:pPr>
            <w:r w:rsidRPr="003C10CF">
              <w:rPr>
                <w:b/>
                <w:bCs/>
                <w:lang w:eastAsia="en-AU"/>
              </w:rPr>
              <w:t>Sparse</w:t>
            </w:r>
          </w:p>
        </w:tc>
        <w:tc>
          <w:tcPr>
            <w:tcW w:w="1087" w:type="dxa"/>
            <w:hideMark/>
          </w:tcPr>
          <w:p w14:paraId="397635A1"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0.0</w:t>
            </w:r>
          </w:p>
        </w:tc>
        <w:tc>
          <w:tcPr>
            <w:tcW w:w="1072" w:type="dxa"/>
            <w:hideMark/>
          </w:tcPr>
          <w:p w14:paraId="06F4272D"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2.5</w:t>
            </w:r>
          </w:p>
        </w:tc>
        <w:tc>
          <w:tcPr>
            <w:tcW w:w="1098" w:type="dxa"/>
            <w:hideMark/>
          </w:tcPr>
          <w:p w14:paraId="5F8F99F9"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96.9</w:t>
            </w:r>
          </w:p>
        </w:tc>
        <w:tc>
          <w:tcPr>
            <w:tcW w:w="1110" w:type="dxa"/>
            <w:hideMark/>
          </w:tcPr>
          <w:p w14:paraId="2312E13E"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0.5</w:t>
            </w:r>
          </w:p>
        </w:tc>
        <w:tc>
          <w:tcPr>
            <w:tcW w:w="1105" w:type="dxa"/>
            <w:hideMark/>
          </w:tcPr>
          <w:p w14:paraId="2657BDB3"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0.0</w:t>
            </w:r>
          </w:p>
        </w:tc>
        <w:tc>
          <w:tcPr>
            <w:tcW w:w="1107" w:type="dxa"/>
            <w:hideMark/>
          </w:tcPr>
          <w:p w14:paraId="0F153C05"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0.0</w:t>
            </w:r>
          </w:p>
        </w:tc>
      </w:tr>
      <w:tr w:rsidR="00916A16" w:rsidRPr="003C10CF" w14:paraId="6858820F" w14:textId="77777777" w:rsidTr="00CF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vMerge/>
          </w:tcPr>
          <w:p w14:paraId="0B6BC9B1" w14:textId="77777777" w:rsidR="00916A16" w:rsidRPr="003C10CF" w:rsidRDefault="00916A16" w:rsidP="00BA18D0">
            <w:pPr>
              <w:rPr>
                <w:b w:val="0"/>
                <w:bCs w:val="0"/>
                <w:lang w:eastAsia="en-AU"/>
              </w:rPr>
            </w:pPr>
          </w:p>
        </w:tc>
        <w:tc>
          <w:tcPr>
            <w:tcW w:w="1948" w:type="dxa"/>
            <w:hideMark/>
          </w:tcPr>
          <w:p w14:paraId="37B729E7" w14:textId="7B9E8546"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Medium Density</w:t>
            </w:r>
          </w:p>
        </w:tc>
        <w:tc>
          <w:tcPr>
            <w:tcW w:w="1087" w:type="dxa"/>
            <w:hideMark/>
          </w:tcPr>
          <w:p w14:paraId="08CF42FC"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c>
          <w:tcPr>
            <w:tcW w:w="1072" w:type="dxa"/>
            <w:hideMark/>
          </w:tcPr>
          <w:p w14:paraId="12497CA4"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c>
          <w:tcPr>
            <w:tcW w:w="1098" w:type="dxa"/>
            <w:hideMark/>
          </w:tcPr>
          <w:p w14:paraId="283F50CF"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46.5</w:t>
            </w:r>
          </w:p>
        </w:tc>
        <w:tc>
          <w:tcPr>
            <w:tcW w:w="1110" w:type="dxa"/>
            <w:hideMark/>
          </w:tcPr>
          <w:p w14:paraId="200BD5A4"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53.4</w:t>
            </w:r>
          </w:p>
        </w:tc>
        <w:tc>
          <w:tcPr>
            <w:tcW w:w="1105" w:type="dxa"/>
            <w:hideMark/>
          </w:tcPr>
          <w:p w14:paraId="010FB026"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c>
          <w:tcPr>
            <w:tcW w:w="1107" w:type="dxa"/>
            <w:hideMark/>
          </w:tcPr>
          <w:p w14:paraId="51E564CA"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r>
      <w:tr w:rsidR="00916A16" w:rsidRPr="003C10CF" w14:paraId="5F8D3FD8" w14:textId="77777777" w:rsidTr="00CF5404">
        <w:tc>
          <w:tcPr>
            <w:cnfStyle w:val="001000000000" w:firstRow="0" w:lastRow="0" w:firstColumn="1" w:lastColumn="0" w:oddVBand="0" w:evenVBand="0" w:oddHBand="0" w:evenHBand="0" w:firstRowFirstColumn="0" w:firstRowLastColumn="0" w:lastRowFirstColumn="0" w:lastRowLastColumn="0"/>
            <w:tcW w:w="499" w:type="dxa"/>
            <w:vMerge/>
          </w:tcPr>
          <w:p w14:paraId="768FF8CD" w14:textId="77777777" w:rsidR="00916A16" w:rsidRPr="003C10CF" w:rsidRDefault="00916A16" w:rsidP="00BA18D0">
            <w:pPr>
              <w:rPr>
                <w:b w:val="0"/>
                <w:bCs w:val="0"/>
                <w:lang w:eastAsia="en-AU"/>
              </w:rPr>
            </w:pPr>
          </w:p>
        </w:tc>
        <w:tc>
          <w:tcPr>
            <w:tcW w:w="1948" w:type="dxa"/>
            <w:hideMark/>
          </w:tcPr>
          <w:p w14:paraId="2682553D" w14:textId="44D69146"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b/>
                <w:bCs/>
                <w:lang w:eastAsia="en-AU"/>
              </w:rPr>
            </w:pPr>
            <w:r w:rsidRPr="003C10CF">
              <w:rPr>
                <w:b/>
                <w:bCs/>
                <w:lang w:eastAsia="en-AU"/>
              </w:rPr>
              <w:t>High Density</w:t>
            </w:r>
          </w:p>
        </w:tc>
        <w:tc>
          <w:tcPr>
            <w:tcW w:w="1087" w:type="dxa"/>
            <w:hideMark/>
          </w:tcPr>
          <w:p w14:paraId="710CCC31"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proofErr w:type="spellStart"/>
            <w:r w:rsidRPr="003C10CF">
              <w:rPr>
                <w:lang w:eastAsia="en-AU"/>
              </w:rPr>
              <w:t>NaN</w:t>
            </w:r>
            <w:proofErr w:type="spellEnd"/>
          </w:p>
        </w:tc>
        <w:tc>
          <w:tcPr>
            <w:tcW w:w="1072" w:type="dxa"/>
            <w:hideMark/>
          </w:tcPr>
          <w:p w14:paraId="13025523"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proofErr w:type="spellStart"/>
            <w:r w:rsidRPr="003C10CF">
              <w:rPr>
                <w:lang w:eastAsia="en-AU"/>
              </w:rPr>
              <w:t>NaN</w:t>
            </w:r>
            <w:proofErr w:type="spellEnd"/>
          </w:p>
        </w:tc>
        <w:tc>
          <w:tcPr>
            <w:tcW w:w="1098" w:type="dxa"/>
            <w:hideMark/>
          </w:tcPr>
          <w:p w14:paraId="5B88D164"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proofErr w:type="spellStart"/>
            <w:r w:rsidRPr="003C10CF">
              <w:rPr>
                <w:lang w:eastAsia="en-AU"/>
              </w:rPr>
              <w:t>NaN</w:t>
            </w:r>
            <w:proofErr w:type="spellEnd"/>
          </w:p>
        </w:tc>
        <w:tc>
          <w:tcPr>
            <w:tcW w:w="1110" w:type="dxa"/>
            <w:hideMark/>
          </w:tcPr>
          <w:p w14:paraId="2AD5D394"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proofErr w:type="spellStart"/>
            <w:r w:rsidRPr="003C10CF">
              <w:rPr>
                <w:lang w:eastAsia="en-AU"/>
              </w:rPr>
              <w:t>NaN</w:t>
            </w:r>
            <w:proofErr w:type="spellEnd"/>
          </w:p>
        </w:tc>
        <w:tc>
          <w:tcPr>
            <w:tcW w:w="1105" w:type="dxa"/>
            <w:hideMark/>
          </w:tcPr>
          <w:p w14:paraId="68229DF8"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proofErr w:type="spellStart"/>
            <w:r w:rsidRPr="003C10CF">
              <w:rPr>
                <w:lang w:eastAsia="en-AU"/>
              </w:rPr>
              <w:t>NaN</w:t>
            </w:r>
            <w:proofErr w:type="spellEnd"/>
          </w:p>
        </w:tc>
        <w:tc>
          <w:tcPr>
            <w:tcW w:w="1107" w:type="dxa"/>
            <w:hideMark/>
          </w:tcPr>
          <w:p w14:paraId="13131EB2"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proofErr w:type="spellStart"/>
            <w:r w:rsidRPr="003C10CF">
              <w:rPr>
                <w:lang w:eastAsia="en-AU"/>
              </w:rPr>
              <w:t>NaN</w:t>
            </w:r>
            <w:proofErr w:type="spellEnd"/>
          </w:p>
        </w:tc>
      </w:tr>
      <w:tr w:rsidR="00916A16" w:rsidRPr="003C10CF" w14:paraId="6D9F084B" w14:textId="77777777" w:rsidTr="00CF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vMerge/>
          </w:tcPr>
          <w:p w14:paraId="78E54076" w14:textId="77777777" w:rsidR="00916A16" w:rsidRPr="003C10CF" w:rsidRDefault="00916A16" w:rsidP="00BA18D0">
            <w:pPr>
              <w:rPr>
                <w:b w:val="0"/>
                <w:bCs w:val="0"/>
                <w:lang w:eastAsia="en-AU"/>
              </w:rPr>
            </w:pPr>
          </w:p>
        </w:tc>
        <w:tc>
          <w:tcPr>
            <w:tcW w:w="1948" w:type="dxa"/>
            <w:hideMark/>
          </w:tcPr>
          <w:p w14:paraId="48D72F9D" w14:textId="729929CB"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Masked</w:t>
            </w:r>
          </w:p>
        </w:tc>
        <w:tc>
          <w:tcPr>
            <w:tcW w:w="1087" w:type="dxa"/>
            <w:hideMark/>
          </w:tcPr>
          <w:p w14:paraId="024A7454"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18.2</w:t>
            </w:r>
          </w:p>
        </w:tc>
        <w:tc>
          <w:tcPr>
            <w:tcW w:w="1072" w:type="dxa"/>
            <w:hideMark/>
          </w:tcPr>
          <w:p w14:paraId="7D5D6944"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9.1</w:t>
            </w:r>
          </w:p>
        </w:tc>
        <w:tc>
          <w:tcPr>
            <w:tcW w:w="1098" w:type="dxa"/>
            <w:hideMark/>
          </w:tcPr>
          <w:p w14:paraId="039C6319"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36.4</w:t>
            </w:r>
          </w:p>
        </w:tc>
        <w:tc>
          <w:tcPr>
            <w:tcW w:w="1110" w:type="dxa"/>
            <w:hideMark/>
          </w:tcPr>
          <w:p w14:paraId="21927732"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4.5</w:t>
            </w:r>
          </w:p>
        </w:tc>
        <w:tc>
          <w:tcPr>
            <w:tcW w:w="1105" w:type="dxa"/>
            <w:hideMark/>
          </w:tcPr>
          <w:p w14:paraId="0AF38D16"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c>
          <w:tcPr>
            <w:tcW w:w="1107" w:type="dxa"/>
            <w:hideMark/>
          </w:tcPr>
          <w:p w14:paraId="3C784941"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31.8</w:t>
            </w:r>
          </w:p>
        </w:tc>
      </w:tr>
    </w:tbl>
    <w:p w14:paraId="490FAFCF" w14:textId="77777777" w:rsidR="003C10CF" w:rsidRDefault="003C10CF" w:rsidP="0028559B"/>
    <w:p w14:paraId="330ED48A" w14:textId="77777777" w:rsidR="0028559B" w:rsidRDefault="0028559B" w:rsidP="0028559B"/>
    <w:p w14:paraId="16EB2508" w14:textId="77777777" w:rsidR="000738D3" w:rsidRDefault="000738D3"/>
    <w:sectPr w:rsidR="000738D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CB946" w14:textId="77777777" w:rsidR="00015782" w:rsidRDefault="00015782" w:rsidP="0059499A">
      <w:pPr>
        <w:spacing w:after="0" w:line="240" w:lineRule="auto"/>
      </w:pPr>
      <w:r>
        <w:separator/>
      </w:r>
    </w:p>
  </w:endnote>
  <w:endnote w:type="continuationSeparator" w:id="0">
    <w:p w14:paraId="5B4358A7" w14:textId="77777777" w:rsidR="00015782" w:rsidRDefault="00015782" w:rsidP="00594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329948"/>
      <w:docPartObj>
        <w:docPartGallery w:val="Page Numbers (Bottom of Page)"/>
        <w:docPartUnique/>
      </w:docPartObj>
    </w:sdtPr>
    <w:sdtContent>
      <w:p w14:paraId="59E4BFBE" w14:textId="287C60ED" w:rsidR="0059499A" w:rsidRDefault="0059499A">
        <w:pPr>
          <w:pStyle w:val="Footer"/>
          <w:jc w:val="center"/>
        </w:pPr>
        <w:r>
          <w:fldChar w:fldCharType="begin"/>
        </w:r>
        <w:r>
          <w:instrText>PAGE   \* MERGEFORMAT</w:instrText>
        </w:r>
        <w:r>
          <w:fldChar w:fldCharType="separate"/>
        </w:r>
        <w:r>
          <w:rPr>
            <w:lang w:val="en-GB"/>
          </w:rPr>
          <w:t>2</w:t>
        </w:r>
        <w:r>
          <w:fldChar w:fldCharType="end"/>
        </w:r>
      </w:p>
    </w:sdtContent>
  </w:sdt>
  <w:p w14:paraId="27A970CA" w14:textId="77777777" w:rsidR="0059499A" w:rsidRDefault="005949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681A0" w14:textId="77777777" w:rsidR="00015782" w:rsidRDefault="00015782" w:rsidP="0059499A">
      <w:pPr>
        <w:spacing w:after="0" w:line="240" w:lineRule="auto"/>
      </w:pPr>
      <w:r>
        <w:separator/>
      </w:r>
    </w:p>
  </w:footnote>
  <w:footnote w:type="continuationSeparator" w:id="0">
    <w:p w14:paraId="2D2A91AC" w14:textId="77777777" w:rsidR="00015782" w:rsidRDefault="00015782" w:rsidP="005949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2024EE"/>
    <w:multiLevelType w:val="hybridMultilevel"/>
    <w:tmpl w:val="C8FAD7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0427101"/>
    <w:multiLevelType w:val="hybridMultilevel"/>
    <w:tmpl w:val="A0F0C5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23055285">
    <w:abstractNumId w:val="0"/>
  </w:num>
  <w:num w:numId="2" w16cid:durableId="895429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59B"/>
    <w:rsid w:val="00015782"/>
    <w:rsid w:val="000738D3"/>
    <w:rsid w:val="000E765E"/>
    <w:rsid w:val="001C6A5F"/>
    <w:rsid w:val="001F6089"/>
    <w:rsid w:val="002504A8"/>
    <w:rsid w:val="0028559B"/>
    <w:rsid w:val="003150F4"/>
    <w:rsid w:val="00331DF0"/>
    <w:rsid w:val="003B5626"/>
    <w:rsid w:val="003C10CF"/>
    <w:rsid w:val="003D767C"/>
    <w:rsid w:val="0059499A"/>
    <w:rsid w:val="006422E6"/>
    <w:rsid w:val="00792AAB"/>
    <w:rsid w:val="008552B6"/>
    <w:rsid w:val="008B3D7B"/>
    <w:rsid w:val="00916A16"/>
    <w:rsid w:val="00995C91"/>
    <w:rsid w:val="009F057E"/>
    <w:rsid w:val="00AD1BD2"/>
    <w:rsid w:val="00BA18D0"/>
    <w:rsid w:val="00CF21CF"/>
    <w:rsid w:val="00CF5404"/>
    <w:rsid w:val="00D45F9C"/>
    <w:rsid w:val="00D617E1"/>
    <w:rsid w:val="00DE50CD"/>
    <w:rsid w:val="00DE7B99"/>
    <w:rsid w:val="00E12A5E"/>
    <w:rsid w:val="00F5046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D8F89"/>
  <w15:chartTrackingRefBased/>
  <w15:docId w15:val="{4D01272A-2A49-4E34-A285-37BCA8185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5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5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5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5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5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5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5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5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5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lainHorizontalLines">
    <w:name w:val="Plain Horizontal Lines"/>
    <w:basedOn w:val="TableNormal"/>
    <w:uiPriority w:val="99"/>
    <w:rsid w:val="00AD1BD2"/>
    <w:pPr>
      <w:spacing w:after="0" w:line="240" w:lineRule="auto"/>
    </w:pPr>
    <w:rPr>
      <w:rFonts w:eastAsiaTheme="minorEastAsia"/>
      <w:kern w:val="0"/>
      <w14:ligatures w14:val="none"/>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108" w:type="dxa"/>
        <w:bottom w:w="108" w:type="dxa"/>
      </w:tblCellMar>
    </w:tblPr>
    <w:tcPr>
      <w:vAlign w:val="center"/>
    </w:tcPr>
  </w:style>
  <w:style w:type="character" w:customStyle="1" w:styleId="Heading1Char">
    <w:name w:val="Heading 1 Char"/>
    <w:basedOn w:val="DefaultParagraphFont"/>
    <w:link w:val="Heading1"/>
    <w:uiPriority w:val="9"/>
    <w:rsid w:val="002855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5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5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5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5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5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5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5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59B"/>
    <w:rPr>
      <w:rFonts w:eastAsiaTheme="majorEastAsia" w:cstheme="majorBidi"/>
      <w:color w:val="272727" w:themeColor="text1" w:themeTint="D8"/>
    </w:rPr>
  </w:style>
  <w:style w:type="paragraph" w:styleId="Title">
    <w:name w:val="Title"/>
    <w:basedOn w:val="Normal"/>
    <w:next w:val="Normal"/>
    <w:link w:val="TitleChar"/>
    <w:uiPriority w:val="10"/>
    <w:qFormat/>
    <w:rsid w:val="002855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5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5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5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59B"/>
    <w:pPr>
      <w:spacing w:before="160"/>
      <w:jc w:val="center"/>
    </w:pPr>
    <w:rPr>
      <w:i/>
      <w:iCs/>
      <w:color w:val="404040" w:themeColor="text1" w:themeTint="BF"/>
    </w:rPr>
  </w:style>
  <w:style w:type="character" w:customStyle="1" w:styleId="QuoteChar">
    <w:name w:val="Quote Char"/>
    <w:basedOn w:val="DefaultParagraphFont"/>
    <w:link w:val="Quote"/>
    <w:uiPriority w:val="29"/>
    <w:rsid w:val="0028559B"/>
    <w:rPr>
      <w:i/>
      <w:iCs/>
      <w:color w:val="404040" w:themeColor="text1" w:themeTint="BF"/>
    </w:rPr>
  </w:style>
  <w:style w:type="paragraph" w:styleId="ListParagraph">
    <w:name w:val="List Paragraph"/>
    <w:basedOn w:val="Normal"/>
    <w:uiPriority w:val="34"/>
    <w:qFormat/>
    <w:rsid w:val="0028559B"/>
    <w:pPr>
      <w:ind w:left="720"/>
      <w:contextualSpacing/>
    </w:pPr>
  </w:style>
  <w:style w:type="character" w:styleId="IntenseEmphasis">
    <w:name w:val="Intense Emphasis"/>
    <w:basedOn w:val="DefaultParagraphFont"/>
    <w:uiPriority w:val="21"/>
    <w:qFormat/>
    <w:rsid w:val="0028559B"/>
    <w:rPr>
      <w:i/>
      <w:iCs/>
      <w:color w:val="0F4761" w:themeColor="accent1" w:themeShade="BF"/>
    </w:rPr>
  </w:style>
  <w:style w:type="paragraph" w:styleId="IntenseQuote">
    <w:name w:val="Intense Quote"/>
    <w:basedOn w:val="Normal"/>
    <w:next w:val="Normal"/>
    <w:link w:val="IntenseQuoteChar"/>
    <w:uiPriority w:val="30"/>
    <w:qFormat/>
    <w:rsid w:val="002855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59B"/>
    <w:rPr>
      <w:i/>
      <w:iCs/>
      <w:color w:val="0F4761" w:themeColor="accent1" w:themeShade="BF"/>
    </w:rPr>
  </w:style>
  <w:style w:type="character" w:styleId="IntenseReference">
    <w:name w:val="Intense Reference"/>
    <w:basedOn w:val="DefaultParagraphFont"/>
    <w:uiPriority w:val="32"/>
    <w:qFormat/>
    <w:rsid w:val="0028559B"/>
    <w:rPr>
      <w:b/>
      <w:bCs/>
      <w:smallCaps/>
      <w:color w:val="0F4761" w:themeColor="accent1" w:themeShade="BF"/>
      <w:spacing w:val="5"/>
    </w:rPr>
  </w:style>
  <w:style w:type="character" w:styleId="Hyperlink">
    <w:name w:val="Hyperlink"/>
    <w:basedOn w:val="DefaultParagraphFont"/>
    <w:uiPriority w:val="99"/>
    <w:unhideWhenUsed/>
    <w:rsid w:val="00331DF0"/>
    <w:rPr>
      <w:color w:val="467886" w:themeColor="hyperlink"/>
      <w:u w:val="single"/>
    </w:rPr>
  </w:style>
  <w:style w:type="character" w:styleId="UnresolvedMention">
    <w:name w:val="Unresolved Mention"/>
    <w:basedOn w:val="DefaultParagraphFont"/>
    <w:uiPriority w:val="99"/>
    <w:semiHidden/>
    <w:unhideWhenUsed/>
    <w:rsid w:val="00331DF0"/>
    <w:rPr>
      <w:color w:val="605E5C"/>
      <w:shd w:val="clear" w:color="auto" w:fill="E1DFDD"/>
    </w:rPr>
  </w:style>
  <w:style w:type="character" w:styleId="Emphasis">
    <w:name w:val="Emphasis"/>
    <w:basedOn w:val="DefaultParagraphFont"/>
    <w:uiPriority w:val="20"/>
    <w:qFormat/>
    <w:rsid w:val="00792AAB"/>
    <w:rPr>
      <w:i/>
      <w:iCs/>
    </w:rPr>
  </w:style>
  <w:style w:type="table" w:styleId="PlainTable2">
    <w:name w:val="Plain Table 2"/>
    <w:basedOn w:val="TableNormal"/>
    <w:uiPriority w:val="42"/>
    <w:rsid w:val="000E765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94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99A"/>
  </w:style>
  <w:style w:type="paragraph" w:styleId="Footer">
    <w:name w:val="footer"/>
    <w:basedOn w:val="Normal"/>
    <w:link w:val="FooterChar"/>
    <w:uiPriority w:val="99"/>
    <w:unhideWhenUsed/>
    <w:rsid w:val="00594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99A"/>
  </w:style>
  <w:style w:type="character" w:styleId="FollowedHyperlink">
    <w:name w:val="FollowedHyperlink"/>
    <w:basedOn w:val="DefaultParagraphFont"/>
    <w:uiPriority w:val="99"/>
    <w:semiHidden/>
    <w:unhideWhenUsed/>
    <w:rsid w:val="009F057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85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jdear68.github.io/portfolio/"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irdlife.org.au/"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dea.ga.gov.au/" TargetMode="External"/><Relationship Id="rId4" Type="http://schemas.openxmlformats.org/officeDocument/2006/relationships/webSettings" Target="webSettings.xml"/><Relationship Id="rId9" Type="http://schemas.openxmlformats.org/officeDocument/2006/relationships/hyperlink" Target="http://datazone.birdlife.org/site/factsheet/coffin-bay-iba-australia"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Dear</dc:creator>
  <cp:keywords/>
  <dc:description/>
  <cp:lastModifiedBy>Michael Dear</cp:lastModifiedBy>
  <cp:revision>20</cp:revision>
  <dcterms:created xsi:type="dcterms:W3CDTF">2024-04-19T05:09:00Z</dcterms:created>
  <dcterms:modified xsi:type="dcterms:W3CDTF">2024-04-19T06:32:00Z</dcterms:modified>
</cp:coreProperties>
</file>