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印尼金川WP公司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2026年上半年技术创新成果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评  审  表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申报部门：电厂部</w:t>
      </w: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申报日期：2026年7月</w:t>
      </w:r>
    </w:p>
    <w:p>
      <w:pPr>
        <w:jc w:val="center"/>
      </w:pPr>
      <w:r>
        <w:rPr>
          <w:rFonts w:ascii="SimSun" w:cs="SimSun" w:eastAsia="SimSun" w:hAnsi="SimSun"/>
          <w:color w:val="555555"/>
          <w:sz w:val="20"/>
          <w:szCs w:val="20"/>
        </w:rPr>
        <w:t xml:space="preserve">依据：印尼金川WP公司员工技术创新活动管理规定（WP制〔2025〕02号）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表1</w:t>
      </w:r>
    </w:p>
    <w:p>
      <w:pPr>
        <w:spacing w:after="100"/>
        <w:jc w:val="center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印尼金川WP公司员工技术创新成果评审表</w:t>
      </w:r>
    </w:p>
    <w:p>
      <w:pPr>
        <w:spacing w:after="100"/>
        <w:jc w:val="center"/>
      </w:pPr>
      <w:r>
        <w:rPr>
          <w:rFonts w:ascii="SimSun" w:cs="SimSun" w:eastAsia="SimSun" w:hAnsi="SimSun"/>
          <w:color w:val="555555"/>
          <w:sz w:val="20"/>
          <w:szCs w:val="20"/>
        </w:rPr>
        <w:t xml:space="preserve">（评审专家用，每位评审专家一份，会上统一发放）</w:t>
      </w:r>
    </w:p>
    <w:p>
      <w:pPr>
        <w:spacing w:after="60"/>
      </w:pPr>
    </w:p>
    <w:p>
      <w:pPr>
        <w:spacing w:after="200"/>
      </w:pPr>
      <w:r>
        <w:rPr>
          <w:rFonts w:ascii="SimSun" w:cs="SimSun" w:eastAsia="SimSun" w:hAnsi="SimSun"/>
          <w:sz w:val="21"/>
          <w:szCs w:val="21"/>
        </w:rPr>
        <w:t xml:space="preserve">评审专家：__________</w:t>
      </w:r>
      <w:r>
        <w:rPr>
          <w:rFonts w:ascii="SimSun" w:cs="SimSun" w:eastAsia="SimSun" w:hAnsi="SimSun"/>
          <w:sz w:val="21"/>
          <w:szCs w:val="21"/>
        </w:rPr>
        <w:t xml:space="preserve">　　　　　　　　</w:t>
      </w:r>
      <w:r>
        <w:rPr>
          <w:rFonts w:ascii="SimSun" w:cs="SimSun" w:eastAsia="SimSun" w:hAnsi="SimSun"/>
          <w:sz w:val="21"/>
          <w:szCs w:val="21"/>
        </w:rPr>
        <w:t xml:space="preserve">评审日期：__________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600"/>
        <w:gridCol w:w="1600"/>
        <w:gridCol w:w="1600"/>
        <w:gridCol w:w="1600"/>
        <w:gridCol w:w="626"/>
      </w:tblGrid>
      <w:tr>
        <w:trPr>
          <w:tblHeader/>
        </w:trP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创新性、先进性、实用性
（30分）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实施效果及经济效益
（40分）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推广应用价值
（20分）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申报材料完整性
（10分）</w:t>
            </w:r>
          </w:p>
        </w:tc>
        <w:tc>
          <w:tcPr>
            <w:tcW w:type="dxa" w:w="6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总分
（100分）</w:t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循环水系统节能改造技术创新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锅炉炉内检修平台改造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after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评分说明：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1. 创新性、先进性、实用性（30分）：</w:t>
      </w:r>
      <w:r>
        <w:rPr>
          <w:rFonts w:ascii="SimSun" w:cs="SimSun" w:eastAsia="SimSun" w:hAnsi="SimSun"/>
          <w:sz w:val="20"/>
          <w:szCs w:val="20"/>
        </w:rPr>
        <w:t xml:space="preserve">重点评价成果的新颖性、先进性、实用性。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2. 实施效果及经济效益（40分）：</w:t>
      </w:r>
      <w:r>
        <w:rPr>
          <w:rFonts w:ascii="SimSun" w:cs="SimSun" w:eastAsia="SimSun" w:hAnsi="SimSun"/>
          <w:sz w:val="20"/>
          <w:szCs w:val="20"/>
        </w:rPr>
        <w:t xml:space="preserve">重点评价成果实际应用情况，以及在提高效率、降低成本、节能降耗、安全环保等方面取得的效果。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3. 推广应用价值（20分）：</w:t>
      </w:r>
      <w:r>
        <w:rPr>
          <w:rFonts w:ascii="SimSun" w:cs="SimSun" w:eastAsia="SimSun" w:hAnsi="SimSun"/>
          <w:sz w:val="20"/>
          <w:szCs w:val="20"/>
        </w:rPr>
        <w:t xml:space="preserve">重点评价成果推广应用前景及复制推广价值。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4. 申报材料完整性（10分）：</w:t>
      </w:r>
      <w:r>
        <w:rPr>
          <w:rFonts w:ascii="SimSun" w:cs="SimSun" w:eastAsia="SimSun" w:hAnsi="SimSun"/>
          <w:sz w:val="20"/>
          <w:szCs w:val="20"/>
        </w:rPr>
        <w:t xml:space="preserve">重点评价申报资料完整性、数据真实性、计算依据充分性。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5. 评分等级：</w:t>
      </w:r>
      <w:r>
        <w:rPr>
          <w:rFonts w:ascii="SimSun" w:cs="SimSun" w:eastAsia="SimSun" w:hAnsi="SimSun"/>
          <w:sz w:val="20"/>
          <w:szCs w:val="20"/>
        </w:rPr>
        <w:t xml:space="preserve">优秀（90%-100%）、良好（75%-89%）、一般（60%-74%）、较差（60%以下）。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表2</w:t>
      </w:r>
    </w:p>
    <w:p>
      <w:pPr>
        <w:spacing w:after="100"/>
        <w:jc w:val="center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印尼金川WP公司员工技术创新成果评审汇总表</w:t>
      </w:r>
    </w:p>
    <w:p>
      <w:pPr>
        <w:spacing w:after="100"/>
        <w:jc w:val="center"/>
      </w:pPr>
      <w:r>
        <w:rPr>
          <w:rFonts w:ascii="SimSun" w:cs="SimSun" w:eastAsia="SimSun" w:hAnsi="SimSun"/>
          <w:color w:val="555555"/>
          <w:sz w:val="20"/>
          <w:szCs w:val="20"/>
        </w:rPr>
        <w:t xml:space="preserve">（会后统计使用，只需一张）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900"/>
        <w:gridCol w:w="900"/>
        <w:gridCol w:w="900"/>
        <w:gridCol w:w="900"/>
        <w:gridCol w:w="900"/>
        <w:gridCol w:w="900"/>
        <w:gridCol w:w="900"/>
        <w:gridCol w:w="900"/>
        <w:gridCol w:w="826"/>
      </w:tblGrid>
      <w:tr>
        <w:trPr>
          <w:tblHeader/>
        </w:trP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专家1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专家2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专家3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专家4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专家5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专家6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平均分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排名</w:t>
            </w:r>
          </w:p>
        </w:tc>
        <w:tc>
          <w:tcPr>
            <w:tcW w:type="dxa" w:w="8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建议奖项</w:t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循环水系统节能改造技术创新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一等奖</w:t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锅炉炉内检修平台改造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优秀奖</w:t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after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Excel 公式建议：</w:t>
      </w:r>
    </w:p>
    <w:p>
      <w:pPr>
        <w:spacing w:after="100" w:line="360"/>
        <w:jc w:val="left"/>
      </w:pPr>
      <w:r>
        <w:rPr>
          <w:rFonts w:ascii="SimSun" w:cs="SimSun" w:eastAsia="SimSun" w:hAnsi="SimSun"/>
          <w:sz w:val="20"/>
          <w:szCs w:val="20"/>
        </w:rPr>
        <w:t xml:space="preserve">平均分：=AVERAGE(C2:H2)（根据实际专家人数调整列范围）</w:t>
      </w:r>
    </w:p>
    <w:p>
      <w:pPr>
        <w:spacing w:after="100" w:line="360"/>
        <w:jc w:val="left"/>
      </w:pPr>
      <w:r>
        <w:rPr>
          <w:rFonts w:ascii="SimSun" w:cs="SimSun" w:eastAsia="SimSun" w:hAnsi="SimSun"/>
          <w:sz w:val="20"/>
          <w:szCs w:val="20"/>
        </w:rPr>
        <w:t xml:space="preserve">排名：=RANK(I2,$I$2:$I$20,0)（假设平均分在 I 列）</w:t>
      </w:r>
    </w:p>
    <w:p>
      <w:pPr>
        <w:spacing w:after="60"/>
      </w:pPr>
    </w:p>
    <w:p>
      <w:pPr>
        <w:spacing w:after="100" w:line="360"/>
        <w:jc w:val="left"/>
      </w:pPr>
      <w:r>
        <w:rPr>
          <w:rFonts w:ascii="SimSun" w:cs="SimSun" w:eastAsia="SimSun" w:hAnsi="SimSun"/>
          <w:sz w:val="20"/>
          <w:szCs w:val="20"/>
        </w:rPr>
        <w:t xml:space="preserve">说明：若专家人数在7人及以上，可考虑去掉一个最高分和一个最低分后取平均值，以减少个别评分偏差的影响。目前贵公司制度未作此要求，直接取平均分也完全符合制度规定。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2026-07-06T02:43:19.324Z</dcterms:created>
  <dcterms:modified xsi:type="dcterms:W3CDTF">2026-07-06T02:43:19.327Z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