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印尼金川WP公司2026年上半年技术创新及合理化建议分类汇总表</w:t>
      </w:r>
    </w:p>
    <w:p>
      <w:pPr>
        <w:spacing w:after="200"/>
        <w:jc w:val="center"/>
      </w:pPr>
      <w:r>
        <w:rPr>
          <w:rFonts w:ascii="SimSun" w:cs="SimSun" w:eastAsia="SimSun" w:hAnsi="SimSun"/>
          <w:sz w:val="21"/>
          <w:szCs w:val="21"/>
        </w:rPr>
        <w:t xml:space="preserve">申报部门：电厂部　　　　申报时间：2026年7月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460"/>
        <w:gridCol w:w="1600"/>
        <w:gridCol w:w="1100"/>
        <w:gridCol w:w="1600"/>
        <w:gridCol w:w="1100"/>
      </w:tblGrid>
      <w:tr>
        <w:trPr>
          <w:tblHeader/>
        </w:trP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一级分类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二级分类
（初审部门）</w:t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项目名称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申报部门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负责人/建议人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主要成效/效益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技术创新成果
（2项）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设备设施类
（装备能源部（EPR）初审）</w:t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循环水系统节能改造技术创新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赵健、赵宏斌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年节约发电成本151.11万美元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锅炉炉内检修平台改造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李高群、王福鹏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年节省外委检修费用约42万元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合理化建议
（13项）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设备设施类
（装备能源部（EPR）初审）</w:t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55米冷渣水回用系统真空引水罐自制，保证水泵稳定运行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王存永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年节约费用约47.8万元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一、二次风机出口电动门检修平台搭设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李高群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消除安全风险，降低故障率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振动给煤机流量调节挡板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徐浩发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降低作业强度，消除安全风险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汽轮机推力瓦温度测点热电阻安装方式优化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伍均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节约启动费用约10万元，减少发电损失40万kwh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给煤机控制电缆桥架移位，保证机组稳定运行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陆世祥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跳闸故障为0，消除火灾隐患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输煤皮带除铁器加装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徐浩发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避免给煤机皮带划伤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返料器底部调节门脚手架改造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李高群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消除安全隐患，避免人身伤害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锅炉冷渣机下渣管改造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李高群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保障人身、设备与生产安全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引风机出、入口膨胀节改造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李高群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避免机组停运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生产工艺类
（安全生产技术部（PST）初审）</w:t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DCS系统报警及画面优化，提升机组运行稳定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（电厂部集体）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避免机组非计划停运，提升操作便捷性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创新混床再生模式优化方案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王存永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降低酸碱消耗，保证除盐水用量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经营管理类
（行政部（GA）初审）</w:t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将电收尘操作员站从收尘控制室迁移至集控室，降低人员成本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伍均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年节约人工成本12.6万元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高位酸罐防酸泄漏及下酸门故障优化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电厂部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18"/>
                <w:szCs w:val="18"/>
              </w:rPr>
              <w:t xml:space="preserve">王存永 等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17"/>
                <w:szCs w:val="17"/>
              </w:rPr>
              <w:t xml:space="preserve">节约酸成本约5万元，消除污染风险</w:t>
            </w:r>
          </w:p>
        </w:tc>
      </w:tr>
      <w:tr>
        <w:tc>
          <w:tcPr>
            <w:tcW w:type="dxa" w:w="5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共2大类 3小类 15项</w:t>
            </w:r>
          </w:p>
        </w:tc>
        <w:tc>
          <w:tcPr>
            <w:tcW w:type="dxa" w:w="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17"/>
                <w:szCs w:val="17"/>
              </w:rPr>
              <w:t xml:space="preserve">技术创新2项 + 合理化建议13项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5B6" w:sz="2" w:space="8"/>
        </w:pBdr>
        <w:spacing w:after="80" w:line="320"/>
      </w:pPr>
      <w:r>
        <w:rPr>
          <w:rFonts w:ascii="SimHei" w:cs="SimHei" w:eastAsia="SimHei" w:hAnsi="SimHei"/>
          <w:b/>
          <w:bCs/>
          <w:sz w:val="20"/>
          <w:szCs w:val="20"/>
        </w:rPr>
        <w:t xml:space="preserve">制度依据：</w:t>
      </w:r>
    </w:p>
    <w:p>
      <w:pPr>
        <w:spacing w:after="60" w:line="320"/>
      </w:pPr>
      <w:r>
        <w:rPr>
          <w:rFonts w:ascii="SimSun" w:cs="SimSun" w:eastAsia="SimSun" w:hAnsi="SimSun"/>
          <w:sz w:val="18"/>
          <w:szCs w:val="18"/>
        </w:rPr>
        <w:t xml:space="preserve">根据《印尼金川WP公司员工技术创新活动管理规定》（WP制〔2025〕02号）第七条规定：各部门按月申报，行政部负责收集汇总；行政部（GA）、安全生产技术部（PST）、装备能源部（EPR）分别按经营管理类、生产工艺类、设备设施类进行初评排序，公司领导小组审核通过后予以奖励。</w:t>
      </w:r>
    </w:p>
    <w:p>
      <w:pPr>
        <w:spacing w:after="60" w:line="320"/>
      </w:pPr>
      <w:r>
        <w:rPr>
          <w:rFonts w:ascii="SimSun" w:cs="SimSun" w:eastAsia="SimSun" w:hAnsi="SimSun"/>
          <w:sz w:val="18"/>
          <w:szCs w:val="18"/>
        </w:rPr>
        <w:t xml:space="preserve">第十条规定：每项成果参与人员不得超过6人。第十三条：技术创新成果奖按经济效益分一等奖（&gt;50万美元，奖励1000美元）、二等奖（&gt;30万美元，500美元）、三等奖（&gt;10万美元，300美元）、优秀奖（&gt;5万美元，100美元）；合理化建议按作用大小分一、二、三等奖（30-100美元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SimSun" w:cs="SimSun" w:eastAsia="SimSun" w:hAnsi="SimSun"/>
        <w:color w:val="555555"/>
        <w:sz w:val="18"/>
        <w:szCs w:val="18"/>
      </w:rPr>
      <w:t xml:space="preserve">印尼金川WP公司2026年上半年技术创新及合理化建议分类汇总表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2026-07-06T02:50:12.931Z</dcterms:created>
  <dcterms:modified xsi:type="dcterms:W3CDTF">2026-07-06T02:50:12.934Z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