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/>
        <w:jc w:val="center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印尼金川WP公司2026年上半年技术创新及合理化建议评审专家评分表</w:t>
      </w:r>
    </w:p>
    <w:p>
      <w:pPr>
        <w:spacing w:after="200"/>
      </w:pPr>
      <w:r>
        <w:rPr>
          <w:rFonts w:ascii="SimSun" w:cs="SimSun" w:eastAsia="SimSun" w:hAnsi="SimSun"/>
          <w:sz w:val="21"/>
          <w:szCs w:val="21"/>
        </w:rPr>
        <w:t xml:space="preserve">评审专家：______________</w:t>
      </w:r>
      <w:r>
        <w:rPr>
          <w:rFonts w:ascii="SimSun" w:cs="SimSun" w:eastAsia="SimSun" w:hAnsi="SimSun"/>
          <w:sz w:val="21"/>
          <w:szCs w:val="21"/>
        </w:rPr>
        <w:t xml:space="preserve">　　　　</w:t>
      </w:r>
      <w:r>
        <w:rPr>
          <w:rFonts w:ascii="SimSun" w:cs="SimSun" w:eastAsia="SimSun" w:hAnsi="SimSun"/>
          <w:sz w:val="21"/>
          <w:szCs w:val="21"/>
        </w:rPr>
        <w:t xml:space="preserve">评审日期：______________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"/>
      </w:tblGrid>
      <w:tr>
        <w:trPr>
          <w:tblHeader/>
        </w:trPr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7"/>
                <w:szCs w:val="17"/>
              </w:rPr>
              <w:t xml:space="preserve">评审指标</w:t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6"/>
                <w:szCs w:val="16"/>
              </w:rPr>
              <w:t xml:space="preserve">项1</w:t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6"/>
                <w:szCs w:val="16"/>
              </w:rPr>
              <w:t xml:space="preserve">项2</w:t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6"/>
                <w:szCs w:val="16"/>
              </w:rPr>
              <w:t xml:space="preserve">项3</w:t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6"/>
                <w:szCs w:val="16"/>
              </w:rPr>
              <w:t xml:space="preserve">项4</w:t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6"/>
                <w:szCs w:val="16"/>
              </w:rPr>
              <w:t xml:space="preserve">项5</w:t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6"/>
                <w:szCs w:val="16"/>
              </w:rPr>
              <w:t xml:space="preserve">项6</w:t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6"/>
                <w:szCs w:val="16"/>
              </w:rPr>
              <w:t xml:space="preserve">项7</w:t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6"/>
                <w:szCs w:val="16"/>
              </w:rPr>
              <w:t xml:space="preserve">项8</w:t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6"/>
                <w:szCs w:val="16"/>
              </w:rPr>
              <w:t xml:space="preserve">项9</w:t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6"/>
                <w:szCs w:val="16"/>
              </w:rPr>
              <w:t xml:space="preserve">项10</w:t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6"/>
                <w:szCs w:val="16"/>
              </w:rPr>
              <w:t xml:space="preserve">项11</w:t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6"/>
                <w:szCs w:val="16"/>
              </w:rPr>
              <w:t xml:space="preserve">项12</w:t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6"/>
                <w:szCs w:val="16"/>
              </w:rPr>
              <w:t xml:space="preserve">项13</w:t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6"/>
                <w:szCs w:val="16"/>
              </w:rPr>
              <w:t xml:space="preserve">项14</w:t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6"/>
                <w:szCs w:val="16"/>
              </w:rPr>
              <w:t xml:space="preserve">项15</w:t>
            </w:r>
          </w:p>
        </w:tc>
        <w:tc>
          <w:tcPr>
            <w:tcW w:type="dxa" w:w="8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16"/>
                <w:szCs w:val="16"/>
              </w:rPr>
              <w:t xml:space="preserve">创新性、先进性、实用性（30分）</w:t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16"/>
                <w:szCs w:val="16"/>
              </w:rPr>
              <w:t xml:space="preserve">实施效果及经济效益（40分）</w:t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16"/>
                <w:szCs w:val="16"/>
              </w:rPr>
              <w:t xml:space="preserve">推广应用价值（20分）</w:t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16"/>
                <w:szCs w:val="16"/>
              </w:rPr>
              <w:t xml:space="preserve">申报材料完整性（10分）</w:t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16"/>
                <w:szCs w:val="16"/>
              </w:rPr>
              <w:t xml:space="preserve">总分（100分）</w:t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top w:val="single" w:color="2E75B6" w:sz="2" w:space="8"/>
        </w:pBdr>
        <w:spacing w:after="80" w:line="300"/>
      </w:pPr>
      <w:r>
        <w:rPr>
          <w:rFonts w:ascii="SimHei" w:cs="SimHei" w:eastAsia="SimHei" w:hAnsi="SimHei"/>
          <w:b/>
          <w:bCs/>
          <w:sz w:val="20"/>
          <w:szCs w:val="20"/>
        </w:rPr>
        <w:t xml:space="preserve">评分说明：</w:t>
      </w:r>
    </w:p>
    <w:p>
      <w:pPr>
        <w:spacing w:after="40" w:line="300"/>
      </w:pPr>
      <w:r>
        <w:rPr>
          <w:rFonts w:ascii="SimSun" w:cs="SimSun" w:eastAsia="SimSun" w:hAnsi="SimSun"/>
          <w:b/>
          <w:bCs/>
          <w:sz w:val="18"/>
          <w:szCs w:val="18"/>
        </w:rPr>
        <w:t xml:space="preserve">1. 创新性、先进性、实用性（30分）：</w:t>
      </w:r>
      <w:r>
        <w:rPr>
          <w:rFonts w:ascii="SimSun" w:cs="SimSun" w:eastAsia="SimSun" w:hAnsi="SimSun"/>
          <w:sz w:val="18"/>
          <w:szCs w:val="18"/>
        </w:rPr>
        <w:t xml:space="preserve">重点评价成果的新颖性、先进性、实用性。</w:t>
      </w:r>
    </w:p>
    <w:p>
      <w:pPr>
        <w:spacing w:after="40" w:line="300"/>
      </w:pPr>
      <w:r>
        <w:rPr>
          <w:rFonts w:ascii="SimSun" w:cs="SimSun" w:eastAsia="SimSun" w:hAnsi="SimSun"/>
          <w:b/>
          <w:bCs/>
          <w:sz w:val="18"/>
          <w:szCs w:val="18"/>
        </w:rPr>
        <w:t xml:space="preserve">2. 实施效果及经济效益（40分）：</w:t>
      </w:r>
      <w:r>
        <w:rPr>
          <w:rFonts w:ascii="SimSun" w:cs="SimSun" w:eastAsia="SimSun" w:hAnsi="SimSun"/>
          <w:sz w:val="18"/>
          <w:szCs w:val="18"/>
        </w:rPr>
        <w:t xml:space="preserve">重点评价成果实际应用情况，以及在提高效率、降低成本、节能降耗、安全环保等方面取得的效果。</w:t>
      </w:r>
    </w:p>
    <w:p>
      <w:pPr>
        <w:spacing w:after="40" w:line="300"/>
      </w:pPr>
      <w:r>
        <w:rPr>
          <w:rFonts w:ascii="SimSun" w:cs="SimSun" w:eastAsia="SimSun" w:hAnsi="SimSun"/>
          <w:b/>
          <w:bCs/>
          <w:sz w:val="18"/>
          <w:szCs w:val="18"/>
        </w:rPr>
        <w:t xml:space="preserve">3. 推广应用价值（20分）：</w:t>
      </w:r>
      <w:r>
        <w:rPr>
          <w:rFonts w:ascii="SimSun" w:cs="SimSun" w:eastAsia="SimSun" w:hAnsi="SimSun"/>
          <w:sz w:val="18"/>
          <w:szCs w:val="18"/>
        </w:rPr>
        <w:t xml:space="preserve">重点评价成果推广应用前景及复制推广价值。</w:t>
      </w:r>
    </w:p>
    <w:p>
      <w:pPr>
        <w:spacing w:after="40" w:line="300"/>
      </w:pPr>
      <w:r>
        <w:rPr>
          <w:rFonts w:ascii="SimSun" w:cs="SimSun" w:eastAsia="SimSun" w:hAnsi="SimSun"/>
          <w:b/>
          <w:bCs/>
          <w:sz w:val="18"/>
          <w:szCs w:val="18"/>
        </w:rPr>
        <w:t xml:space="preserve">4. 申报材料完整性（10分）：</w:t>
      </w:r>
      <w:r>
        <w:rPr>
          <w:rFonts w:ascii="SimSun" w:cs="SimSun" w:eastAsia="SimSun" w:hAnsi="SimSun"/>
          <w:sz w:val="18"/>
          <w:szCs w:val="18"/>
        </w:rPr>
        <w:t xml:space="preserve">重点评价申报资料完整性、数据真实性、计算依据充分性。</w:t>
      </w:r>
    </w:p>
    <w:p>
      <w:pPr>
        <w:spacing w:after="40" w:line="300"/>
      </w:pPr>
      <w:r>
        <w:rPr>
          <w:rFonts w:ascii="SimSun" w:cs="SimSun" w:eastAsia="SimSun" w:hAnsi="SimSun"/>
          <w:b/>
          <w:bCs/>
          <w:sz w:val="18"/>
          <w:szCs w:val="18"/>
        </w:rPr>
        <w:t xml:space="preserve">5. 评分等级：</w:t>
      </w:r>
      <w:r>
        <w:rPr>
          <w:rFonts w:ascii="SimSun" w:cs="SimSun" w:eastAsia="SimSun" w:hAnsi="SimSun"/>
          <w:sz w:val="18"/>
          <w:szCs w:val="18"/>
        </w:rPr>
        <w:t xml:space="preserve">优秀（90%-100%）、良好（75%-89%）、一般（60%-74%）、较差（60%以下）。</w:t>
      </w:r>
    </w:p>
    <w:p>
      <w:pPr>
        <w:spacing w:after="60"/>
      </w:pPr>
    </w:p>
    <w:p>
      <w:pPr>
        <w:pBdr>
          <w:top w:val="single" w:color="2E75B6" w:sz="2" w:space="8"/>
        </w:pBdr>
        <w:spacing w:after="80"/>
      </w:pPr>
      <w:r>
        <w:rPr>
          <w:rFonts w:ascii="SimHei" w:cs="SimHei" w:eastAsia="SimHei" w:hAnsi="SimHei"/>
          <w:b/>
          <w:bCs/>
          <w:sz w:val="20"/>
          <w:szCs w:val="20"/>
        </w:rPr>
        <w:t xml:space="preserve">项目编号对照表：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2600"/>
        <w:gridCol w:w="160"/>
        <w:gridCol w:w="2600"/>
      </w:tblGrid>
      <w:tr>
        <w:trPr>
          <w:tblHeader/>
        </w:trPr>
        <w:tc>
          <w:tcPr>
            <w:tcW w:type="dxa" w:w="1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15"/>
                <w:szCs w:val="15"/>
              </w:rPr>
              <w:t xml:space="preserve">编号</w:t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15"/>
                <w:szCs w:val="15"/>
              </w:rPr>
              <w:t xml:space="preserve">项目名称</w:t>
            </w:r>
          </w:p>
        </w:tc>
        <w:tc>
          <w:tcPr>
            <w:tcW w:type="dxa" w:w="1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15"/>
                <w:szCs w:val="15"/>
              </w:rPr>
              <w:t xml:space="preserve">编号</w:t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15"/>
                <w:szCs w:val="15"/>
              </w:rPr>
              <w:t xml:space="preserve">项目名称</w:t>
            </w:r>
          </w:p>
        </w:tc>
      </w:tr>
      <w:tr>
        <w:tc>
          <w:tcPr>
            <w:tcW w:type="dxa" w:w="1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15"/>
                <w:szCs w:val="15"/>
              </w:rPr>
              <w:t xml:space="preserve">项1</w:t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SimSun" w:cs="SimSun" w:eastAsia="SimSun" w:hAnsi="SimSun"/>
                <w:color w:val="000000"/>
                <w:sz w:val="15"/>
                <w:szCs w:val="15"/>
              </w:rPr>
              <w:t xml:space="preserve">循环水系统节能改造技术创新</w:t>
            </w:r>
          </w:p>
        </w:tc>
        <w:tc>
          <w:tcPr>
            <w:tcW w:type="dxa" w:w="1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15"/>
                <w:szCs w:val="15"/>
              </w:rPr>
              <w:t xml:space="preserve">项9</w:t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SimSun" w:cs="SimSun" w:eastAsia="SimSun" w:hAnsi="SimSun"/>
                <w:color w:val="000000"/>
                <w:sz w:val="15"/>
                <w:szCs w:val="15"/>
              </w:rPr>
              <w:t xml:space="preserve">返料器底部调节门脚手架改造</w:t>
            </w:r>
          </w:p>
        </w:tc>
      </w:tr>
      <w:tr>
        <w:tc>
          <w:tcPr>
            <w:tcW w:type="dxa" w:w="1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15"/>
                <w:szCs w:val="15"/>
              </w:rPr>
              <w:t xml:space="preserve">项2</w:t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SimSun" w:cs="SimSun" w:eastAsia="SimSun" w:hAnsi="SimSun"/>
                <w:color w:val="000000"/>
                <w:sz w:val="15"/>
                <w:szCs w:val="15"/>
              </w:rPr>
              <w:t xml:space="preserve">锅炉炉内检修平台改造</w:t>
            </w:r>
          </w:p>
        </w:tc>
        <w:tc>
          <w:tcPr>
            <w:tcW w:type="dxa" w:w="1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15"/>
                <w:szCs w:val="15"/>
              </w:rPr>
              <w:t xml:space="preserve">项10</w:t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SimSun" w:cs="SimSun" w:eastAsia="SimSun" w:hAnsi="SimSun"/>
                <w:color w:val="000000"/>
                <w:sz w:val="15"/>
                <w:szCs w:val="15"/>
              </w:rPr>
              <w:t xml:space="preserve">锅炉冷渣机下渣管改造</w:t>
            </w:r>
          </w:p>
        </w:tc>
      </w:tr>
      <w:tr>
        <w:tc>
          <w:tcPr>
            <w:tcW w:type="dxa" w:w="1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15"/>
                <w:szCs w:val="15"/>
              </w:rPr>
              <w:t xml:space="preserve">项3</w:t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SimSun" w:cs="SimSun" w:eastAsia="SimSun" w:hAnsi="SimSun"/>
                <w:color w:val="000000"/>
                <w:sz w:val="15"/>
                <w:szCs w:val="15"/>
              </w:rPr>
              <w:t xml:space="preserve">55米冷渣水回用系统真空引水罐自制</w:t>
            </w:r>
          </w:p>
        </w:tc>
        <w:tc>
          <w:tcPr>
            <w:tcW w:type="dxa" w:w="1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15"/>
                <w:szCs w:val="15"/>
              </w:rPr>
              <w:t xml:space="preserve">项11</w:t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SimSun" w:cs="SimSun" w:eastAsia="SimSun" w:hAnsi="SimSun"/>
                <w:color w:val="000000"/>
                <w:sz w:val="15"/>
                <w:szCs w:val="15"/>
              </w:rPr>
              <w:t xml:space="preserve">引风机出、入口膨胀节改造</w:t>
            </w:r>
          </w:p>
        </w:tc>
      </w:tr>
      <w:tr>
        <w:tc>
          <w:tcPr>
            <w:tcW w:type="dxa" w:w="1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15"/>
                <w:szCs w:val="15"/>
              </w:rPr>
              <w:t xml:space="preserve">项4</w:t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SimSun" w:cs="SimSun" w:eastAsia="SimSun" w:hAnsi="SimSun"/>
                <w:color w:val="000000"/>
                <w:sz w:val="15"/>
                <w:szCs w:val="15"/>
              </w:rPr>
              <w:t xml:space="preserve">一、二次风机出口电动门检修平台搭设</w:t>
            </w:r>
          </w:p>
        </w:tc>
        <w:tc>
          <w:tcPr>
            <w:tcW w:type="dxa" w:w="1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15"/>
                <w:szCs w:val="15"/>
              </w:rPr>
              <w:t xml:space="preserve">项12</w:t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SimSun" w:cs="SimSun" w:eastAsia="SimSun" w:hAnsi="SimSun"/>
                <w:color w:val="000000"/>
                <w:sz w:val="15"/>
                <w:szCs w:val="15"/>
              </w:rPr>
              <w:t xml:space="preserve">DCS系统报警及画面优化</w:t>
            </w:r>
          </w:p>
        </w:tc>
      </w:tr>
      <w:tr>
        <w:tc>
          <w:tcPr>
            <w:tcW w:type="dxa" w:w="1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15"/>
                <w:szCs w:val="15"/>
              </w:rPr>
              <w:t xml:space="preserve">项5</w:t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SimSun" w:cs="SimSun" w:eastAsia="SimSun" w:hAnsi="SimSun"/>
                <w:color w:val="000000"/>
                <w:sz w:val="15"/>
                <w:szCs w:val="15"/>
              </w:rPr>
              <w:t xml:space="preserve">振动给煤机流量调节挡板</w:t>
            </w:r>
          </w:p>
        </w:tc>
        <w:tc>
          <w:tcPr>
            <w:tcW w:type="dxa" w:w="1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15"/>
                <w:szCs w:val="15"/>
              </w:rPr>
              <w:t xml:space="preserve">项13</w:t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SimSun" w:cs="SimSun" w:eastAsia="SimSun" w:hAnsi="SimSun"/>
                <w:color w:val="000000"/>
                <w:sz w:val="15"/>
                <w:szCs w:val="15"/>
              </w:rPr>
              <w:t xml:space="preserve">创新混床再生模式优化方案</w:t>
            </w:r>
          </w:p>
        </w:tc>
      </w:tr>
      <w:tr>
        <w:tc>
          <w:tcPr>
            <w:tcW w:type="dxa" w:w="1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15"/>
                <w:szCs w:val="15"/>
              </w:rPr>
              <w:t xml:space="preserve">项6</w:t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SimSun" w:cs="SimSun" w:eastAsia="SimSun" w:hAnsi="SimSun"/>
                <w:color w:val="000000"/>
                <w:sz w:val="15"/>
                <w:szCs w:val="15"/>
              </w:rPr>
              <w:t xml:space="preserve">汽轮机推力瓦温度测点热电阻安装方式优化</w:t>
            </w:r>
          </w:p>
        </w:tc>
        <w:tc>
          <w:tcPr>
            <w:tcW w:type="dxa" w:w="1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15"/>
                <w:szCs w:val="15"/>
              </w:rPr>
              <w:t xml:space="preserve">项14</w:t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SimSun" w:cs="SimSun" w:eastAsia="SimSun" w:hAnsi="SimSun"/>
                <w:color w:val="000000"/>
                <w:sz w:val="15"/>
                <w:szCs w:val="15"/>
              </w:rPr>
              <w:t xml:space="preserve">将电收尘操作员站迁移至集控室</w:t>
            </w:r>
          </w:p>
        </w:tc>
      </w:tr>
      <w:tr>
        <w:tc>
          <w:tcPr>
            <w:tcW w:type="dxa" w:w="1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15"/>
                <w:szCs w:val="15"/>
              </w:rPr>
              <w:t xml:space="preserve">项7</w:t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SimSun" w:cs="SimSun" w:eastAsia="SimSun" w:hAnsi="SimSun"/>
                <w:color w:val="000000"/>
                <w:sz w:val="15"/>
                <w:szCs w:val="15"/>
              </w:rPr>
              <w:t xml:space="preserve">给煤机控制电缆桥架移位</w:t>
            </w:r>
          </w:p>
        </w:tc>
        <w:tc>
          <w:tcPr>
            <w:tcW w:type="dxa" w:w="1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15"/>
                <w:szCs w:val="15"/>
              </w:rPr>
              <w:t xml:space="preserve">项15</w:t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SimSun" w:cs="SimSun" w:eastAsia="SimSun" w:hAnsi="SimSun"/>
                <w:color w:val="000000"/>
                <w:sz w:val="15"/>
                <w:szCs w:val="15"/>
              </w:rPr>
              <w:t xml:space="preserve">高位酸罐防酸泄漏及下酸门故障优化</w:t>
            </w:r>
          </w:p>
        </w:tc>
      </w:tr>
      <w:tr>
        <w:tc>
          <w:tcPr>
            <w:tcW w:type="dxa" w:w="1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15"/>
                <w:szCs w:val="15"/>
              </w:rPr>
              <w:t xml:space="preserve">项8</w:t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SimSun" w:cs="SimSun" w:eastAsia="SimSun" w:hAnsi="SimSun"/>
                <w:color w:val="000000"/>
                <w:sz w:val="15"/>
                <w:szCs w:val="15"/>
              </w:rPr>
              <w:t xml:space="preserve">输煤皮带除铁器加装</w:t>
            </w:r>
          </w:p>
        </w:tc>
        <w:tc>
          <w:tcPr>
            <w:tcW w:type="dxa" w:w="1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color w:val="000000"/>
                <w:sz w:val="17"/>
                <w:szCs w:val="17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t xml:space="preserve">第 </w:t>
    </w:r>
    <w:r>
      <w:rPr>
        <w:rFonts w:ascii="SimSun" w:cs="SimSun" w:eastAsia="SimSun" w:hAnsi="SimSu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center"/>
    </w:pPr>
    <w:r>
      <w:rPr>
        <w:rFonts w:ascii="SimSun" w:cs="SimSun" w:eastAsia="SimSun" w:hAnsi="SimSun"/>
        <w:color w:val="555555"/>
        <w:sz w:val="18"/>
        <w:szCs w:val="18"/>
      </w:rPr>
      <w:t xml:space="preserve">印尼金川WP公司2026年上半年技术创新及合理化建议评审专家评分表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2026-07-06T03:00:18.461Z</dcterms:created>
  <dcterms:modified xsi:type="dcterms:W3CDTF">2026-07-06T03:00:18.464Z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