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r>
        <w:rPr>
          <w:b/>
          <w:sz w:val="26"/>
          <w:szCs w:val="26"/>
        </w:rPr>
        <w:t xml:space="preserve">KMP INTEGRATED ENTERPRISE, INC.</w:t>
      </w:r>
    </w:p>
    <w:p>
      <w:pPr/>
      <w:r>
        <w:rPr>
          <w:sz w:val="16"/>
          <w:szCs w:val="16"/>
        </w:rPr>
        <w:t xml:space="preserve">Shaping Smarter Solutions.</w:t>
      </w:r>
    </w:p>
    <w:p>
      <w:pPr>
        <w:jc w:val="right"/>
      </w:pPr>
      <w:r>
        <w:rPr>
          <w:b/>
          <w:sz w:val="20"/>
          <w:szCs w:val="20"/>
        </w:rPr>
        <w:t xml:space="preserve">SOW-2026-0003</w:t>
      </w:r>
    </w:p>
    <w:p>
      <w:pPr>
        <w:jc w:val="right"/>
      </w:pPr>
      <w:r>
        <w:rPr>
          <w:sz w:val="16"/>
          <w:szCs w:val="16"/>
        </w:rPr>
        <w:t xml:space="preserve">Status: Approved</w:t>
      </w:r>
    </w:p>
    <w:p>
      <w:pPr>
        <w:jc w:val="right"/>
      </w:pPr>
      <w:r>
        <w:rPr>
          <w:sz w:val="16"/>
          <w:szCs w:val="16"/>
        </w:rPr>
        <w:t xml:space="preserve">Date Created: Sep 11, 2026</w:t>
      </w:r>
    </w:p>
    <w:p>
      <w:pPr>
        <w:jc w:val="right"/>
      </w:pPr>
      <w:r>
        <w:rPr>
          <w:sz w:val="16"/>
          <w:szCs w:val="16"/>
        </w:rPr>
        <w:t xml:space="preserve">Date Printed: September 21, 2026</w:t>
      </w:r>
    </w:p>
    <w:p/>
    <w:p>
      <w:pPr>
        <w:jc w:val="center"/>
      </w:pPr>
      <w:r>
        <w:rPr>
          <w:b/>
          <w:sz w:val="26"/>
          <w:szCs w:val="26"/>
        </w:rPr>
        <w:t xml:space="preserve">STATEMENT OF WORK AND CONTRACT</w:t>
      </w:r>
    </w:p>
    <w:p>
      <w:pPr>
        <w:jc w:val="center"/>
      </w:pPr>
      <w:r>
        <w:rPr>
          <w:sz w:val="19"/>
          <w:szCs w:val="19"/>
        </w:rPr>
        <w:t xml:space="preserve">Warehouse Inventory System Setup</w:t>
      </w:r>
    </w:p>
    <w:p/>
    <w:p>
      <w:pPr>
        <w:pStyle w:val="SectionHeading"/>
      </w:pPr>
      <w:r>
        <w:t xml:space="preserve">1. Contract Overview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0" w:type="auto"/>
            <w:shd w:val="clear" w:color="auto" w:fill="F2F2F2"/>
          </w:tcPr>
          <w:p>
            <w:pPr/>
            <w:r>
              <w:rPr>
                <w:b/>
              </w:rPr>
              <w:t xml:space="preserve">Contract No.</w:t>
            </w:r>
          </w:p>
        </w:tc>
        <w:tc>
          <w:tcPr>
            <w:tcW w:w="0" w:type="auto"/>
          </w:tcPr>
          <w:p>
            <w:pPr/>
            <w:r>
              <w:t xml:space="preserve">SOW-2026-0003</w:t>
            </w:r>
          </w:p>
        </w:tc>
        <w:tc>
          <w:tcPr>
            <w:tcW w:w="0" w:type="auto"/>
            <w:shd w:val="clear" w:color="auto" w:fill="F2F2F2"/>
          </w:tcPr>
          <w:p>
            <w:pPr/>
            <w:r>
              <w:rPr>
                <w:b/>
              </w:rPr>
              <w:t xml:space="preserve">Quotation No.</w:t>
            </w:r>
          </w:p>
        </w:tc>
        <w:tc>
          <w:tcPr>
            <w:tcW w:w="0" w:type="auto"/>
          </w:tcPr>
          <w:p>
            <w:pPr/>
            <w:r>
              <w:t xml:space="preserve">QT-2026-0004</w:t>
            </w:r>
          </w:p>
        </w:tc>
      </w:tr>
      <w:tr>
        <w:tc>
          <w:tcPr>
            <w:tcW w:w="0" w:type="auto"/>
            <w:shd w:val="clear" w:color="auto" w:fill="F2F2F2"/>
          </w:tcPr>
          <w:p>
            <w:pPr/>
            <w:r>
              <w:rPr>
                <w:b/>
              </w:rPr>
              <w:t xml:space="preserve">Start Date</w:t>
            </w:r>
          </w:p>
        </w:tc>
        <w:tc>
          <w:tcPr>
            <w:tcW w:w="0" w:type="auto"/>
          </w:tcPr>
          <w:p>
            <w:pPr/>
            <w:r>
              <w:t xml:space="preserve">Sep 24, 2026</w:t>
            </w:r>
          </w:p>
        </w:tc>
        <w:tc>
          <w:tcPr>
            <w:tcW w:w="0" w:type="auto"/>
            <w:shd w:val="clear" w:color="auto" w:fill="F2F2F2"/>
          </w:tcPr>
          <w:p>
            <w:pPr/>
            <w:r>
              <w:rPr>
                <w:b/>
              </w:rPr>
              <w:t xml:space="preserve">End Date</w:t>
            </w:r>
          </w:p>
        </w:tc>
        <w:tc>
          <w:tcPr>
            <w:tcW w:w="0" w:type="auto"/>
          </w:tcPr>
          <w:p>
            <w:pPr/>
            <w:r>
              <w:t xml:space="preserve">Sep 30, 2026</w:t>
            </w:r>
          </w:p>
        </w:tc>
      </w:tr>
      <w:tr>
        <w:tc>
          <w:tcPr>
            <w:tcW w:w="0" w:type="auto"/>
            <w:shd w:val="clear" w:color="auto" w:fill="F2F2F2"/>
          </w:tcPr>
          <w:p>
            <w:pPr/>
            <w:r>
              <w:rPr>
                <w:b/>
              </w:rPr>
              <w:t xml:space="preserve">Contract Value</w:t>
            </w:r>
          </w:p>
        </w:tc>
        <w:tc>
          <w:tcPr>
            <w:tcW w:w="0" w:type="auto"/>
          </w:tcPr>
          <w:p>
            <w:pPr/>
            <w:r>
              <w:t xml:space="preserve">₱39,200.00</w:t>
            </w:r>
          </w:p>
        </w:tc>
        <w:tc>
          <w:tcPr>
            <w:tcW w:w="0" w:type="auto"/>
            <w:shd w:val="clear" w:color="auto" w:fill="F2F2F2"/>
          </w:tcPr>
          <w:p>
            <w:pPr/>
            <w:r>
              <w:rPr>
                <w:b/>
              </w:rPr>
              <w:t xml:space="preserve">Quotation Valid Until</w:t>
            </w:r>
          </w:p>
        </w:tc>
        <w:tc>
          <w:tcPr>
            <w:tcW w:w="0" w:type="auto"/>
          </w:tcPr>
          <w:p>
            <w:pPr/>
            <w:r>
              <w:t xml:space="preserve">Sep 24, 2026</w:t>
            </w:r>
          </w:p>
        </w:tc>
      </w:tr>
    </w:tbl>
    <w:p/>
    <w:p>
      <w:pPr>
        <w:pStyle w:val="SectionHeading"/>
      </w:pPr>
      <w:r>
        <w:t xml:space="preserve">2. Client Information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0" w:type="auto"/>
            <w:shd w:val="clear" w:color="auto" w:fill="F2F2F2"/>
          </w:tcPr>
          <w:p>
            <w:pPr/>
            <w:r>
              <w:rPr>
                <w:b/>
              </w:rPr>
              <w:t xml:space="preserve">Company</w:t>
            </w:r>
          </w:p>
        </w:tc>
        <w:tc>
          <w:tcPr>
            <w:tcW w:w="0" w:type="auto"/>
          </w:tcPr>
          <w:p>
            <w:pPr/>
            <w:r>
              <w:t xml:space="preserve">MetroLink Logistics Inc.</w:t>
            </w:r>
          </w:p>
        </w:tc>
        <w:tc>
          <w:tcPr>
            <w:tcW w:w="0" w:type="auto"/>
            <w:shd w:val="clear" w:color="auto" w:fill="F2F2F2"/>
          </w:tcPr>
          <w:p>
            <w:pPr/>
            <w:r>
              <w:rPr>
                <w:b/>
              </w:rPr>
              <w:t xml:space="preserve">Industry</w:t>
            </w:r>
          </w:p>
        </w:tc>
        <w:tc>
          <w:tcPr>
            <w:tcW w:w="0" w:type="auto"/>
          </w:tcPr>
          <w:p>
            <w:pPr/>
            <w:r>
              <w:t xml:space="preserve">Logistics</w:t>
            </w:r>
          </w:p>
        </w:tc>
      </w:tr>
      <w:tr>
        <w:tc>
          <w:tcPr>
            <w:tcW w:w="0" w:type="auto"/>
            <w:shd w:val="clear" w:color="auto" w:fill="F2F2F2"/>
          </w:tcPr>
          <w:p>
            <w:pPr/>
            <w:r>
              <w:rPr>
                <w:b/>
              </w:rPr>
              <w:t xml:space="preserve">Contact Person</w:t>
            </w:r>
          </w:p>
        </w:tc>
        <w:tc>
          <w:tcPr>
            <w:tcW w:w="0" w:type="auto"/>
          </w:tcPr>
          <w:p>
            <w:pPr/>
            <w:r>
              <w:t xml:space="preserve">Ramil J. Aquino</w:t>
            </w:r>
          </w:p>
        </w:tc>
        <w:tc>
          <w:tcPr>
            <w:tcW w:w="0" w:type="auto"/>
            <w:shd w:val="clear" w:color="auto" w:fill="F2F2F2"/>
          </w:tcPr>
          <w:p>
            <w:pPr/>
            <w:r>
              <w:rPr>
                <w:b/>
              </w:rPr>
              <w:t xml:space="preserve">Contact Number</w:t>
            </w:r>
          </w:p>
        </w:tc>
        <w:tc>
          <w:tcPr>
            <w:tcW w:w="0" w:type="auto"/>
          </w:tcPr>
          <w:p>
            <w:pPr/>
            <w:r>
              <w:t xml:space="preserve">09204455667</w:t>
            </w:r>
          </w:p>
        </w:tc>
      </w:tr>
      <w:tr>
        <w:tc>
          <w:tcPr>
            <w:tcW w:w="0" w:type="auto"/>
            <w:shd w:val="clear" w:color="auto" w:fill="F2F2F2"/>
          </w:tcPr>
          <w:p>
            <w:pPr/>
            <w:r>
              <w:rPr>
                <w:b/>
              </w:rPr>
              <w:t xml:space="preserve">Email</w:t>
            </w:r>
          </w:p>
        </w:tc>
        <w:tc>
          <w:tcPr>
            <w:tcW w:w="0" w:type="auto"/>
          </w:tcPr>
          <w:p>
            <w:pPr/>
            <w:r>
              <w:t xml:space="preserve">ramil.aquino@metrolinklogistics.com</w:t>
            </w:r>
          </w:p>
        </w:tc>
        <w:tc>
          <w:tcPr>
            <w:tcW w:w="0" w:type="auto"/>
            <w:shd w:val="clear" w:color="auto" w:fill="F2F2F2"/>
          </w:tcPr>
          <w:p>
            <w:pPr/>
            <w:r>
              <w:rPr>
                <w:b/>
              </w:rPr>
              <w:t xml:space="preserve">Address</w:t>
            </w:r>
          </w:p>
        </w:tc>
        <w:tc>
          <w:tcPr>
            <w:tcW w:w="0" w:type="auto"/>
          </w:tcPr>
          <w:p>
            <w:pPr/>
            <w:r>
              <w:t xml:space="preserve">Purok Malipayon, General Santos City</w:t>
            </w:r>
          </w:p>
        </w:tc>
      </w:tr>
    </w:tbl>
    <w:p/>
    <w:p>
      <w:pPr>
        <w:pStyle w:val="SectionHeading"/>
      </w:pPr>
      <w:r>
        <w:t xml:space="preserve">3. Service Request</w:t>
      </w:r>
    </w:p>
    <w:p>
      <w:pPr/>
      <w:r>
        <w:rPr>
          <w:b/>
          <w:sz w:val="20"/>
          <w:szCs w:val="20"/>
        </w:rPr>
        <w:t xml:space="preserve">Request Title: Warehouse Inventory System Setup</w:t>
      </w:r>
    </w:p>
    <w:p>
      <w:pPr/>
      <w:r>
        <w:rPr>
          <w:sz w:val="20"/>
          <w:szCs w:val="20"/>
        </w:rPr>
        <w:t xml:space="preserve">Required Skill: IT Infrastructure Assessment</w:t>
      </w:r>
    </w:p>
    <w:p/>
    <w:p>
      <w:pPr>
        <w:spacing w:after="60"/>
        <w:jc w:val="both"/>
      </w:pPr>
      <w:r>
        <w:t xml:space="preserve">Client wants to digitize their warehouse inventory tracking. Need assessment of current manual process, recommendation of suitable inventory software, data migration support, and staff training. Integration with existing POS system is required.</w:t>
      </w:r>
    </w:p>
    <w:p/>
    <w:p>
      <w:pPr>
        <w:pStyle w:val="SectionHeading"/>
      </w:pPr>
      <w:r>
        <w:t xml:space="preserve">4. Project Scope</w:t>
      </w:r>
    </w:p>
    <w:p>
      <w:pPr>
        <w:spacing w:after="60"/>
        <w:jc w:val="both"/>
      </w:pPr>
      <w:r>
        <w:t xml:space="preserve">Assess the client's current manual inventory process and implement a digital inventory system integrated with their existing POS for real-time stock visibility across all warehouses.</w:t>
      </w:r>
    </w:p>
    <w:p/>
    <w:p>
      <w:pPr>
        <w:pStyle w:val="SectionHeading"/>
      </w:pPr>
      <w:r>
        <w:t xml:space="preserve">5. Scope Items and Fees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0" w:type="auto"/>
            <w:shd w:val="clear" w:color="auto" w:fill="EDEDED"/>
          </w:tcPr>
          <w:p>
            <w:pPr>
              <w:jc w:val="center"/>
            </w:pPr>
            <w:r>
              <w:rPr>
                <w:b/>
              </w:rPr>
              <w:t xml:space="preserve">#</w:t>
            </w:r>
          </w:p>
        </w:tc>
        <w:tc>
          <w:tcPr>
            <w:tcW w:w="0" w:type="auto"/>
            <w:shd w:val="clear" w:color="auto" w:fill="EDEDED"/>
          </w:tcPr>
          <w:p>
            <w:pPr/>
            <w:r>
              <w:rPr>
                <w:b/>
              </w:rPr>
              <w:t xml:space="preserve">Description</w:t>
            </w:r>
          </w:p>
        </w:tc>
        <w:tc>
          <w:tcPr>
            <w:tcW w:w="0" w:type="auto"/>
            <w:shd w:val="clear" w:color="auto" w:fill="EDEDED"/>
          </w:tcPr>
          <w:p>
            <w:pPr>
              <w:jc w:val="right"/>
            </w:pPr>
            <w:r>
              <w:rPr>
                <w:b/>
              </w:rPr>
              <w:t xml:space="preserve">Qty</w:t>
            </w:r>
          </w:p>
        </w:tc>
        <w:tc>
          <w:tcPr>
            <w:tcW w:w="0" w:type="auto"/>
            <w:shd w:val="clear" w:color="auto" w:fill="EDEDED"/>
          </w:tcPr>
          <w:p>
            <w:pPr>
              <w:jc w:val="right"/>
            </w:pPr>
            <w:r>
              <w:rPr>
                <w:b/>
              </w:rPr>
              <w:t xml:space="preserve">Unit Price</w:t>
            </w:r>
          </w:p>
        </w:tc>
        <w:tc>
          <w:tcPr>
            <w:tcW w:w="0" w:type="auto"/>
            <w:shd w:val="clear" w:color="auto" w:fill="EDEDED"/>
          </w:tcPr>
          <w:p>
            <w:pPr>
              <w:jc w:val="right"/>
            </w:pPr>
            <w:r>
              <w:rPr>
                <w:b/>
              </w:rPr>
              <w:t xml:space="preserve">Amount</w:t>
            </w:r>
          </w:p>
        </w:tc>
      </w:tr>
      <w:tr>
        <w:tc>
          <w:tcPr>
            <w:tcW w:w="0" w:type="auto"/>
          </w:tcPr>
          <w:p>
            <w:pPr>
              <w:jc w:val="center"/>
            </w:pPr>
            <w:r>
              <w:t xml:space="preserve">1</w:t>
            </w:r>
          </w:p>
        </w:tc>
        <w:tc>
          <w:tcPr>
            <w:tcW w:w="0" w:type="auto"/>
          </w:tcPr>
          <w:p>
            <w:pPr/>
            <w:r>
              <w:t xml:space="preserve">Systems assessment and requirements gathering</w:t>
            </w:r>
          </w:p>
        </w:tc>
        <w:tc>
          <w:tcPr>
            <w:tcW w:w="0" w:type="auto"/>
          </w:tcPr>
          <w:p>
            <w:pPr>
              <w:jc w:val="right"/>
            </w:pPr>
            <w:r>
              <w:t xml:space="preserve">1</w:t>
            </w:r>
          </w:p>
        </w:tc>
        <w:tc>
          <w:tcPr>
            <w:tcW w:w="0" w:type="auto"/>
          </w:tcPr>
          <w:p>
            <w:pPr>
              <w:jc w:val="right"/>
            </w:pPr>
            <w:r>
              <w:t xml:space="preserve">₱35,000.00</w:t>
            </w:r>
          </w:p>
        </w:tc>
        <w:tc>
          <w:tcPr>
            <w:tcW w:w="0" w:type="auto"/>
          </w:tcPr>
          <w:p>
            <w:pPr>
              <w:jc w:val="right"/>
            </w:pPr>
            <w:r>
              <w:t xml:space="preserve">₱35,000.00</w:t>
            </w:r>
          </w:p>
        </w:tc>
      </w:tr>
    </w:tbl>
    <w:p/>
    <w:p>
      <w:pPr>
        <w:jc w:val="right"/>
      </w:pPr>
      <w:r>
        <w:rPr>
          <w:sz w:val="20"/>
          <w:szCs w:val="20"/>
        </w:rPr>
        <w:t xml:space="preserve">Subtotal: ₱35,000.00</w:t>
      </w:r>
    </w:p>
    <w:p>
      <w:pPr>
        <w:jc w:val="right"/>
      </w:pPr>
      <w:r>
        <w:rPr>
          <w:sz w:val="20"/>
          <w:szCs w:val="20"/>
        </w:rPr>
        <w:t xml:space="preserve">Tax (12%): ₱4,200.00</w:t>
      </w:r>
    </w:p>
    <w:p>
      <w:pPr>
        <w:jc w:val="right"/>
      </w:pPr>
      <w:r>
        <w:rPr>
          <w:b/>
          <w:sz w:val="24"/>
          <w:szCs w:val="24"/>
        </w:rPr>
        <w:t xml:space="preserve">TOTAL: ₱39,200.00</w:t>
      </w:r>
    </w:p>
    <w:p/>
    <w:p>
      <w:pPr>
        <w:pStyle w:val="SectionHeading"/>
      </w:pPr>
      <w:r>
        <w:t xml:space="preserve">Quotation Notes</w:t>
      </w:r>
    </w:p>
    <w:p>
      <w:pPr>
        <w:spacing w:after="60"/>
        <w:jc w:val="both"/>
      </w:pPr>
      <w:r>
        <w:t xml:space="preserve">Timeline: 10–12 weeks from kickoff. Software license fees are excluded and will be billed separately by the vendor. Includes 30-day post-launch support via email and phone. Client must provide warehouse access for on-site assessment (up to 3 days).</w:t>
      </w:r>
    </w:p>
    <w:p/>
    <w:p>
      <w:pPr>
        <w:pStyle w:val="SectionHeading"/>
      </w:pPr>
      <w:r>
        <w:t xml:space="preserve">6. Terms and Conditions</w:t>
      </w:r>
    </w:p>
    <w:p>
      <w:pPr>
        <w:spacing w:after="60"/>
        <w:jc w:val="both"/>
      </w:pPr>
      <w:r>
        <w:t xml:space="preserve">1. SCOPE OF SERVICES</w:t>
      </w:r>
    </w:p>
    <w:p>
      <w:pPr>
        <w:spacing w:after="60"/>
        <w:jc w:val="both"/>
      </w:pPr>
      <w:r>
        <w:t xml:space="preserve">The Consultant shall assess the Client's current manual warehouse inventory process, recommend and implement a digital inventory system integrated with the Client's existing POS, migrate existing inventory records, and provide staff training.</w:t>
      </w:r>
    </w:p>
    <w:p/>
    <w:p>
      <w:pPr>
        <w:spacing w:after="60"/>
        <w:jc w:val="both"/>
      </w:pPr>
      <w:r>
        <w:t xml:space="preserve">2. PAYMENT TERMS</w:t>
      </w:r>
    </w:p>
    <w:p>
      <w:pPr>
        <w:spacing w:after="60"/>
        <w:jc w:val="both"/>
      </w:pPr>
      <w:r>
        <w:t xml:space="preserve">- 50% downpayment upon signing of this contract.</w:t>
      </w:r>
    </w:p>
    <w:p>
      <w:pPr>
        <w:spacing w:after="60"/>
        <w:jc w:val="both"/>
      </w:pPr>
      <w:r>
        <w:t xml:space="preserve">- 50% balance upon completion of system setup, data migration, and staff training.</w:t>
      </w:r>
    </w:p>
    <w:p>
      <w:pPr>
        <w:spacing w:after="60"/>
        <w:jc w:val="both"/>
      </w:pPr>
      <w:r>
        <w:t xml:space="preserve">- All payments shall be made via bank transfer within fifteen (15) days from receipt of invoice.</w:t>
      </w:r>
    </w:p>
    <w:p/>
    <w:p>
      <w:pPr>
        <w:spacing w:after="60"/>
        <w:jc w:val="both"/>
      </w:pPr>
      <w:r>
        <w:t xml:space="preserve">3. PROJECT TIMELINE</w:t>
      </w:r>
    </w:p>
    <w:p>
      <w:pPr>
        <w:spacing w:after="60"/>
        <w:jc w:val="both"/>
      </w:pPr>
      <w:r>
        <w:t xml:space="preserve">The engagement shall commence on the Start Date and be completed on or before the End Date. Any extension shall require written approval from both parties.</w:t>
      </w:r>
    </w:p>
    <w:p/>
    <w:p>
      <w:pPr>
        <w:spacing w:after="60"/>
        <w:jc w:val="both"/>
      </w:pPr>
      <w:r>
        <w:t xml:space="preserve">4. DELIVERABLES</w:t>
      </w:r>
    </w:p>
    <w:p>
      <w:pPr>
        <w:spacing w:after="60"/>
        <w:jc w:val="both"/>
      </w:pPr>
      <w:r>
        <w:t xml:space="preserve">- Systems assessment report</w:t>
      </w:r>
    </w:p>
    <w:p>
      <w:pPr>
        <w:spacing w:after="60"/>
        <w:jc w:val="both"/>
      </w:pPr>
      <w:r>
        <w:t xml:space="preserve">- Software recommendation document</w:t>
      </w:r>
    </w:p>
    <w:p>
      <w:pPr>
        <w:spacing w:after="60"/>
        <w:jc w:val="both"/>
      </w:pPr>
      <w:r>
        <w:t xml:space="preserve">- Migrated inventory data</w:t>
      </w:r>
    </w:p>
    <w:p>
      <w:pPr>
        <w:spacing w:after="60"/>
        <w:jc w:val="both"/>
      </w:pPr>
      <w:r>
        <w:t xml:space="preserve">- Configured warehouse inventory system with POS integration</w:t>
      </w:r>
    </w:p>
    <w:p>
      <w:pPr>
        <w:spacing w:after="60"/>
        <w:jc w:val="both"/>
      </w:pPr>
      <w:r>
        <w:t xml:space="preserve">- Staff training sessions</w:t>
      </w:r>
    </w:p>
    <w:p>
      <w:pPr>
        <w:spacing w:after="60"/>
        <w:jc w:val="both"/>
      </w:pPr>
      <w:r>
        <w:t xml:space="preserve">- Post-implementation support for thirty (30) days</w:t>
      </w:r>
    </w:p>
    <w:p/>
    <w:p>
      <w:pPr>
        <w:spacing w:after="60"/>
        <w:jc w:val="both"/>
      </w:pPr>
      <w:r>
        <w:t xml:space="preserve">5. CLIENT RESPONSIBILITIES</w:t>
      </w:r>
    </w:p>
    <w:p>
      <w:pPr>
        <w:spacing w:after="60"/>
        <w:jc w:val="both"/>
      </w:pPr>
      <w:r>
        <w:t xml:space="preserve">The Client shall provide warehouse access for on-site assessment, existing inventory records in digital or physical format, and a designated point of contact for coordination throughout the engagement.</w:t>
      </w:r>
    </w:p>
    <w:p/>
    <w:p>
      <w:pPr>
        <w:spacing w:after="60"/>
        <w:jc w:val="both"/>
      </w:pPr>
      <w:r>
        <w:t xml:space="preserve">6. EXCLUSIONS</w:t>
      </w:r>
    </w:p>
    <w:p>
      <w:pPr>
        <w:spacing w:after="60"/>
        <w:jc w:val="both"/>
      </w:pPr>
      <w:r>
        <w:t xml:space="preserve">- Software license fees (billed separately by vendor)</w:t>
      </w:r>
    </w:p>
    <w:p>
      <w:pPr>
        <w:spacing w:after="60"/>
        <w:jc w:val="both"/>
      </w:pPr>
      <w:r>
        <w:t xml:space="preserve">- Hardware procurement costs (scanners, terminals, servers)</w:t>
      </w:r>
    </w:p>
    <w:p>
      <w:pPr>
        <w:spacing w:after="60"/>
        <w:jc w:val="both"/>
      </w:pPr>
      <w:r>
        <w:t xml:space="preserve">- Internet or network infrastructure upgrades</w:t>
      </w:r>
    </w:p>
    <w:p>
      <w:pPr>
        <w:spacing w:after="60"/>
        <w:jc w:val="both"/>
      </w:pPr>
      <w:r>
        <w:t xml:space="preserve">- Extended support beyond the 30-day post-implementation period</w:t>
      </w:r>
    </w:p>
    <w:p/>
    <w:p>
      <w:pPr>
        <w:spacing w:after="60"/>
        <w:jc w:val="both"/>
      </w:pPr>
      <w:r>
        <w:t xml:space="preserve">7. DATA PRIVACY</w:t>
      </w:r>
    </w:p>
    <w:p>
      <w:pPr>
        <w:spacing w:after="60"/>
        <w:jc w:val="both"/>
      </w:pPr>
      <w:r>
        <w:t xml:space="preserve">The Consultant shall comply with the Data Privacy Act of 2012 (RA 10173) in handling all Client data throughout the engagement. All inventory and operational data shall remain the sole property of the Client.</w:t>
      </w:r>
    </w:p>
    <w:p/>
    <w:p>
      <w:pPr>
        <w:spacing w:after="60"/>
        <w:jc w:val="both"/>
      </w:pPr>
      <w:r>
        <w:t xml:space="preserve">8. REVISIONS</w:t>
      </w:r>
    </w:p>
    <w:p>
      <w:pPr>
        <w:spacing w:after="60"/>
        <w:jc w:val="both"/>
      </w:pPr>
      <w:r>
        <w:t xml:space="preserve">System configuration revisions within the agreed scope are unlimited during the project duration. Additional features or functionality beyond the original scope shall be quoted separately.</w:t>
      </w:r>
    </w:p>
    <w:p/>
    <w:p>
      <w:pPr>
        <w:spacing w:after="60"/>
        <w:jc w:val="both"/>
      </w:pPr>
      <w:r>
        <w:t xml:space="preserve">9. CONFIDENTIALITY</w:t>
      </w:r>
    </w:p>
    <w:p>
      <w:pPr>
        <w:spacing w:after="60"/>
        <w:jc w:val="both"/>
      </w:pPr>
      <w:r>
        <w:t xml:space="preserve">Both parties agree to keep all business, operational, and technical information disclosed during this engagement strictly confidential and shall not disclose such information to any third party without prior written consent.</w:t>
      </w:r>
    </w:p>
    <w:p/>
    <w:p>
      <w:pPr>
        <w:spacing w:after="60"/>
        <w:jc w:val="both"/>
      </w:pPr>
      <w:r>
        <w:t xml:space="preserve">10. TERMINATION</w:t>
      </w:r>
    </w:p>
    <w:p>
      <w:pPr>
        <w:spacing w:after="60"/>
        <w:jc w:val="both"/>
      </w:pPr>
      <w:r>
        <w:t xml:space="preserve">Either party may terminate this contract with thirty (30) days written notice. Fees for services rendered prior to termination shall remain payable based on the milestone completion percentage.</w:t>
      </w:r>
    </w:p>
    <w:p/>
    <w:p>
      <w:pPr>
        <w:spacing w:after="60"/>
        <w:jc w:val="both"/>
      </w:pPr>
      <w:r>
        <w:t xml:space="preserve">11. GOVERNING LAW</w:t>
      </w:r>
    </w:p>
    <w:p>
      <w:pPr>
        <w:spacing w:after="60"/>
        <w:jc w:val="both"/>
      </w:pPr>
      <w:r>
        <w:t xml:space="preserve">This contract shall be governed by the laws of the Republic of the Philippines.</w:t>
      </w:r>
    </w:p>
    <w:p/>
    <w:p>
      <w:pPr>
        <w:pStyle w:val="SectionHeading"/>
      </w:pPr>
      <w:r>
        <w:t xml:space="preserve">7. Authorization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0" w:type="auto"/>
            <w:shd w:val="clear" w:color="auto" w:fill="F2F2F2"/>
          </w:tcPr>
          <w:p>
            <w:pPr/>
            <w:r>
              <w:rPr>
                <w:b/>
              </w:rPr>
              <w:t xml:space="preserve">Prepared By</w:t>
            </w:r>
          </w:p>
        </w:tc>
        <w:tc>
          <w:tcPr>
            <w:tcW w:w="0" w:type="auto"/>
          </w:tcPr>
          <w:p>
            <w:pPr/>
            <w:r>
              <w:t xml:space="preserve">Alvin Salmo</w:t>
            </w:r>
          </w:p>
        </w:tc>
        <w:tc>
          <w:tcPr>
            <w:tcW w:w="0" w:type="auto"/>
            <w:shd w:val="clear" w:color="auto" w:fill="F2F2F2"/>
          </w:tcPr>
          <w:p>
            <w:pPr/>
            <w:r>
              <w:rPr>
                <w:b/>
              </w:rPr>
              <w:t xml:space="preserve">Approved By</w:t>
            </w:r>
          </w:p>
        </w:tc>
        <w:tc>
          <w:tcPr>
            <w:tcW w:w="0" w:type="auto"/>
          </w:tcPr>
          <w:p>
            <w:pPr/>
            <w:r>
              <w:t xml:space="preserve">Mike Garde (Sep 11, 2026)</w:t>
            </w:r>
          </w:p>
        </w:tc>
      </w:tr>
    </w:tbl>
    <w:p/>
    <w:p/>
    <w:tbl>
      <w:tblPr>
        <w:tblW w:w="0" w:type="auto"/>
        <w:tblBorders>
          <w:top w:val="none"/>
          <w:left w:val="none"/>
          <w:bottom w:val="none"/>
          <w:right w:val="none"/>
          <w:insideH w:val="none"/>
          <w:insideV w:val="none"/>
        </w:tblBorders>
      </w:tblPr>
      <w:tr>
        <w:tc>
          <w:tcPr>
            <w:tcW w:w="0" w:type="auto"/>
          </w:tcPr>
          <w:p>
            <w:pPr>
              <w:spacing w:before="600"/>
              <w:pBdr>
                <w:bottom w:val="single" w:sz="4" w:space="1" w:color="000000"/>
              </w:pBdr>
            </w:pPr>
            <w:r>
              <w:t xml:space="preserve"> </w:t>
            </w:r>
          </w:p>
          <w:p>
            <w:r>
              <w:rPr>
                <w:b/>
              </w:rPr>
              <w:t xml:space="preserve">Mike Garde</w:t>
            </w:r>
          </w:p>
          <w:p>
            <w:r>
              <w:rPr>
                <w:sz w:val="18"/>
              </w:rPr>
              <w:t xml:space="preserve">Authorized Representative</w:t>
            </w:r>
          </w:p>
          <w:p>
            <w:r>
              <w:rPr>
                <w:sz w:val="18"/>
              </w:rPr>
              <w:t xml:space="preserve">KMP Integrated Enterprise, Inc.</w:t>
            </w:r>
          </w:p>
          <w:p>
            <w:r>
              <w:rPr>
                <w:sz w:val="18"/>
              </w:rPr>
              <w:t xml:space="preserve">Date: ____________________</w:t>
            </w:r>
          </w:p>
        </w:tc>
        <w:tc>
          <w:tcPr>
            <w:tcW w:w="0" w:type="auto"/>
          </w:tcPr>
          <w:p>
            <w:pPr>
              <w:spacing w:before="600"/>
              <w:pBdr>
                <w:bottom w:val="single" w:sz="4" w:space="1" w:color="000000"/>
              </w:pBdr>
            </w:pPr>
            <w:r>
              <w:t xml:space="preserve"> </w:t>
            </w:r>
          </w:p>
          <w:p>
            <w:r>
              <w:rPr>
                <w:b/>
              </w:rPr>
              <w:t xml:space="preserve">Ramil J. Aquino</w:t>
            </w:r>
          </w:p>
          <w:p>
            <w:r>
              <w:rPr>
                <w:sz w:val="18"/>
              </w:rPr>
              <w:t xml:space="preserve">Authorized Representative</w:t>
            </w:r>
          </w:p>
          <w:p>
            <w:r>
              <w:rPr>
                <w:sz w:val="18"/>
              </w:rPr>
              <w:t xml:space="preserve">MetroLink Logistics Inc.</w:t>
            </w:r>
          </w:p>
          <w:p>
            <w:r>
              <w:rPr>
                <w:sz w:val="18"/>
              </w:rPr>
              <w:t xml:space="preserve">Date: ____________________</w:t>
            </w:r>
          </w:p>
        </w:tc>
      </w:tr>
    </w:tbl>
    <w:p/>
    <w:p>
      <w:pPr>
        <w:jc w:val="center"/>
      </w:pPr>
      <w:r>
        <w:rPr>
          <w:sz w:val="16"/>
          <w:szCs w:val="16"/>
        </w:rPr>
        <w:t xml:space="preserve">KMP Integrated Enterprise, Inc. · Shaping Smarter Solutions.</w:t>
      </w:r>
    </w:p>
    <w:p>
      <w:pPr>
        <w:jc w:val="center"/>
      </w:pPr>
      <w:r>
        <w:rPr>
          <w:sz w:val="16"/>
          <w:szCs w:val="16"/>
        </w:rPr>
        <w:t xml:space="preserve">This document was generated by the KMP ConsultHub system. Contract No. SOW-2026-0003</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Calibri" w:hAnsi="Calibri" w:cs="Calibri"/>
        <w:sz w:val="20"/>
        <w:szCs w:val="20"/>
      </w:rPr>
    </w:rPrDefault>
  </w:docDefaults>
  <w:style w:type="paragraph" w:styleId="SectionHeading">
    <w:name w:val="Section Heading"/>
    <w:pPr>
      <w:spacing w:before="220" w:after="90"/>
      <w:pBdr>
        <w:bottom w:val="single" w:sz="6" w:space="2" w:color="888888"/>
      </w:pBdr>
    </w:pPr>
    <w:rPr>
      <w:b/>
      <w:sz w:val="21"/>
      <w:caps/>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SOW-2026-0003.docx</dc:title>
  <dc:creator>KMP ConsultHub</dc:creator>
</cp:coreProperties>
</file>