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F67"/>
          <w:sz w:val="34"/>
        </w:rPr>
        <w:t>CONSULTANCY SERVICES AGREEMENT</w:t>
      </w:r>
    </w:p>
    <w:p>
      <w:pPr>
        <w:spacing w:after="40" w:line="240" w:lineRule="auto"/>
      </w:pPr>
      <w:r>
        <w:t>This Consultancy Services Agreement is entered into on April 25, 2025, by and between KMP Business Consultancy Services, hereinafter referred to as the “Consultant,” and ABC Corporation, hereinafter referred to as the “Client.”</w:t>
      </w:r>
    </w:p>
    <w:p>
      <w:pPr>
        <w:spacing w:before="60" w:after="20"/>
      </w:pPr>
      <w:r>
        <w:rPr>
          <w:b/>
          <w:color w:val="173F67"/>
          <w:sz w:val="20"/>
        </w:rPr>
        <w:t>1. PURPOSE AND SCOPE OF SERVICES</w:t>
      </w:r>
    </w:p>
    <w:p>
      <w:pPr>
        <w:spacing w:after="40" w:line="240" w:lineRule="auto"/>
      </w:pPr>
      <w:r>
        <w:t>The Consultant agrees to provide professional consultancy services to the Client concerning Business Process Improvement and Organizational Development. The services may include assessment, professional advice, document preparation, process assistance, and other activities agreed upon by both parties.</w:t>
      </w:r>
    </w:p>
    <w:p>
      <w:pPr>
        <w:spacing w:before="60" w:after="20"/>
      </w:pPr>
      <w:r>
        <w:rPr>
          <w:b/>
          <w:color w:val="173F67"/>
          <w:sz w:val="20"/>
        </w:rPr>
        <w:t>2. DELIVERABLES</w:t>
      </w:r>
    </w:p>
    <w:p>
      <w:pPr>
        <w:spacing w:after="40" w:line="240" w:lineRule="auto"/>
      </w:pPr>
      <w:r>
        <w:t>The Consultant shall provide the following deliverables:</w:t>
      </w:r>
    </w:p>
    <w:p>
      <w:pPr>
        <w:spacing w:after="0"/>
        <w:ind w:left="288"/>
      </w:pPr>
      <w:r>
        <w:t>• Assessment Report</w:t>
      </w:r>
    </w:p>
    <w:p>
      <w:pPr>
        <w:spacing w:after="0"/>
        <w:ind w:left="288"/>
      </w:pPr>
      <w:r>
        <w:t>• Recommendations for Process Improvement</w:t>
      </w:r>
    </w:p>
    <w:p>
      <w:pPr>
        <w:spacing w:after="0"/>
        <w:ind w:left="288"/>
      </w:pPr>
      <w:r>
        <w:t>• Final Consultancy Report</w:t>
      </w:r>
    </w:p>
    <w:p>
      <w:pPr>
        <w:spacing w:after="0"/>
        <w:ind w:left="288"/>
      </w:pPr>
      <w:r>
        <w:t>• Presentation of Findings and Recommendations</w:t>
      </w:r>
    </w:p>
    <w:p>
      <w:pPr>
        <w:spacing w:after="40" w:line="240" w:lineRule="auto"/>
      </w:pPr>
      <w:r>
        <w:t>Deliverables shall be completed according to the agreed schedule and requirements specified by the Client and Consultant.</w:t>
      </w:r>
    </w:p>
    <w:p>
      <w:pPr>
        <w:spacing w:before="60" w:after="20"/>
      </w:pPr>
      <w:r>
        <w:rPr>
          <w:b/>
          <w:color w:val="173F67"/>
          <w:sz w:val="20"/>
        </w:rPr>
        <w:t>3. DURATION</w:t>
      </w:r>
    </w:p>
    <w:p>
      <w:pPr>
        <w:spacing w:after="40" w:line="240" w:lineRule="auto"/>
      </w:pPr>
      <w:r>
        <w:t>The consultancy engagement shall commence on May 5, 2025 and shall continue until July 31, 2025, unless extended or terminated by mutual written agreement of both parties.</w:t>
      </w:r>
    </w:p>
    <w:p>
      <w:pPr>
        <w:spacing w:before="60" w:after="20"/>
      </w:pPr>
      <w:r>
        <w:rPr>
          <w:b/>
          <w:color w:val="173F67"/>
          <w:sz w:val="20"/>
        </w:rPr>
        <w:t>4. PROFESSIONAL FEES AND PAYMENT</w:t>
      </w:r>
    </w:p>
    <w:p>
      <w:pPr>
        <w:spacing w:after="40" w:line="240" w:lineRule="auto"/>
      </w:pPr>
      <w:r>
        <w:t>The Client agrees to pay a total consultancy fee of ₱150,000.00. Payment shall be made according to the following terms: 50% upon signing of this Agreement and 50% upon completion and acceptance of the final report. Additional services outside the agreed scope may be subject to additional charges upon approval by the Client.</w:t>
      </w:r>
    </w:p>
    <w:p>
      <w:pPr>
        <w:spacing w:before="60" w:after="20"/>
      </w:pPr>
      <w:r>
        <w:rPr>
          <w:b/>
          <w:color w:val="173F67"/>
          <w:sz w:val="20"/>
        </w:rPr>
        <w:t>5. CONFIDENTIALITY</w:t>
      </w:r>
    </w:p>
    <w:p>
      <w:pPr>
        <w:spacing w:after="40" w:line="240" w:lineRule="auto"/>
      </w:pPr>
      <w:r>
        <w:t>Both parties agree to maintain the confidentiality of all non-public information, documents, records, and business information obtained during the consultancy engagement. Such information shall not be disclosed to unauthorized persons without prior written consent, except when required by law.</w:t>
      </w:r>
    </w:p>
    <w:p>
      <w:pPr>
        <w:spacing w:before="60" w:after="20"/>
      </w:pPr>
      <w:r>
        <w:rPr>
          <w:b/>
          <w:color w:val="173F67"/>
          <w:sz w:val="20"/>
        </w:rPr>
        <w:t>6. RESPONSIBILITIES</w:t>
      </w:r>
    </w:p>
    <w:p>
      <w:pPr>
        <w:spacing w:after="40" w:line="240" w:lineRule="auto"/>
      </w:pPr>
      <w:r>
        <w:t>The Consultant shall perform the agreed services professionally and within the agreed schedule. The Client shall provide accurate information, documents, access, and cooperation necessary for the completion of the consultancy services.</w:t>
      </w:r>
    </w:p>
    <w:p>
      <w:pPr>
        <w:spacing w:before="60" w:after="20"/>
      </w:pPr>
      <w:r>
        <w:rPr>
          <w:b/>
          <w:color w:val="173F67"/>
          <w:sz w:val="20"/>
        </w:rPr>
        <w:t>7. TERMINATION</w:t>
      </w:r>
    </w:p>
    <w:p>
      <w:pPr>
        <w:spacing w:after="40" w:line="240" w:lineRule="auto"/>
      </w:pPr>
      <w:r>
        <w:t>Either party may terminate this Agreement by providing 10 days’ written notice. Any completed services or approved expenses incurred before termination shall remain payable by the Client.</w:t>
      </w:r>
    </w:p>
    <w:p>
      <w:pPr>
        <w:spacing w:before="60" w:after="20"/>
      </w:pPr>
      <w:r>
        <w:rPr>
          <w:b/>
          <w:color w:val="173F67"/>
          <w:sz w:val="20"/>
        </w:rPr>
        <w:t>8. AGREEMENT AND SIGNATURES</w:t>
      </w:r>
    </w:p>
    <w:p>
      <w:pPr>
        <w:spacing w:after="40" w:line="240" w:lineRule="auto"/>
      </w:pPr>
      <w:r>
        <w:t>By signing below, both parties acknowledge that they have read, understood, and agreed to the terms and conditions of this Consultancy Services Agreement.</w:t>
      </w:r>
    </w:p>
    <w:tbl>
      <w:tblPr>
        <w:tblW w:type="auto" w:w="0"/>
        <w:jc w:val="center"/>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Pr>
          <w:p>
            <w:r>
              <w:rPr>
                <w:b/>
                <w:color w:val="173F67"/>
                <w:sz w:val="17"/>
              </w:rPr>
              <w:t>CONSULTANT:</w:t>
              <w:br/>
              <w:t>KMP Business Consultancy Services</w:t>
            </w:r>
          </w:p>
        </w:tc>
        <w:tc>
          <w:tcPr>
            <w:tcW w:type="dxa" w:w="5184"/>
            <w:tcBorders>
              <w:top w:val="nil"/>
              <w:left w:val="nil"/>
              <w:bottom w:val="nil"/>
              <w:right w:val="nil"/>
              <w:insideH w:val="nil"/>
              <w:insideV w:val="nil"/>
            </w:tcBorders>
          </w:tcPr>
          <w:p>
            <w:r>
              <w:rPr>
                <w:b/>
                <w:color w:val="173F67"/>
                <w:sz w:val="17"/>
              </w:rPr>
              <w:t>CLIENT:</w:t>
              <w:br/>
              <w:t>ABC Corporation</w:t>
            </w:r>
          </w:p>
        </w:tc>
      </w:tr>
      <w:tr>
        <w:tc>
          <w:tcPr>
            <w:tcW w:type="dxa" w:w="5184"/>
            <w:tcBorders>
              <w:top w:val="nil"/>
              <w:left w:val="nil"/>
              <w:bottom w:val="nil"/>
              <w:right w:val="nil"/>
              <w:insideH w:val="nil"/>
              <w:insideV w:val="nil"/>
            </w:tcBorders>
          </w:tcPr>
          <w:p>
            <w:r>
              <w:rPr>
                <w:sz w:val="17"/>
              </w:rPr>
              <w:t>Name: __________________________</w:t>
            </w:r>
          </w:p>
        </w:tc>
        <w:tc>
          <w:tcPr>
            <w:tcW w:type="dxa" w:w="5184"/>
            <w:tcBorders>
              <w:top w:val="nil"/>
              <w:left w:val="nil"/>
              <w:bottom w:val="nil"/>
              <w:right w:val="nil"/>
              <w:insideH w:val="nil"/>
              <w:insideV w:val="nil"/>
            </w:tcBorders>
          </w:tcPr>
          <w:p>
            <w:r>
              <w:rPr>
                <w:sz w:val="17"/>
              </w:rPr>
              <w:t>Authorized Representative: __________________</w:t>
            </w:r>
          </w:p>
        </w:tc>
      </w:tr>
      <w:tr>
        <w:tc>
          <w:tcPr>
            <w:tcW w:type="dxa" w:w="5184"/>
            <w:tcBorders>
              <w:top w:val="nil"/>
              <w:left w:val="nil"/>
              <w:bottom w:val="nil"/>
              <w:right w:val="nil"/>
              <w:insideH w:val="nil"/>
              <w:insideV w:val="nil"/>
            </w:tcBorders>
          </w:tcPr>
          <w:p>
            <w:r>
              <w:rPr>
                <w:sz w:val="17"/>
              </w:rPr>
              <w:t>Signature: _____________________</w:t>
            </w:r>
          </w:p>
        </w:tc>
        <w:tc>
          <w:tcPr>
            <w:tcW w:type="dxa" w:w="5184"/>
            <w:tcBorders>
              <w:top w:val="nil"/>
              <w:left w:val="nil"/>
              <w:bottom w:val="nil"/>
              <w:right w:val="nil"/>
              <w:insideH w:val="nil"/>
              <w:insideV w:val="nil"/>
            </w:tcBorders>
          </w:tcPr>
          <w:p>
            <w:r>
              <w:rPr>
                <w:sz w:val="17"/>
              </w:rPr>
              <w:t>Signature: _________________________________</w:t>
            </w:r>
          </w:p>
        </w:tc>
      </w:tr>
      <w:tr>
        <w:tc>
          <w:tcPr>
            <w:tcW w:type="dxa" w:w="5184"/>
            <w:tcBorders>
              <w:top w:val="nil"/>
              <w:left w:val="nil"/>
              <w:bottom w:val="nil"/>
              <w:right w:val="nil"/>
              <w:insideH w:val="nil"/>
              <w:insideV w:val="nil"/>
            </w:tcBorders>
          </w:tcPr>
          <w:p>
            <w:r>
              <w:rPr>
                <w:sz w:val="17"/>
              </w:rPr>
              <w:t>Date: __________________________</w:t>
            </w:r>
          </w:p>
        </w:tc>
        <w:tc>
          <w:tcPr>
            <w:tcW w:type="dxa" w:w="5184"/>
            <w:tcBorders>
              <w:top w:val="nil"/>
              <w:left w:val="nil"/>
              <w:bottom w:val="nil"/>
              <w:right w:val="nil"/>
              <w:insideH w:val="nil"/>
              <w:insideV w:val="nil"/>
            </w:tcBorders>
          </w:tcPr>
          <w:p>
            <w:r>
              <w:rPr>
                <w:sz w:val="17"/>
              </w:rPr>
              <w:t>Date: _____________________________________</w:t>
            </w:r>
          </w:p>
        </w:tc>
      </w:tr>
    </w:tbl>
    <w:sectPr w:rsidR="00FC693F" w:rsidRPr="0006063C" w:rsidSect="00034616">
      <w:headerReference w:type="default" r:id="rId9"/>
      <w:footerReference w:type="default" r:id="rId10"/>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73F67"/>
        <w:sz w:val="14"/>
      </w:rPr>
      <w:t>KMP Business Consultancy Services • Consultancy Services Agreement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184"/>
      <w:gridCol w:w="5184"/>
    </w:tblGrid>
    <w:tr>
      <w:tc>
        <w:tcPr>
          <w:tcW w:type="dxa" w:w="5184"/>
        </w:tcPr>
        <w:p>
          <w:r>
            <w:rPr>
              <w:b/>
              <w:color w:val="173F67"/>
              <w:sz w:val="56"/>
            </w:rPr>
            <w:t>KMP</w:t>
          </w:r>
          <w:r>
            <w:rPr>
              <w:b/>
              <w:color w:val="173F67"/>
              <w:sz w:val="18"/>
            </w:rPr>
            <w:br/>
            <w:t>Business Consultancy Services</w:t>
          </w:r>
        </w:p>
      </w:tc>
      <w:tc>
        <w:tcPr>
          <w:tcW w:type="dxa" w:w="5184"/>
        </w:tcPr>
        <w:p>
          <w:pPr>
            <w:jc w:val="right"/>
          </w:pPr>
          <w:r>
            <w:rPr>
              <w:sz w:val="14"/>
            </w:rPr>
            <w:t>Unit 101, Business Center Tower</w:t>
            <w:br/>
            <w:t>123 Innovation Drive, Makati City, Philippines</w:t>
            <w:br/>
            <w:t>+63 2 8123 4567</w:t>
            <w:br/>
            <w:t>info@kmpconsultancy.com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