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7E44A9"/>
          <w:sz w:val="17"/>
        </w:rPr>
        <w:t>PRODUCT SECURITY IN ONE HOUR · TEMPLATE</w:t>
      </w:r>
    </w:p>
    <w:p>
      <w:pPr>
        <w:pStyle w:val="Title"/>
      </w:pPr>
      <w:r>
        <w:t>Product Security Engagement Checklist</w:t>
      </w:r>
    </w:p>
    <w:p>
      <w:pPr>
        <w:pBdr>
          <w:bottom w:val="single" w:sz="12" w:space="4" w:color="9C3396"/>
        </w:pBdr>
        <w:spacing w:after="160"/>
      </w:pPr>
      <w:r>
        <w:rPr>
          <w:color w:val="7E44A9"/>
          <w:sz w:val="21"/>
        </w:rPr>
        <w:t>When to engage your product security team, what to bring, and what you'll need to deliver</w:t>
      </w:r>
    </w:p>
    <w:p>
      <w:pPr>
        <w:pStyle w:val="Hint"/>
      </w:pPr>
      <w:r>
        <w:t>For product owners and program managers: fill in one per project or significant change, at kickoff and at each design review. Not sure whether something counts? Ask your product security team.</w:t>
      </w:r>
    </w:p>
    <w:p>
      <w:pPr>
        <w:pStyle w:val="Heading1"/>
      </w:pPr>
      <w:r>
        <w:t>Project information</w:t>
      </w:r>
    </w:p>
    <w:tbl>
      <w:tblPr>
        <w:tblW w:type="dxa" w:w="10512"/>
        <w:tblBorders>
          <w:top w:val="single" w:sz="4" w:space="0" w:color="A9BAC8"/>
          <w:left w:val="single" w:sz="4" w:space="0" w:color="A9BAC8"/>
          <w:bottom w:val="single" w:sz="4" w:space="0" w:color="A9BAC8"/>
          <w:right w:val="single" w:sz="4" w:space="0" w:color="A9BAC8"/>
          <w:insideH w:val="single" w:sz="4" w:space="0" w:color="A9BAC8"/>
          <w:insideV w:val="single" w:sz="4" w:space="0" w:color="A9BAC8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48"/>
        <w:gridCol w:w="2808"/>
        <w:gridCol w:w="2088"/>
        <w:gridCol w:w="3168"/>
      </w:tblGrid>
      <w:tr>
        <w:trPr>
          <w:trHeight w:val="460" w:hRule="atLeast"/>
        </w:trPr>
        <w:tc>
          <w:tcPr>
            <w:tcW w:type="dxa" w:w="2448"/>
            <w:shd w:val="clear" w:color="auto" w:fill="F4F7FA"/>
            <w:vAlign w:val="center"/>
          </w:tcPr>
          <w:p>
            <w:pPr>
              <w:pStyle w:val="Cell"/>
            </w:pPr>
            <w:r>
              <w:rPr>
                <w:b/>
                <w:color w:val="233884"/>
              </w:rPr>
              <w:t>Product</w:t>
            </w:r>
          </w:p>
        </w:tc>
        <w:tc>
          <w:tcPr>
            <w:tcW w:type="dxa" w:w="2808"/>
          </w:tcPr>
          <w:p>
            <w:pPr>
              <w:pStyle w:val="Cell"/>
            </w:pPr>
          </w:p>
        </w:tc>
        <w:tc>
          <w:tcPr>
            <w:tcW w:type="dxa" w:w="2088"/>
            <w:shd w:val="clear" w:color="auto" w:fill="F4F7FA"/>
            <w:vAlign w:val="center"/>
          </w:tcPr>
          <w:p>
            <w:pPr>
              <w:pStyle w:val="Cell"/>
            </w:pPr>
            <w:r>
              <w:rPr>
                <w:b/>
                <w:color w:val="233884"/>
              </w:rPr>
              <w:t>Release / version</w:t>
            </w:r>
          </w:p>
        </w:tc>
        <w:tc>
          <w:tcPr>
            <w:tcW w:type="dxa" w:w="3168"/>
          </w:tcPr>
          <w:p>
            <w:pPr>
              <w:pStyle w:val="Cell"/>
            </w:pPr>
          </w:p>
        </w:tc>
      </w:tr>
      <w:tr>
        <w:trPr>
          <w:trHeight w:val="460" w:hRule="atLeast"/>
        </w:trPr>
        <w:tc>
          <w:tcPr>
            <w:tcW w:type="dxa" w:w="2448"/>
            <w:shd w:val="clear" w:color="auto" w:fill="F4F7FA"/>
            <w:vAlign w:val="center"/>
          </w:tcPr>
          <w:p>
            <w:pPr>
              <w:pStyle w:val="Cell"/>
            </w:pPr>
            <w:r>
              <w:rPr>
                <w:b/>
                <w:color w:val="233884"/>
              </w:rPr>
              <w:t>Owner (PO or PM)</w:t>
            </w:r>
          </w:p>
        </w:tc>
        <w:tc>
          <w:tcPr>
            <w:tcW w:type="dxa" w:w="2808"/>
          </w:tcPr>
          <w:p>
            <w:pPr>
              <w:pStyle w:val="Cell"/>
            </w:pPr>
          </w:p>
        </w:tc>
        <w:tc>
          <w:tcPr>
            <w:tcW w:type="dxa" w:w="2088"/>
            <w:shd w:val="clear" w:color="auto" w:fill="F4F7FA"/>
            <w:vAlign w:val="center"/>
          </w:tcPr>
          <w:p>
            <w:pPr>
              <w:pStyle w:val="Cell"/>
            </w:pPr>
            <w:r>
              <w:rPr>
                <w:b/>
                <w:color w:val="233884"/>
              </w:rPr>
              <w:t>Date</w:t>
            </w:r>
          </w:p>
        </w:tc>
        <w:tc>
          <w:tcPr>
            <w:tcW w:type="dxa" w:w="3168"/>
          </w:tcPr>
          <w:p>
            <w:pPr>
              <w:pStyle w:val="Cell"/>
            </w:pPr>
          </w:p>
        </w:tc>
      </w:tr>
      <w:tr>
        <w:trPr>
          <w:trHeight w:val="460" w:hRule="atLeast"/>
        </w:trPr>
        <w:tc>
          <w:tcPr>
            <w:tcW w:type="dxa" w:w="2448"/>
            <w:shd w:val="clear" w:color="auto" w:fill="F4F7FA"/>
            <w:vAlign w:val="center"/>
          </w:tcPr>
          <w:p>
            <w:pPr>
              <w:pStyle w:val="Cell"/>
            </w:pPr>
            <w:r>
              <w:rPr>
                <w:b/>
                <w:color w:val="233884"/>
              </w:rPr>
              <w:t>Product security contact</w:t>
            </w:r>
          </w:p>
        </w:tc>
        <w:tc>
          <w:tcPr>
            <w:tcW w:type="dxa" w:w="2808"/>
          </w:tcPr>
          <w:p>
            <w:pPr>
              <w:pStyle w:val="Cell"/>
            </w:pPr>
          </w:p>
        </w:tc>
        <w:tc>
          <w:tcPr>
            <w:tcW w:type="dxa" w:w="2088"/>
            <w:shd w:val="clear" w:color="auto" w:fill="F4F7FA"/>
            <w:vAlign w:val="center"/>
          </w:tcPr>
          <w:p>
            <w:pPr>
              <w:pStyle w:val="Cell"/>
            </w:pPr>
            <w:r>
              <w:rPr>
                <w:b/>
                <w:color w:val="233884"/>
              </w:rPr>
              <w:t>Project phase</w:t>
            </w:r>
          </w:p>
        </w:tc>
        <w:tc>
          <w:tcPr>
            <w:tcW w:type="dxa" w:w="3168"/>
          </w:tcPr>
          <w:p>
            <w:pPr>
              <w:pStyle w:val="Cell"/>
            </w:pPr>
          </w:p>
        </w:tc>
      </w:tr>
      <w:tr>
        <w:trPr>
          <w:trHeight w:val="720" w:hRule="atLeast"/>
        </w:trPr>
        <w:tc>
          <w:tcPr>
            <w:tcW w:type="dxa" w:w="2448"/>
            <w:shd w:val="clear" w:color="auto" w:fill="F4F7FA"/>
            <w:vAlign w:val="center"/>
          </w:tcPr>
          <w:p>
            <w:pPr>
              <w:pStyle w:val="Cell"/>
            </w:pPr>
            <w:r>
              <w:rPr>
                <w:b/>
                <w:color w:val="233884"/>
              </w:rPr>
              <w:t>What is changing</w:t>
            </w:r>
          </w:p>
        </w:tc>
        <w:tc>
          <w:tcPr>
            <w:tcW w:type="dxa" w:w="8064"/>
            <w:gridSpan w:val="3"/>
          </w:tcPr>
          <w:p>
            <w:pPr>
              <w:pStyle w:val="Cell"/>
            </w:pPr>
          </w:p>
        </w:tc>
      </w:tr>
    </w:tbl>
    <w:p>
      <w:pPr>
        <w:pStyle w:val="Heading1"/>
      </w:pPr>
      <w:r>
        <w:t>1. Does this project trigger product security engagement?</w:t>
      </w:r>
    </w:p>
    <w:p>
      <w:pPr>
        <w:pStyle w:val="Hint"/>
      </w:pPr>
      <w:r>
        <w:t>Tick every trigger that applies and note what changed. One tick is enough to start a conversation; most triggers begin as a short discussion, not formal paperwork. Use the route your organization's procedure describes.</w:t>
      </w:r>
    </w:p>
    <w:tbl>
      <w:tblPr>
        <w:tblW w:type="dxa" w:w="10512"/>
        <w:tblBorders>
          <w:top w:val="single" w:sz="4" w:space="0" w:color="A9BAC8"/>
          <w:left w:val="single" w:sz="4" w:space="0" w:color="A9BAC8"/>
          <w:bottom w:val="single" w:sz="4" w:space="0" w:color="A9BAC8"/>
          <w:right w:val="single" w:sz="4" w:space="0" w:color="A9BAC8"/>
          <w:insideH w:val="single" w:sz="4" w:space="0" w:color="A9BAC8"/>
          <w:insideV w:val="single" w:sz="4" w:space="0" w:color="A9BAC8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576"/>
        <w:gridCol w:w="7272"/>
        <w:gridCol w:w="2664"/>
      </w:tblGrid>
      <w:tr>
        <w:trPr>
          <w:tblHeader w:val="true"/>
        </w:trPr>
        <w:tc>
          <w:tcPr>
            <w:tcW w:type="dxa" w:w="576"/>
            <w:shd w:val="clear" w:color="auto" w:fill="233884"/>
          </w:tcPr>
          <w:p>
            <w:pPr>
              <w:pStyle w:val="Cell"/>
              <w:jc w:val="center"/>
            </w:pPr>
            <w:r>
              <w:rPr>
                <w:b/>
                <w:i w:val="0"/>
                <w:color w:val="FFFFFF"/>
              </w:rPr>
              <w:t>✓</w:t>
            </w:r>
          </w:p>
        </w:tc>
        <w:tc>
          <w:tcPr>
            <w:tcW w:type="dxa" w:w="7272"/>
            <w:shd w:val="clear" w:color="auto" w:fill="233884"/>
          </w:tcPr>
          <w:p>
            <w:pPr>
              <w:pStyle w:val="Cell"/>
            </w:pPr>
            <w:r>
              <w:rPr>
                <w:b/>
                <w:i w:val="0"/>
                <w:color w:val="FFFFFF"/>
              </w:rPr>
              <w:t>Trigger</w:t>
            </w:r>
          </w:p>
        </w:tc>
        <w:tc>
          <w:tcPr>
            <w:tcW w:type="dxa" w:w="2664"/>
            <w:shd w:val="clear" w:color="auto" w:fill="233884"/>
          </w:tcPr>
          <w:p>
            <w:pPr>
              <w:pStyle w:val="Cell"/>
            </w:pPr>
            <w:r>
              <w:rPr>
                <w:b/>
                <w:i w:val="0"/>
                <w:color w:val="FFFFFF"/>
              </w:rPr>
              <w:t>What changed? (notes)</w:t>
            </w:r>
          </w:p>
        </w:tc>
      </w:tr>
      <w:tr>
        <w:trPr>
          <w:cantSplit w:val="true"/>
        </w:trPr>
        <w:tc>
          <w:tcPr>
            <w:tcW w:type="dxa" w:w="10512"/>
            <w:gridSpan w:val="3"/>
            <w:shd w:val="clear" w:color="auto" w:fill="F3EAF6"/>
          </w:tcPr>
          <w:p>
            <w:pPr>
              <w:pStyle w:val="Cell"/>
              <w:keepNext/>
            </w:pPr>
            <w:r>
              <w:rPr>
                <w:b/>
                <w:color w:val="7E44A9"/>
              </w:rPr>
              <w:t>Engage the same day: the product may be affected now</w:t>
            </w:r>
          </w:p>
        </w:tc>
      </w:tr>
      <w:tr>
        <w:trPr>
          <w:cantSplit w:val="true"/>
          <w:trHeight w:val="518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27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Suspected vulnerability or odd field behavior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Unexpected connections, unknown accounts on a returned unit, a researcher's report. Report it and preserve the details; don't investigate or reset it yourself.</w:t>
            </w:r>
          </w:p>
        </w:tc>
        <w:tc>
          <w:tcPr>
            <w:tcW w:type="dxa" w:w="2664"/>
          </w:tcPr>
          <w:p>
            <w:pPr>
              <w:pStyle w:val="Cell"/>
            </w:pPr>
          </w:p>
        </w:tc>
      </w:tr>
      <w:tr>
        <w:trPr>
          <w:cantSplit w:val="true"/>
          <w:trHeight w:val="518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27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Complaint that might be security-related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It goes to your complaint process and to your product security team at the same time.</w:t>
            </w:r>
          </w:p>
        </w:tc>
        <w:tc>
          <w:tcPr>
            <w:tcW w:type="dxa" w:w="2664"/>
          </w:tcPr>
          <w:p>
            <w:pPr>
              <w:pStyle w:val="Cell"/>
            </w:pPr>
          </w:p>
        </w:tc>
      </w:tr>
      <w:tr>
        <w:trPr>
          <w:cantSplit w:val="true"/>
          <w:trHeight w:val="518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27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Supplier security notice about a component you already ship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A known flaw in a shipped component means the product may be vulnerable today.</w:t>
            </w:r>
          </w:p>
        </w:tc>
        <w:tc>
          <w:tcPr>
            <w:tcW w:type="dxa" w:w="2664"/>
          </w:tcPr>
          <w:p>
            <w:pPr>
              <w:pStyle w:val="Cell"/>
            </w:pPr>
          </w:p>
        </w:tc>
      </w:tr>
      <w:tr>
        <w:trPr>
          <w:cantSplit w:val="true"/>
        </w:trPr>
        <w:tc>
          <w:tcPr>
            <w:tcW w:type="dxa" w:w="10512"/>
            <w:gridSpan w:val="3"/>
            <w:shd w:val="clear" w:color="auto" w:fill="F3EAF6"/>
          </w:tcPr>
          <w:p>
            <w:pPr>
              <w:pStyle w:val="Cell"/>
              <w:keepNext/>
            </w:pPr>
            <w:r>
              <w:rPr>
                <w:b/>
                <w:color w:val="7E44A9"/>
              </w:rPr>
              <w:t>Engage early: at design time or the next planning milestone</w:t>
            </w:r>
          </w:p>
        </w:tc>
      </w:tr>
      <w:tr>
        <w:trPr>
          <w:cantSplit w:val="true"/>
          <w:trHeight w:val="518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27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New interface or connectivity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Wireless (Wi-Fi, Bluetooth, cellular), cloud connections, USB, service or debug ports.</w:t>
            </w:r>
          </w:p>
        </w:tc>
        <w:tc>
          <w:tcPr>
            <w:tcW w:type="dxa" w:w="2664"/>
          </w:tcPr>
          <w:p>
            <w:pPr>
              <w:pStyle w:val="Cell"/>
            </w:pPr>
          </w:p>
        </w:tc>
      </w:tr>
      <w:tr>
        <w:trPr>
          <w:cantSplit w:val="true"/>
          <w:trHeight w:val="518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27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New or changed third-party or open-source component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Including version upgrades. It changes the attack surface and the SBOM.</w:t>
            </w:r>
          </w:p>
        </w:tc>
        <w:tc>
          <w:tcPr>
            <w:tcW w:type="dxa" w:w="2664"/>
          </w:tcPr>
          <w:p>
            <w:pPr>
              <w:pStyle w:val="Cell"/>
            </w:pPr>
          </w:p>
        </w:tc>
      </w:tr>
      <w:tr>
        <w:trPr>
          <w:cantSplit w:val="true"/>
          <w:trHeight w:val="518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27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Design change touching a security control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Authentication, encryption, logging, updates, access control, or anything else that protects the product.</w:t>
            </w:r>
          </w:p>
        </w:tc>
        <w:tc>
          <w:tcPr>
            <w:tcW w:type="dxa" w:w="2664"/>
          </w:tcPr>
          <w:p>
            <w:pPr>
              <w:pStyle w:val="Cell"/>
            </w:pPr>
          </w:p>
        </w:tc>
      </w:tr>
      <w:tr>
        <w:trPr>
          <w:cantSplit w:val="true"/>
          <w:trHeight w:val="518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27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New data types or health data flows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New data collected, stored, or sent somewhere new.</w:t>
            </w:r>
          </w:p>
        </w:tc>
        <w:tc>
          <w:tcPr>
            <w:tcW w:type="dxa" w:w="2664"/>
          </w:tcPr>
          <w:p>
            <w:pPr>
              <w:pStyle w:val="Cell"/>
            </w:pPr>
          </w:p>
        </w:tc>
      </w:tr>
      <w:tr>
        <w:trPr>
          <w:cantSplit w:val="true"/>
          <w:trHeight w:val="518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27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New cloud service or hosting change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New provider, region, architecture, or shared service.</w:t>
            </w:r>
          </w:p>
        </w:tc>
        <w:tc>
          <w:tcPr>
            <w:tcW w:type="dxa" w:w="2664"/>
          </w:tcPr>
          <w:p>
            <w:pPr>
              <w:pStyle w:val="Cell"/>
            </w:pPr>
          </w:p>
        </w:tc>
      </w:tr>
      <w:tr>
        <w:trPr>
          <w:cantSplit w:val="true"/>
          <w:trHeight w:val="518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27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Change to remote service access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New remote support tools, accounts, or connection paths.</w:t>
            </w:r>
          </w:p>
        </w:tc>
        <w:tc>
          <w:tcPr>
            <w:tcW w:type="dxa" w:w="2664"/>
          </w:tcPr>
          <w:p>
            <w:pPr>
              <w:pStyle w:val="Cell"/>
            </w:pPr>
          </w:p>
        </w:tc>
      </w:tr>
      <w:tr>
        <w:trPr>
          <w:cantSplit w:val="true"/>
          <w:trHeight w:val="518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27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Operating system or component reaching end of support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Long-lived products need years of notice: migrate, compensate, or plan end of support.</w:t>
            </w:r>
          </w:p>
        </w:tc>
        <w:tc>
          <w:tcPr>
            <w:tcW w:type="dxa" w:w="2664"/>
          </w:tcPr>
          <w:p>
            <w:pPr>
              <w:pStyle w:val="Cell"/>
            </w:pPr>
          </w:p>
        </w:tc>
      </w:tr>
      <w:tr>
        <w:trPr>
          <w:cantSplit w:val="true"/>
          <w:trHeight w:val="518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27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New market with different cybersecurity rules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Different premarket expectations, reporting obligations or labeling requirements.</w:t>
            </w:r>
          </w:p>
        </w:tc>
        <w:tc>
          <w:tcPr>
            <w:tcW w:type="dxa" w:w="2664"/>
          </w:tcPr>
          <w:p>
            <w:pPr>
              <w:pStyle w:val="Cell"/>
            </w:pPr>
          </w:p>
        </w:tc>
      </w:tr>
      <w:tr>
        <w:trPr>
          <w:cantSplit w:val="true"/>
        </w:trPr>
        <w:tc>
          <w:tcPr>
            <w:tcW w:type="dxa" w:w="10512"/>
            <w:gridSpan w:val="3"/>
            <w:shd w:val="clear" w:color="auto" w:fill="F3EAF6"/>
          </w:tcPr>
          <w:p>
            <w:pPr>
              <w:pStyle w:val="Cell"/>
              <w:keepNext/>
            </w:pPr>
            <w:r>
              <w:rPr>
                <w:b/>
                <w:color w:val="7E44A9"/>
              </w:rPr>
              <w:t>Engage before you reply or commit</w:t>
            </w:r>
          </w:p>
        </w:tc>
      </w:tr>
      <w:tr>
        <w:trPr>
          <w:cantSplit w:val="true"/>
          <w:trHeight w:val="518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27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Customer security questionnaire, MDS2 request or contract security clause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Answers and commitments must match what the product actually does.</w:t>
            </w:r>
          </w:p>
        </w:tc>
        <w:tc>
          <w:tcPr>
            <w:tcW w:type="dxa" w:w="2664"/>
          </w:tcPr>
          <w:p>
            <w:pPr>
              <w:pStyle w:val="Cell"/>
            </w:pPr>
          </w:p>
        </w:tc>
      </w:tr>
    </w:tbl>
    <w:p>
      <w:pPr>
        <w:spacing w:before="1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4"/>
            </w:rPr>
            <w:t>☐</w:t>
          </w:r>
        </w:sdtContent>
      </w:sdt>
      <w:r>
        <w:rPr>
          <w:b/>
          <w:color w:val="233884"/>
        </w:rPr>
        <w:t xml:space="preserve">  None of these apply. </w:t>
      </w:r>
      <w:r>
        <w:rPr>
          <w:sz w:val="18"/>
        </w:rPr>
        <w:t>Record who decided in your project records. Changes that can't affect security (a brochure photo, a paint color) need no engagement.</w:t>
      </w:r>
    </w:p>
    <w:p>
      <w:pPr>
        <w:pStyle w:val="Heading1Page"/>
      </w:pPr>
      <w:r>
        <w:t>2. What to bring to the first conversation</w:t>
      </w:r>
    </w:p>
    <w:p>
      <w:pPr>
        <w:pStyle w:val="Hint"/>
      </w:pPr>
      <w:r>
        <w:t>Rough and early beats polished and late. Bring what exists; your product security team will help fill gaps.</w:t>
      </w:r>
    </w:p>
    <w:tbl>
      <w:tblPr>
        <w:tblW w:type="dxa" w:w="10512"/>
        <w:jc w:val="center"/>
        <w:tblBorders>
          <w:top w:val="single" w:sz="4" w:space="0" w:color="A9BAC8"/>
          <w:left w:val="single" w:sz="4" w:space="0" w:color="A9BAC8"/>
          <w:bottom w:val="single" w:sz="4" w:space="0" w:color="A9BAC8"/>
          <w:right w:val="single" w:sz="4" w:space="0" w:color="A9BAC8"/>
          <w:insideH w:val="single" w:sz="4" w:space="0" w:color="A9BAC8"/>
          <w:insideV w:val="single" w:sz="4" w:space="0" w:color="A9BAC8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576"/>
        <w:gridCol w:w="2520"/>
        <w:gridCol w:w="4680"/>
        <w:gridCol w:w="2736"/>
      </w:tblGrid>
      <w:tr>
        <w:trPr>
          <w:tblHeader w:val="true"/>
        </w:trPr>
        <w:tc>
          <w:tcPr>
            <w:tcW w:type="dxa" w:w="576"/>
            <w:shd w:val="clear" w:color="auto" w:fill="233884"/>
            <w:vAlign w:val="center"/>
          </w:tcPr>
          <w:p>
            <w:pPr>
              <w:pStyle w:val="Cell"/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2520"/>
            <w:shd w:val="clear" w:color="auto" w:fill="233884"/>
            <w:vAlign w:val="center"/>
          </w:tcPr>
          <w:p>
            <w:pPr>
              <w:pStyle w:val="Cell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680"/>
            <w:shd w:val="clear" w:color="auto" w:fill="233884"/>
            <w:vAlign w:val="center"/>
          </w:tcPr>
          <w:p>
            <w:pPr>
              <w:pStyle w:val="Cell"/>
            </w:pPr>
            <w:r>
              <w:rPr>
                <w:b/>
                <w:color w:val="FFFFFF"/>
              </w:rPr>
              <w:t>Good enough for a first conversation</w:t>
            </w:r>
          </w:p>
        </w:tc>
        <w:tc>
          <w:tcPr>
            <w:tcW w:type="dxa" w:w="2736"/>
            <w:shd w:val="clear" w:color="auto" w:fill="233884"/>
            <w:vAlign w:val="center"/>
          </w:tcPr>
          <w:p>
            <w:pPr>
              <w:pStyle w:val="Cell"/>
            </w:pPr>
            <w:r>
              <w:rPr>
                <w:b/>
                <w:color w:val="FFFFFF"/>
              </w:rPr>
              <w:t>Where it is (link or owner)</w:t>
            </w:r>
          </w:p>
        </w:tc>
      </w:tr>
      <w:tr>
        <w:trPr>
          <w:cantSplit w:val="true"/>
          <w:trHeight w:val="489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2520"/>
          </w:tcPr>
          <w:p>
            <w:pPr>
              <w:pStyle w:val="Cell"/>
            </w:pPr>
            <w:r>
              <w:rPr>
                <w:b/>
                <w:color w:val="233884"/>
              </w:rPr>
              <w:t>Architecture sketch</w:t>
            </w:r>
          </w:p>
        </w:tc>
        <w:tc>
          <w:tcPr>
            <w:tcW w:type="dxa" w:w="4680"/>
          </w:tcPr>
          <w:p>
            <w:pPr>
              <w:pStyle w:val="Cell"/>
            </w:pPr>
            <w:r>
              <w:rPr>
                <w:sz w:val="17"/>
              </w:rPr>
              <w:t>A whiteboard photo is fine: main parts, interfaces, and what connects to what.</w:t>
            </w:r>
          </w:p>
        </w:tc>
        <w:tc>
          <w:tcPr>
            <w:tcW w:type="dxa" w:w="2736"/>
          </w:tcPr>
          <w:p>
            <w:pPr>
              <w:pStyle w:val="Cell"/>
            </w:pPr>
          </w:p>
        </w:tc>
      </w:tr>
      <w:tr>
        <w:trPr>
          <w:cantSplit w:val="true"/>
          <w:trHeight w:val="489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2520"/>
          </w:tcPr>
          <w:p>
            <w:pPr>
              <w:pStyle w:val="Cell"/>
            </w:pPr>
            <w:r>
              <w:rPr>
                <w:b/>
                <w:color w:val="233884"/>
              </w:rPr>
              <w:t>Data flows</w:t>
            </w:r>
          </w:p>
        </w:tc>
        <w:tc>
          <w:tcPr>
            <w:tcW w:type="dxa" w:w="4680"/>
          </w:tcPr>
          <w:p>
            <w:pPr>
              <w:pStyle w:val="Cell"/>
            </w:pPr>
            <w:r>
              <w:rPr>
                <w:sz w:val="17"/>
              </w:rPr>
              <w:t>What data moves where, including health data, credentials, logs, and updates.</w:t>
            </w:r>
          </w:p>
        </w:tc>
        <w:tc>
          <w:tcPr>
            <w:tcW w:type="dxa" w:w="2736"/>
          </w:tcPr>
          <w:p>
            <w:pPr>
              <w:pStyle w:val="Cell"/>
            </w:pPr>
          </w:p>
        </w:tc>
      </w:tr>
      <w:tr>
        <w:trPr>
          <w:cantSplit w:val="true"/>
          <w:trHeight w:val="489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2520"/>
          </w:tcPr>
          <w:p>
            <w:pPr>
              <w:pStyle w:val="Cell"/>
            </w:pPr>
            <w:r>
              <w:rPr>
                <w:b/>
                <w:color w:val="233884"/>
              </w:rPr>
              <w:t>Component list or SBOM</w:t>
            </w:r>
          </w:p>
        </w:tc>
        <w:tc>
          <w:tcPr>
            <w:tcW w:type="dxa" w:w="4680"/>
          </w:tcPr>
          <w:p>
            <w:pPr>
              <w:pStyle w:val="Cell"/>
            </w:pPr>
            <w:r>
              <w:rPr>
                <w:sz w:val="17"/>
              </w:rPr>
              <w:t>Third-party and open-source components, with versions where known.</w:t>
            </w:r>
          </w:p>
        </w:tc>
        <w:tc>
          <w:tcPr>
            <w:tcW w:type="dxa" w:w="2736"/>
          </w:tcPr>
          <w:p>
            <w:pPr>
              <w:pStyle w:val="Cell"/>
            </w:pPr>
          </w:p>
        </w:tc>
      </w:tr>
      <w:tr>
        <w:trPr>
          <w:cantSplit w:val="true"/>
          <w:trHeight w:val="489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2520"/>
          </w:tcPr>
          <w:p>
            <w:pPr>
              <w:pStyle w:val="Cell"/>
            </w:pPr>
            <w:r>
              <w:rPr>
                <w:b/>
                <w:color w:val="233884"/>
              </w:rPr>
              <w:t>Intended use and users</w:t>
            </w:r>
          </w:p>
        </w:tc>
        <w:tc>
          <w:tcPr>
            <w:tcW w:type="dxa" w:w="4680"/>
          </w:tcPr>
          <w:p>
            <w:pPr>
              <w:pStyle w:val="Cell"/>
            </w:pPr>
            <w:r>
              <w:rPr>
                <w:sz w:val="17"/>
              </w:rPr>
              <w:t>Who uses it, where (hospital, home, clinic), and which networks it joins.</w:t>
            </w:r>
          </w:p>
        </w:tc>
        <w:tc>
          <w:tcPr>
            <w:tcW w:type="dxa" w:w="2736"/>
          </w:tcPr>
          <w:p>
            <w:pPr>
              <w:pStyle w:val="Cell"/>
            </w:pPr>
          </w:p>
        </w:tc>
      </w:tr>
      <w:tr>
        <w:trPr>
          <w:cantSplit w:val="true"/>
          <w:trHeight w:val="489" w:hRule="atLeast"/>
        </w:trPr>
        <w:tc>
          <w:tcPr>
            <w:tcW w:type="dxa" w:w="57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2520"/>
          </w:tcPr>
          <w:p>
            <w:pPr>
              <w:pStyle w:val="Cell"/>
            </w:pPr>
            <w:r>
              <w:rPr>
                <w:b/>
                <w:color w:val="233884"/>
              </w:rPr>
              <w:t>Schedule</w:t>
            </w:r>
          </w:p>
        </w:tc>
        <w:tc>
          <w:tcPr>
            <w:tcW w:type="dxa" w:w="4680"/>
          </w:tcPr>
          <w:p>
            <w:pPr>
              <w:pStyle w:val="Cell"/>
            </w:pPr>
            <w:r>
              <w:rPr>
                <w:sz w:val="17"/>
              </w:rPr>
              <w:t>Design reviews, verification, release, and submission dates.</w:t>
            </w:r>
          </w:p>
        </w:tc>
        <w:tc>
          <w:tcPr>
            <w:tcW w:type="dxa" w:w="2736"/>
          </w:tcPr>
          <w:p>
            <w:pPr>
              <w:pStyle w:val="Cell"/>
            </w:pPr>
          </w:p>
        </w:tc>
      </w:tr>
    </w:tbl>
    <w:p>
      <w:pPr>
        <w:pStyle w:val="Heading1"/>
      </w:pPr>
      <w:r>
        <w:t>3. Deliverables planned by phase</w:t>
      </w:r>
    </w:p>
    <w:p>
      <w:pPr>
        <w:pStyle w:val="Hint"/>
      </w:pPr>
      <w:r>
        <w:t>Agree with your product security team which deliverables this project needs. Scope depends on the change: a small change may need only an updated threat model and SBOM, while a new connected product needs most of the list. Put every needed deliverable on the project schedule; security work that isn't scheduled gets squeezed out. Names and formats follow your organization's procedure.</w:t>
      </w:r>
    </w:p>
    <w:tbl>
      <w:tblPr>
        <w:tblW w:type="dxa" w:w="10512"/>
        <w:tblBorders>
          <w:top w:val="single" w:sz="4" w:space="0" w:color="A9BAC8"/>
          <w:left w:val="single" w:sz="4" w:space="0" w:color="A9BAC8"/>
          <w:bottom w:val="single" w:sz="4" w:space="0" w:color="A9BAC8"/>
          <w:right w:val="single" w:sz="4" w:space="0" w:color="A9BAC8"/>
          <w:insideH w:val="single" w:sz="4" w:space="0" w:color="A9BAC8"/>
          <w:insideV w:val="single" w:sz="4" w:space="0" w:color="A9BAC8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4392"/>
        <w:gridCol w:w="1296"/>
        <w:gridCol w:w="1655"/>
        <w:gridCol w:w="1080"/>
        <w:gridCol w:w="2088"/>
      </w:tblGrid>
      <w:tr>
        <w:trPr>
          <w:tblHeader w:val="true"/>
        </w:trPr>
        <w:tc>
          <w:tcPr>
            <w:tcW w:type="dxa" w:w="4392"/>
            <w:shd w:val="clear" w:color="auto" w:fill="233884"/>
          </w:tcPr>
          <w:p>
            <w:pPr>
              <w:pStyle w:val="Cell"/>
            </w:pPr>
            <w:r>
              <w:rPr>
                <w:b/>
                <w:i w:val="0"/>
                <w:color w:val="FFFFFF"/>
              </w:rPr>
              <w:t>Deliverable</w:t>
            </w:r>
          </w:p>
        </w:tc>
        <w:tc>
          <w:tcPr>
            <w:tcW w:type="dxa" w:w="1296"/>
            <w:shd w:val="clear" w:color="auto" w:fill="233884"/>
          </w:tcPr>
          <w:p>
            <w:pPr>
              <w:pStyle w:val="Cell"/>
              <w:jc w:val="center"/>
            </w:pPr>
            <w:r>
              <w:rPr>
                <w:b/>
                <w:i w:val="0"/>
                <w:color w:val="FFFFFF"/>
              </w:rPr>
              <w:t>Needed?</w:t>
            </w:r>
          </w:p>
        </w:tc>
        <w:tc>
          <w:tcPr>
            <w:tcW w:type="dxa" w:w="1656"/>
            <w:shd w:val="clear" w:color="auto" w:fill="233884"/>
          </w:tcPr>
          <w:p>
            <w:pPr>
              <w:pStyle w:val="Cell"/>
            </w:pPr>
            <w:r>
              <w:rPr>
                <w:b/>
                <w:i w:val="0"/>
                <w:color w:val="FFFFFF"/>
              </w:rPr>
              <w:t>Owner</w:t>
            </w:r>
          </w:p>
        </w:tc>
        <w:tc>
          <w:tcPr>
            <w:tcW w:type="dxa" w:w="1080"/>
            <w:shd w:val="clear" w:color="auto" w:fill="233884"/>
          </w:tcPr>
          <w:p>
            <w:pPr>
              <w:pStyle w:val="Cell"/>
            </w:pPr>
            <w:r>
              <w:rPr>
                <w:b/>
                <w:i w:val="0"/>
                <w:color w:val="FFFFFF"/>
              </w:rPr>
              <w:t>Due</w:t>
            </w:r>
          </w:p>
        </w:tc>
        <w:tc>
          <w:tcPr>
            <w:tcW w:type="dxa" w:w="2088"/>
            <w:shd w:val="clear" w:color="auto" w:fill="233884"/>
          </w:tcPr>
          <w:p>
            <w:pPr>
              <w:pStyle w:val="Cell"/>
            </w:pPr>
            <w:r>
              <w:rPr>
                <w:b/>
                <w:i w:val="0"/>
                <w:color w:val="FFFFFF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10512"/>
            <w:gridSpan w:val="5"/>
            <w:shd w:val="clear" w:color="auto" w:fill="F3EAF6"/>
          </w:tcPr>
          <w:p>
            <w:pPr>
              <w:pStyle w:val="Cell"/>
              <w:keepNext/>
            </w:pPr>
            <w:r>
              <w:rPr>
                <w:b/>
                <w:color w:val="7E44A9"/>
              </w:rPr>
              <w:t>Premarket</w:t>
            </w:r>
          </w:p>
        </w:tc>
      </w:tr>
      <w:tr>
        <w:trPr>
          <w:cantSplit w:val="true"/>
          <w:trHeight w:val="604" w:hRule="atLeast"/>
        </w:trPr>
        <w:tc>
          <w:tcPr>
            <w:tcW w:type="dxa" w:w="439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Security plan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Which security activities this project needs, who does them, and when.</w:t>
            </w:r>
          </w:p>
        </w:tc>
        <w:tc>
          <w:tcPr>
            <w:tcW w:type="dxa" w:w="129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Y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N</w:t>
            </w:r>
          </w:p>
        </w:tc>
        <w:tc>
          <w:tcPr>
            <w:tcW w:type="dxa" w:w="1656"/>
          </w:tcPr>
          <w:p>
            <w:pPr>
              <w:pStyle w:val="Cell"/>
            </w:pPr>
          </w:p>
        </w:tc>
        <w:tc>
          <w:tcPr>
            <w:tcW w:type="dxa" w:w="1080"/>
          </w:tcPr>
          <w:p>
            <w:pPr>
              <w:pStyle w:val="Cell"/>
            </w:pPr>
          </w:p>
        </w:tc>
        <w:tc>
          <w:tcPr>
            <w:tcW w:type="dxa" w:w="2088"/>
          </w:tcPr>
          <w:p>
            <w:pPr>
              <w:pStyle w:val="Cell"/>
            </w:pPr>
          </w:p>
        </w:tc>
      </w:tr>
      <w:tr>
        <w:trPr>
          <w:cantSplit w:val="true"/>
          <w:trHeight w:val="604" w:hRule="atLeast"/>
        </w:trPr>
        <w:tc>
          <w:tcPr>
            <w:tcW w:type="dxa" w:w="439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Threat model and security risk assessment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What could go wrong, how exploitable it is, and the possible harm to patients.</w:t>
            </w:r>
          </w:p>
        </w:tc>
        <w:tc>
          <w:tcPr>
            <w:tcW w:type="dxa" w:w="129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Y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N</w:t>
            </w:r>
          </w:p>
        </w:tc>
        <w:tc>
          <w:tcPr>
            <w:tcW w:type="dxa" w:w="1656"/>
          </w:tcPr>
          <w:p>
            <w:pPr>
              <w:pStyle w:val="Cell"/>
            </w:pPr>
          </w:p>
        </w:tc>
        <w:tc>
          <w:tcPr>
            <w:tcW w:type="dxa" w:w="1080"/>
          </w:tcPr>
          <w:p>
            <w:pPr>
              <w:pStyle w:val="Cell"/>
            </w:pPr>
          </w:p>
        </w:tc>
        <w:tc>
          <w:tcPr>
            <w:tcW w:type="dxa" w:w="2088"/>
          </w:tcPr>
          <w:p>
            <w:pPr>
              <w:pStyle w:val="Cell"/>
            </w:pPr>
          </w:p>
        </w:tc>
      </w:tr>
      <w:tr>
        <w:trPr>
          <w:cantSplit w:val="true"/>
          <w:trHeight w:val="604" w:hRule="atLeast"/>
        </w:trPr>
        <w:tc>
          <w:tcPr>
            <w:tcW w:type="dxa" w:w="439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Security requirements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Traced to threats and to verification tests.</w:t>
            </w:r>
          </w:p>
        </w:tc>
        <w:tc>
          <w:tcPr>
            <w:tcW w:type="dxa" w:w="129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Y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N</w:t>
            </w:r>
          </w:p>
        </w:tc>
        <w:tc>
          <w:tcPr>
            <w:tcW w:type="dxa" w:w="1656"/>
          </w:tcPr>
          <w:p>
            <w:pPr>
              <w:pStyle w:val="Cell"/>
            </w:pPr>
          </w:p>
        </w:tc>
        <w:tc>
          <w:tcPr>
            <w:tcW w:type="dxa" w:w="1080"/>
          </w:tcPr>
          <w:p>
            <w:pPr>
              <w:pStyle w:val="Cell"/>
            </w:pPr>
          </w:p>
        </w:tc>
        <w:tc>
          <w:tcPr>
            <w:tcW w:type="dxa" w:w="2088"/>
          </w:tcPr>
          <w:p>
            <w:pPr>
              <w:pStyle w:val="Cell"/>
            </w:pPr>
          </w:p>
        </w:tc>
      </w:tr>
      <w:tr>
        <w:trPr>
          <w:cantSplit w:val="true"/>
          <w:trHeight w:val="604" w:hRule="atLeast"/>
        </w:trPr>
        <w:tc>
          <w:tcPr>
            <w:tcW w:type="dxa" w:w="439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Security testing, including penetration testing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Requirements tests plus independent testing.</w:t>
            </w:r>
          </w:p>
        </w:tc>
        <w:tc>
          <w:tcPr>
            <w:tcW w:type="dxa" w:w="129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Y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N</w:t>
            </w:r>
          </w:p>
        </w:tc>
        <w:tc>
          <w:tcPr>
            <w:tcW w:type="dxa" w:w="1656"/>
          </w:tcPr>
          <w:p>
            <w:pPr>
              <w:pStyle w:val="Cell"/>
            </w:pPr>
          </w:p>
        </w:tc>
        <w:tc>
          <w:tcPr>
            <w:tcW w:type="dxa" w:w="1080"/>
          </w:tcPr>
          <w:p>
            <w:pPr>
              <w:pStyle w:val="Cell"/>
            </w:pPr>
          </w:p>
        </w:tc>
        <w:tc>
          <w:tcPr>
            <w:tcW w:type="dxa" w:w="2088"/>
          </w:tcPr>
          <w:p>
            <w:pPr>
              <w:pStyle w:val="Cell"/>
            </w:pPr>
          </w:p>
        </w:tc>
      </w:tr>
      <w:tr>
        <w:trPr>
          <w:cantSplit w:val="true"/>
          <w:trHeight w:val="604" w:hRule="atLeast"/>
        </w:trPr>
        <w:tc>
          <w:tcPr>
            <w:tcW w:type="dxa" w:w="439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SBOM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Software bill of materials, kept current with each release.</w:t>
            </w:r>
          </w:p>
        </w:tc>
        <w:tc>
          <w:tcPr>
            <w:tcW w:type="dxa" w:w="129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Y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N</w:t>
            </w:r>
          </w:p>
        </w:tc>
        <w:tc>
          <w:tcPr>
            <w:tcW w:type="dxa" w:w="1656"/>
          </w:tcPr>
          <w:p>
            <w:pPr>
              <w:pStyle w:val="Cell"/>
            </w:pPr>
          </w:p>
        </w:tc>
        <w:tc>
          <w:tcPr>
            <w:tcW w:type="dxa" w:w="1080"/>
          </w:tcPr>
          <w:p>
            <w:pPr>
              <w:pStyle w:val="Cell"/>
            </w:pPr>
          </w:p>
        </w:tc>
        <w:tc>
          <w:tcPr>
            <w:tcW w:type="dxa" w:w="2088"/>
          </w:tcPr>
          <w:p>
            <w:pPr>
              <w:pStyle w:val="Cell"/>
            </w:pPr>
          </w:p>
        </w:tc>
      </w:tr>
      <w:tr>
        <w:trPr>
          <w:cantSplit w:val="true"/>
          <w:trHeight w:val="604" w:hRule="atLeast"/>
        </w:trPr>
        <w:tc>
          <w:tcPr>
            <w:tcW w:type="dxa" w:w="439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Labeling and customer security documentation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What customers need to install, configure, and maintain the device securely.</w:t>
            </w:r>
          </w:p>
        </w:tc>
        <w:tc>
          <w:tcPr>
            <w:tcW w:type="dxa" w:w="129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Y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N</w:t>
            </w:r>
          </w:p>
        </w:tc>
        <w:tc>
          <w:tcPr>
            <w:tcW w:type="dxa" w:w="1656"/>
          </w:tcPr>
          <w:p>
            <w:pPr>
              <w:pStyle w:val="Cell"/>
            </w:pPr>
          </w:p>
        </w:tc>
        <w:tc>
          <w:tcPr>
            <w:tcW w:type="dxa" w:w="1080"/>
          </w:tcPr>
          <w:p>
            <w:pPr>
              <w:pStyle w:val="Cell"/>
            </w:pPr>
          </w:p>
        </w:tc>
        <w:tc>
          <w:tcPr>
            <w:tcW w:type="dxa" w:w="2088"/>
          </w:tcPr>
          <w:p>
            <w:pPr>
              <w:pStyle w:val="Cell"/>
            </w:pPr>
          </w:p>
        </w:tc>
      </w:tr>
      <w:tr>
        <w:trPr>
          <w:cantSplit w:val="true"/>
          <w:trHeight w:val="604" w:hRule="atLeast"/>
        </w:trPr>
        <w:tc>
          <w:tcPr>
            <w:tcW w:type="dxa" w:w="439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Submission content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The cybersecurity content of the regulatory submission, where one is needed.</w:t>
            </w:r>
          </w:p>
        </w:tc>
        <w:tc>
          <w:tcPr>
            <w:tcW w:type="dxa" w:w="129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Y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N</w:t>
            </w:r>
          </w:p>
        </w:tc>
        <w:tc>
          <w:tcPr>
            <w:tcW w:type="dxa" w:w="1656"/>
          </w:tcPr>
          <w:p>
            <w:pPr>
              <w:pStyle w:val="Cell"/>
            </w:pPr>
          </w:p>
        </w:tc>
        <w:tc>
          <w:tcPr>
            <w:tcW w:type="dxa" w:w="1080"/>
          </w:tcPr>
          <w:p>
            <w:pPr>
              <w:pStyle w:val="Cell"/>
            </w:pPr>
          </w:p>
        </w:tc>
        <w:tc>
          <w:tcPr>
            <w:tcW w:type="dxa" w:w="2088"/>
          </w:tcPr>
          <w:p>
            <w:pPr>
              <w:pStyle w:val="Cell"/>
            </w:pPr>
          </w:p>
        </w:tc>
      </w:tr>
      <w:tr>
        <w:trPr>
          <w:cantSplit w:val="true"/>
        </w:trPr>
        <w:tc>
          <w:tcPr>
            <w:tcW w:type="dxa" w:w="10512"/>
            <w:gridSpan w:val="5"/>
            <w:shd w:val="clear" w:color="auto" w:fill="F3EAF6"/>
          </w:tcPr>
          <w:p>
            <w:pPr>
              <w:pStyle w:val="Cell"/>
              <w:keepNext/>
            </w:pPr>
            <w:r>
              <w:rPr>
                <w:b/>
                <w:color w:val="7E44A9"/>
              </w:rPr>
              <w:t>Postmarket</w:t>
            </w:r>
          </w:p>
        </w:tc>
      </w:tr>
      <w:tr>
        <w:trPr>
          <w:cantSplit w:val="true"/>
          <w:trHeight w:val="604" w:hRule="atLeast"/>
        </w:trPr>
        <w:tc>
          <w:tcPr>
            <w:tcW w:type="dxa" w:w="439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Vulnerability monitoring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Watching component and threat information for issues that affect the product.</w:t>
            </w:r>
          </w:p>
        </w:tc>
        <w:tc>
          <w:tcPr>
            <w:tcW w:type="dxa" w:w="129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Y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N</w:t>
            </w:r>
          </w:p>
        </w:tc>
        <w:tc>
          <w:tcPr>
            <w:tcW w:type="dxa" w:w="1656"/>
          </w:tcPr>
          <w:p>
            <w:pPr>
              <w:pStyle w:val="Cell"/>
            </w:pPr>
          </w:p>
        </w:tc>
        <w:tc>
          <w:tcPr>
            <w:tcW w:type="dxa" w:w="1080"/>
          </w:tcPr>
          <w:p>
            <w:pPr>
              <w:pStyle w:val="Cell"/>
            </w:pPr>
          </w:p>
        </w:tc>
        <w:tc>
          <w:tcPr>
            <w:tcW w:type="dxa" w:w="2088"/>
          </w:tcPr>
          <w:p>
            <w:pPr>
              <w:pStyle w:val="Cell"/>
            </w:pPr>
          </w:p>
        </w:tc>
      </w:tr>
      <w:tr>
        <w:trPr>
          <w:cantSplit w:val="true"/>
          <w:trHeight w:val="604" w:hRule="atLeast"/>
        </w:trPr>
        <w:tc>
          <w:tcPr>
            <w:tcW w:type="dxa" w:w="439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Coordinated vulnerability disclosure (CVD) and PSIRT process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How reports are received, triaged, fixed, and communicated.</w:t>
            </w:r>
          </w:p>
        </w:tc>
        <w:tc>
          <w:tcPr>
            <w:tcW w:type="dxa" w:w="129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Y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N</w:t>
            </w:r>
          </w:p>
        </w:tc>
        <w:tc>
          <w:tcPr>
            <w:tcW w:type="dxa" w:w="1656"/>
          </w:tcPr>
          <w:p>
            <w:pPr>
              <w:pStyle w:val="Cell"/>
            </w:pPr>
          </w:p>
        </w:tc>
        <w:tc>
          <w:tcPr>
            <w:tcW w:type="dxa" w:w="1080"/>
          </w:tcPr>
          <w:p>
            <w:pPr>
              <w:pStyle w:val="Cell"/>
            </w:pPr>
          </w:p>
        </w:tc>
        <w:tc>
          <w:tcPr>
            <w:tcW w:type="dxa" w:w="2088"/>
          </w:tcPr>
          <w:p>
            <w:pPr>
              <w:pStyle w:val="Cell"/>
            </w:pPr>
          </w:p>
        </w:tc>
      </w:tr>
      <w:tr>
        <w:trPr>
          <w:cantSplit w:val="true"/>
          <w:trHeight w:val="604" w:hRule="atLeast"/>
        </w:trPr>
        <w:tc>
          <w:tcPr>
            <w:tcW w:type="dxa" w:w="439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Update plan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How security updates are built, validated, and delivered, and how quickly.</w:t>
            </w:r>
          </w:p>
        </w:tc>
        <w:tc>
          <w:tcPr>
            <w:tcW w:type="dxa" w:w="129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Y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N</w:t>
            </w:r>
          </w:p>
        </w:tc>
        <w:tc>
          <w:tcPr>
            <w:tcW w:type="dxa" w:w="1656"/>
          </w:tcPr>
          <w:p>
            <w:pPr>
              <w:pStyle w:val="Cell"/>
            </w:pPr>
          </w:p>
        </w:tc>
        <w:tc>
          <w:tcPr>
            <w:tcW w:type="dxa" w:w="1080"/>
          </w:tcPr>
          <w:p>
            <w:pPr>
              <w:pStyle w:val="Cell"/>
            </w:pPr>
          </w:p>
        </w:tc>
        <w:tc>
          <w:tcPr>
            <w:tcW w:type="dxa" w:w="2088"/>
          </w:tcPr>
          <w:p>
            <w:pPr>
              <w:pStyle w:val="Cell"/>
            </w:pPr>
          </w:p>
        </w:tc>
      </w:tr>
      <w:tr>
        <w:trPr>
          <w:cantSplit w:val="true"/>
          <w:trHeight w:val="604" w:hRule="atLeast"/>
        </w:trPr>
        <w:tc>
          <w:tcPr>
            <w:tcW w:type="dxa" w:w="4392"/>
          </w:tcPr>
          <w:p>
            <w:pPr>
              <w:pStyle w:val="Cell"/>
            </w:pPr>
            <w:r>
              <w:rPr>
                <w:b/>
                <w:i w:val="0"/>
                <w:color w:val="233884"/>
              </w:rPr>
              <w:t>End-of-support communication</w:t>
            </w:r>
          </w:p>
          <w:p>
            <w:pPr>
              <w:pStyle w:val="Cell"/>
            </w:pPr>
            <w:r>
              <w:rPr>
                <w:b w:val="0"/>
                <w:i w:val="0"/>
                <w:color w:val="5A6B7B"/>
                <w:sz w:val="16"/>
              </w:rPr>
              <w:t>Telling customers, well in advance, when support ends and what it means.</w:t>
            </w:r>
          </w:p>
        </w:tc>
        <w:tc>
          <w:tcPr>
            <w:tcW w:type="dxa" w:w="1296"/>
            <w:vAlign w:val="center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Y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N</w:t>
            </w:r>
          </w:p>
        </w:tc>
        <w:tc>
          <w:tcPr>
            <w:tcW w:type="dxa" w:w="1656"/>
          </w:tcPr>
          <w:p>
            <w:pPr>
              <w:pStyle w:val="Cell"/>
            </w:pPr>
          </w:p>
        </w:tc>
        <w:tc>
          <w:tcPr>
            <w:tcW w:type="dxa" w:w="1080"/>
          </w:tcPr>
          <w:p>
            <w:pPr>
              <w:pStyle w:val="Cell"/>
            </w:pPr>
          </w:p>
        </w:tc>
        <w:tc>
          <w:tcPr>
            <w:tcW w:type="dxa" w:w="2088"/>
          </w:tcPr>
          <w:p>
            <w:pPr>
              <w:pStyle w:val="Cell"/>
            </w:pPr>
          </w:p>
        </w:tc>
      </w:tr>
    </w:tbl>
    <w:p>
      <w:pPr>
        <w:pStyle w:val="Heading1Page"/>
      </w:pPr>
      <w:r>
        <w:t>4. Agreed actions</w:t>
      </w:r>
    </w:p>
    <w:p>
      <w:pPr>
        <w:pStyle w:val="Hint"/>
      </w:pPr>
      <w:r>
        <w:t>Record what you agreed in the first conversation: open questions, information still to gather, reviews to book, and deliverables to add to the schedule.</w:t>
      </w:r>
    </w:p>
    <w:tbl>
      <w:tblPr>
        <w:tblW w:type="dxa" w:w="10512"/>
        <w:jc w:val="center"/>
        <w:tblBorders>
          <w:top w:val="single" w:sz="4" w:space="0" w:color="A9BAC8"/>
          <w:left w:val="single" w:sz="4" w:space="0" w:color="A9BAC8"/>
          <w:bottom w:val="single" w:sz="4" w:space="0" w:color="A9BAC8"/>
          <w:right w:val="single" w:sz="4" w:space="0" w:color="A9BAC8"/>
          <w:insideH w:val="single" w:sz="4" w:space="0" w:color="A9BAC8"/>
          <w:insideV w:val="single" w:sz="4" w:space="0" w:color="A9BAC8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576"/>
        <w:gridCol w:w="6048"/>
        <w:gridCol w:w="1944"/>
        <w:gridCol w:w="1152"/>
        <w:gridCol w:w="792"/>
      </w:tblGrid>
      <w:tr>
        <w:trPr>
          <w:tblHeader w:val="true"/>
        </w:trPr>
        <w:tc>
          <w:tcPr>
            <w:tcW w:type="dxa" w:w="576"/>
            <w:shd w:val="clear" w:color="auto" w:fill="233884"/>
            <w:vAlign w:val="center"/>
          </w:tcPr>
          <w:p>
            <w:pPr>
              <w:pStyle w:val="Cell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048"/>
            <w:shd w:val="clear" w:color="auto" w:fill="233884"/>
            <w:vAlign w:val="center"/>
          </w:tcPr>
          <w:p>
            <w:pPr>
              <w:pStyle w:val="Cell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944"/>
            <w:shd w:val="clear" w:color="auto" w:fill="233884"/>
            <w:vAlign w:val="center"/>
          </w:tcPr>
          <w:p>
            <w:pPr>
              <w:pStyle w:val="Cell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152"/>
            <w:shd w:val="clear" w:color="auto" w:fill="233884"/>
            <w:vAlign w:val="center"/>
          </w:tcPr>
          <w:p>
            <w:pPr>
              <w:pStyle w:val="Cell"/>
            </w:pPr>
            <w:r>
              <w:rPr>
                <w:b/>
                <w:color w:val="FFFFFF"/>
              </w:rPr>
              <w:t>Due</w:t>
            </w:r>
          </w:p>
        </w:tc>
        <w:tc>
          <w:tcPr>
            <w:tcW w:type="dxa" w:w="792"/>
            <w:shd w:val="clear" w:color="auto" w:fill="233884"/>
            <w:vAlign w:val="center"/>
          </w:tcPr>
          <w:p>
            <w:pPr>
              <w:pStyle w:val="Cell"/>
            </w:pPr>
            <w:r>
              <w:rPr>
                <w:b/>
                <w:color w:val="FFFFFF"/>
              </w:rPr>
              <w:t>Done</w:t>
            </w:r>
          </w:p>
        </w:tc>
      </w:tr>
      <w:tr>
        <w:trPr>
          <w:trHeight w:val="547" w:hRule="exact"/>
        </w:trPr>
        <w:tc>
          <w:tcPr>
            <w:tcW w:type="dxa" w:w="576"/>
          </w:tcPr>
          <w:p>
            <w:pPr>
              <w:pStyle w:val="Cell"/>
              <w:jc w:val="center"/>
            </w:pPr>
            <w:r>
              <w:rPr>
                <w:b w:val="0"/>
                <w:i w:val="0"/>
                <w:color w:val="5A6B7B"/>
              </w:rPr>
              <w:t>1</w:t>
            </w:r>
          </w:p>
        </w:tc>
        <w:tc>
          <w:tcPr>
            <w:tcW w:type="dxa" w:w="6048"/>
          </w:tcPr>
          <w:p>
            <w:pPr>
              <w:pStyle w:val="Cell"/>
            </w:pPr>
          </w:p>
        </w:tc>
        <w:tc>
          <w:tcPr>
            <w:tcW w:type="dxa" w:w="1944"/>
          </w:tcPr>
          <w:p>
            <w:pPr>
              <w:pStyle w:val="Cell"/>
            </w:pPr>
          </w:p>
        </w:tc>
        <w:tc>
          <w:tcPr>
            <w:tcW w:type="dxa" w:w="1152"/>
          </w:tcPr>
          <w:p>
            <w:pPr>
              <w:pStyle w:val="Cell"/>
            </w:pPr>
          </w:p>
        </w:tc>
        <w:tc>
          <w:tcPr>
            <w:tcW w:type="dxa" w:w="792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trHeight w:val="547" w:hRule="exact"/>
        </w:trPr>
        <w:tc>
          <w:tcPr>
            <w:tcW w:type="dxa" w:w="576"/>
          </w:tcPr>
          <w:p>
            <w:pPr>
              <w:pStyle w:val="Cell"/>
              <w:jc w:val="center"/>
            </w:pPr>
            <w:r>
              <w:rPr>
                <w:b w:val="0"/>
                <w:i w:val="0"/>
                <w:color w:val="5A6B7B"/>
              </w:rPr>
              <w:t>2</w:t>
            </w:r>
          </w:p>
        </w:tc>
        <w:tc>
          <w:tcPr>
            <w:tcW w:type="dxa" w:w="6048"/>
          </w:tcPr>
          <w:p>
            <w:pPr>
              <w:pStyle w:val="Cell"/>
            </w:pPr>
          </w:p>
        </w:tc>
        <w:tc>
          <w:tcPr>
            <w:tcW w:type="dxa" w:w="1944"/>
          </w:tcPr>
          <w:p>
            <w:pPr>
              <w:pStyle w:val="Cell"/>
            </w:pPr>
          </w:p>
        </w:tc>
        <w:tc>
          <w:tcPr>
            <w:tcW w:type="dxa" w:w="1152"/>
          </w:tcPr>
          <w:p>
            <w:pPr>
              <w:pStyle w:val="Cell"/>
            </w:pPr>
          </w:p>
        </w:tc>
        <w:tc>
          <w:tcPr>
            <w:tcW w:type="dxa" w:w="792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trHeight w:val="547" w:hRule="exact"/>
        </w:trPr>
        <w:tc>
          <w:tcPr>
            <w:tcW w:type="dxa" w:w="576"/>
          </w:tcPr>
          <w:p>
            <w:pPr>
              <w:pStyle w:val="Cell"/>
              <w:jc w:val="center"/>
            </w:pPr>
            <w:r>
              <w:rPr>
                <w:b w:val="0"/>
                <w:i w:val="0"/>
                <w:color w:val="5A6B7B"/>
              </w:rPr>
              <w:t>3</w:t>
            </w:r>
          </w:p>
        </w:tc>
        <w:tc>
          <w:tcPr>
            <w:tcW w:type="dxa" w:w="6048"/>
          </w:tcPr>
          <w:p>
            <w:pPr>
              <w:pStyle w:val="Cell"/>
            </w:pPr>
          </w:p>
        </w:tc>
        <w:tc>
          <w:tcPr>
            <w:tcW w:type="dxa" w:w="1944"/>
          </w:tcPr>
          <w:p>
            <w:pPr>
              <w:pStyle w:val="Cell"/>
            </w:pPr>
          </w:p>
        </w:tc>
        <w:tc>
          <w:tcPr>
            <w:tcW w:type="dxa" w:w="1152"/>
          </w:tcPr>
          <w:p>
            <w:pPr>
              <w:pStyle w:val="Cell"/>
            </w:pPr>
          </w:p>
        </w:tc>
        <w:tc>
          <w:tcPr>
            <w:tcW w:type="dxa" w:w="792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trHeight w:val="547" w:hRule="exact"/>
        </w:trPr>
        <w:tc>
          <w:tcPr>
            <w:tcW w:type="dxa" w:w="576"/>
          </w:tcPr>
          <w:p>
            <w:pPr>
              <w:pStyle w:val="Cell"/>
              <w:jc w:val="center"/>
            </w:pPr>
            <w:r>
              <w:rPr>
                <w:b w:val="0"/>
                <w:i w:val="0"/>
                <w:color w:val="5A6B7B"/>
              </w:rPr>
              <w:t>4</w:t>
            </w:r>
          </w:p>
        </w:tc>
        <w:tc>
          <w:tcPr>
            <w:tcW w:type="dxa" w:w="6048"/>
          </w:tcPr>
          <w:p>
            <w:pPr>
              <w:pStyle w:val="Cell"/>
            </w:pPr>
          </w:p>
        </w:tc>
        <w:tc>
          <w:tcPr>
            <w:tcW w:type="dxa" w:w="1944"/>
          </w:tcPr>
          <w:p>
            <w:pPr>
              <w:pStyle w:val="Cell"/>
            </w:pPr>
          </w:p>
        </w:tc>
        <w:tc>
          <w:tcPr>
            <w:tcW w:type="dxa" w:w="1152"/>
          </w:tcPr>
          <w:p>
            <w:pPr>
              <w:pStyle w:val="Cell"/>
            </w:pPr>
          </w:p>
        </w:tc>
        <w:tc>
          <w:tcPr>
            <w:tcW w:type="dxa" w:w="792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trHeight w:val="547" w:hRule="exact"/>
        </w:trPr>
        <w:tc>
          <w:tcPr>
            <w:tcW w:type="dxa" w:w="576"/>
          </w:tcPr>
          <w:p>
            <w:pPr>
              <w:pStyle w:val="Cell"/>
              <w:jc w:val="center"/>
            </w:pPr>
            <w:r>
              <w:rPr>
                <w:b w:val="0"/>
                <w:i w:val="0"/>
                <w:color w:val="5A6B7B"/>
              </w:rPr>
              <w:t>5</w:t>
            </w:r>
          </w:p>
        </w:tc>
        <w:tc>
          <w:tcPr>
            <w:tcW w:type="dxa" w:w="6048"/>
          </w:tcPr>
          <w:p>
            <w:pPr>
              <w:pStyle w:val="Cell"/>
            </w:pPr>
          </w:p>
        </w:tc>
        <w:tc>
          <w:tcPr>
            <w:tcW w:type="dxa" w:w="1944"/>
          </w:tcPr>
          <w:p>
            <w:pPr>
              <w:pStyle w:val="Cell"/>
            </w:pPr>
          </w:p>
        </w:tc>
        <w:tc>
          <w:tcPr>
            <w:tcW w:type="dxa" w:w="1152"/>
          </w:tcPr>
          <w:p>
            <w:pPr>
              <w:pStyle w:val="Cell"/>
            </w:pPr>
          </w:p>
        </w:tc>
        <w:tc>
          <w:tcPr>
            <w:tcW w:type="dxa" w:w="792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trHeight w:val="547" w:hRule="exact"/>
        </w:trPr>
        <w:tc>
          <w:tcPr>
            <w:tcW w:type="dxa" w:w="576"/>
          </w:tcPr>
          <w:p>
            <w:pPr>
              <w:pStyle w:val="Cell"/>
              <w:jc w:val="center"/>
            </w:pPr>
            <w:r>
              <w:rPr>
                <w:b w:val="0"/>
                <w:i w:val="0"/>
                <w:color w:val="5A6B7B"/>
              </w:rPr>
              <w:t>6</w:t>
            </w:r>
          </w:p>
        </w:tc>
        <w:tc>
          <w:tcPr>
            <w:tcW w:type="dxa" w:w="6048"/>
          </w:tcPr>
          <w:p>
            <w:pPr>
              <w:pStyle w:val="Cell"/>
            </w:pPr>
          </w:p>
        </w:tc>
        <w:tc>
          <w:tcPr>
            <w:tcW w:type="dxa" w:w="1944"/>
          </w:tcPr>
          <w:p>
            <w:pPr>
              <w:pStyle w:val="Cell"/>
            </w:pPr>
          </w:p>
        </w:tc>
        <w:tc>
          <w:tcPr>
            <w:tcW w:type="dxa" w:w="1152"/>
          </w:tcPr>
          <w:p>
            <w:pPr>
              <w:pStyle w:val="Cell"/>
            </w:pPr>
          </w:p>
        </w:tc>
        <w:tc>
          <w:tcPr>
            <w:tcW w:type="dxa" w:w="792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trHeight w:val="547" w:hRule="exact"/>
        </w:trPr>
        <w:tc>
          <w:tcPr>
            <w:tcW w:type="dxa" w:w="576"/>
          </w:tcPr>
          <w:p>
            <w:pPr>
              <w:pStyle w:val="Cell"/>
              <w:jc w:val="center"/>
            </w:pPr>
            <w:r>
              <w:rPr>
                <w:b w:val="0"/>
                <w:i w:val="0"/>
                <w:color w:val="5A6B7B"/>
              </w:rPr>
              <w:t>7</w:t>
            </w:r>
          </w:p>
        </w:tc>
        <w:tc>
          <w:tcPr>
            <w:tcW w:type="dxa" w:w="6048"/>
          </w:tcPr>
          <w:p>
            <w:pPr>
              <w:pStyle w:val="Cell"/>
            </w:pPr>
          </w:p>
        </w:tc>
        <w:tc>
          <w:tcPr>
            <w:tcW w:type="dxa" w:w="1944"/>
          </w:tcPr>
          <w:p>
            <w:pPr>
              <w:pStyle w:val="Cell"/>
            </w:pPr>
          </w:p>
        </w:tc>
        <w:tc>
          <w:tcPr>
            <w:tcW w:type="dxa" w:w="1152"/>
          </w:tcPr>
          <w:p>
            <w:pPr>
              <w:pStyle w:val="Cell"/>
            </w:pPr>
          </w:p>
        </w:tc>
        <w:tc>
          <w:tcPr>
            <w:tcW w:type="dxa" w:w="792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trHeight w:val="547" w:hRule="exact"/>
        </w:trPr>
        <w:tc>
          <w:tcPr>
            <w:tcW w:type="dxa" w:w="576"/>
          </w:tcPr>
          <w:p>
            <w:pPr>
              <w:pStyle w:val="Cell"/>
              <w:jc w:val="center"/>
            </w:pPr>
            <w:r>
              <w:rPr>
                <w:b w:val="0"/>
                <w:i w:val="0"/>
                <w:color w:val="5A6B7B"/>
              </w:rPr>
              <w:t>8</w:t>
            </w:r>
          </w:p>
        </w:tc>
        <w:tc>
          <w:tcPr>
            <w:tcW w:type="dxa" w:w="6048"/>
          </w:tcPr>
          <w:p>
            <w:pPr>
              <w:pStyle w:val="Cell"/>
            </w:pPr>
          </w:p>
        </w:tc>
        <w:tc>
          <w:tcPr>
            <w:tcW w:type="dxa" w:w="1944"/>
          </w:tcPr>
          <w:p>
            <w:pPr>
              <w:pStyle w:val="Cell"/>
            </w:pPr>
          </w:p>
        </w:tc>
        <w:tc>
          <w:tcPr>
            <w:tcW w:type="dxa" w:w="1152"/>
          </w:tcPr>
          <w:p>
            <w:pPr>
              <w:pStyle w:val="Cell"/>
            </w:pPr>
          </w:p>
        </w:tc>
        <w:tc>
          <w:tcPr>
            <w:tcW w:type="dxa" w:w="792"/>
          </w:tcPr>
          <w:p>
            <w:pPr>
              <w:pStyle w:val="Cell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</w:tbl>
    <w:p>
      <w:pPr>
        <w:pStyle w:val="Heading1"/>
      </w:pPr>
      <w:r>
        <w:t>5. Sign-off</w:t>
      </w:r>
    </w:p>
    <w:p>
      <w:pPr>
        <w:pStyle w:val="Hint"/>
      </w:pPr>
      <w:r>
        <w:t>Confirms that triggers were reviewed and the deliverables above are agreed and scheduled. Add or remove roles to match your organization's procedure.</w:t>
      </w:r>
    </w:p>
    <w:tbl>
      <w:tblPr>
        <w:tblW w:type="dxa" w:w="10512"/>
        <w:jc w:val="center"/>
        <w:tblBorders>
          <w:top w:val="single" w:sz="4" w:space="0" w:color="A9BAC8"/>
          <w:left w:val="single" w:sz="4" w:space="0" w:color="A9BAC8"/>
          <w:bottom w:val="single" w:sz="4" w:space="0" w:color="A9BAC8"/>
          <w:right w:val="single" w:sz="4" w:space="0" w:color="A9BAC8"/>
          <w:insideH w:val="single" w:sz="4" w:space="0" w:color="A9BAC8"/>
          <w:insideV w:val="single" w:sz="4" w:space="0" w:color="A9BAC8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024"/>
        <w:gridCol w:w="2880"/>
        <w:gridCol w:w="2880"/>
        <w:gridCol w:w="1728"/>
      </w:tblGrid>
      <w:tr>
        <w:trPr>
          <w:tblHeader w:val="true"/>
        </w:trPr>
        <w:tc>
          <w:tcPr>
            <w:tcW w:type="dxa" w:w="3024"/>
            <w:shd w:val="clear" w:color="auto" w:fill="233884"/>
            <w:vAlign w:val="center"/>
          </w:tcPr>
          <w:p>
            <w:pPr>
              <w:pStyle w:val="Cell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233884"/>
            <w:vAlign w:val="center"/>
          </w:tcPr>
          <w:p>
            <w:pPr>
              <w:pStyle w:val="Cell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val="clear" w:color="auto" w:fill="233884"/>
            <w:vAlign w:val="center"/>
          </w:tcPr>
          <w:p>
            <w:pPr>
              <w:pStyle w:val="Cell"/>
            </w:pPr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1728"/>
            <w:shd w:val="clear" w:color="auto" w:fill="233884"/>
            <w:vAlign w:val="center"/>
          </w:tcPr>
          <w:p>
            <w:pPr>
              <w:pStyle w:val="Cell"/>
            </w:pPr>
            <w:r>
              <w:rPr>
                <w:b/>
                <w:color w:val="FFFFFF"/>
              </w:rPr>
              <w:t>Date</w:t>
            </w:r>
          </w:p>
        </w:tc>
      </w:tr>
      <w:tr>
        <w:trPr>
          <w:cantSplit w:val="true"/>
          <w:trHeight w:val="604" w:hRule="atLeast"/>
        </w:trPr>
        <w:tc>
          <w:tcPr>
            <w:tcW w:type="dxa" w:w="3024"/>
          </w:tcPr>
          <w:p>
            <w:pPr>
              <w:pStyle w:val="Cell"/>
            </w:pPr>
            <w:r>
              <w:rPr>
                <w:b/>
                <w:color w:val="233884"/>
              </w:rPr>
              <w:t>Product owner</w:t>
            </w:r>
          </w:p>
        </w:tc>
        <w:tc>
          <w:tcPr>
            <w:tcW w:type="dxa" w:w="2880"/>
          </w:tcPr>
          <w:p>
            <w:pPr>
              <w:pStyle w:val="Cell"/>
            </w:pPr>
          </w:p>
        </w:tc>
        <w:tc>
          <w:tcPr>
            <w:tcW w:type="dxa" w:w="2880"/>
          </w:tcPr>
          <w:p>
            <w:pPr>
              <w:pStyle w:val="Cell"/>
            </w:pPr>
          </w:p>
        </w:tc>
        <w:tc>
          <w:tcPr>
            <w:tcW w:type="dxa" w:w="1728"/>
          </w:tcPr>
          <w:p>
            <w:pPr>
              <w:pStyle w:val="Cell"/>
            </w:pPr>
          </w:p>
        </w:tc>
      </w:tr>
      <w:tr>
        <w:trPr>
          <w:cantSplit w:val="true"/>
          <w:trHeight w:val="604" w:hRule="atLeast"/>
        </w:trPr>
        <w:tc>
          <w:tcPr>
            <w:tcW w:type="dxa" w:w="3024"/>
          </w:tcPr>
          <w:p>
            <w:pPr>
              <w:pStyle w:val="Cell"/>
            </w:pPr>
            <w:r>
              <w:rPr>
                <w:b/>
                <w:color w:val="233884"/>
              </w:rPr>
              <w:t>Program manager</w:t>
            </w:r>
          </w:p>
        </w:tc>
        <w:tc>
          <w:tcPr>
            <w:tcW w:type="dxa" w:w="2880"/>
          </w:tcPr>
          <w:p>
            <w:pPr>
              <w:pStyle w:val="Cell"/>
            </w:pPr>
          </w:p>
        </w:tc>
        <w:tc>
          <w:tcPr>
            <w:tcW w:type="dxa" w:w="2880"/>
          </w:tcPr>
          <w:p>
            <w:pPr>
              <w:pStyle w:val="Cell"/>
            </w:pPr>
          </w:p>
        </w:tc>
        <w:tc>
          <w:tcPr>
            <w:tcW w:type="dxa" w:w="1728"/>
          </w:tcPr>
          <w:p>
            <w:pPr>
              <w:pStyle w:val="Cell"/>
            </w:pPr>
          </w:p>
        </w:tc>
      </w:tr>
      <w:tr>
        <w:trPr>
          <w:cantSplit w:val="true"/>
          <w:trHeight w:val="604" w:hRule="atLeast"/>
        </w:trPr>
        <w:tc>
          <w:tcPr>
            <w:tcW w:type="dxa" w:w="3024"/>
          </w:tcPr>
          <w:p>
            <w:pPr>
              <w:pStyle w:val="Cell"/>
            </w:pPr>
            <w:r>
              <w:rPr>
                <w:b/>
                <w:color w:val="233884"/>
              </w:rPr>
              <w:t>Product security</w:t>
            </w:r>
          </w:p>
        </w:tc>
        <w:tc>
          <w:tcPr>
            <w:tcW w:type="dxa" w:w="2880"/>
          </w:tcPr>
          <w:p>
            <w:pPr>
              <w:pStyle w:val="Cell"/>
            </w:pPr>
          </w:p>
        </w:tc>
        <w:tc>
          <w:tcPr>
            <w:tcW w:type="dxa" w:w="2880"/>
          </w:tcPr>
          <w:p>
            <w:pPr>
              <w:pStyle w:val="Cell"/>
            </w:pPr>
          </w:p>
        </w:tc>
        <w:tc>
          <w:tcPr>
            <w:tcW w:type="dxa" w:w="1728"/>
          </w:tcPr>
          <w:p>
            <w:pPr>
              <w:pStyle w:val="Cell"/>
            </w:pPr>
          </w:p>
        </w:tc>
      </w:tr>
      <w:tr>
        <w:trPr>
          <w:cantSplit w:val="true"/>
          <w:trHeight w:val="604" w:hRule="atLeast"/>
        </w:trPr>
        <w:tc>
          <w:tcPr>
            <w:tcW w:type="dxa" w:w="3024"/>
          </w:tcPr>
          <w:p>
            <w:pPr>
              <w:pStyle w:val="Cell"/>
            </w:pPr>
            <w:r>
              <w:rPr>
                <w:b/>
                <w:color w:val="233884"/>
              </w:rPr>
              <w:t>Quality and regulatory (if required)</w:t>
            </w:r>
          </w:p>
        </w:tc>
        <w:tc>
          <w:tcPr>
            <w:tcW w:type="dxa" w:w="2880"/>
          </w:tcPr>
          <w:p>
            <w:pPr>
              <w:pStyle w:val="Cell"/>
            </w:pPr>
          </w:p>
        </w:tc>
        <w:tc>
          <w:tcPr>
            <w:tcW w:type="dxa" w:w="2880"/>
          </w:tcPr>
          <w:p>
            <w:pPr>
              <w:pStyle w:val="Cell"/>
            </w:pPr>
          </w:p>
        </w:tc>
        <w:tc>
          <w:tcPr>
            <w:tcW w:type="dxa" w:w="1728"/>
          </w:tcPr>
          <w:p>
            <w:pPr>
              <w:pStyle w:val="Cell"/>
            </w:pPr>
          </w:p>
        </w:tc>
      </w:tr>
    </w:tbl>
    <w:p>
      <w:pPr>
        <w:spacing w:after="0" w:line="40" w:lineRule="exact"/>
      </w:pPr>
    </w:p>
    <w:tbl>
      <w:tblPr>
        <w:tblW w:type="dxa" w:w="10512"/>
        <w:tblBorders>
          <w:top w:val="single" w:sz="4" w:space="0" w:color="A9BAC8"/>
          <w:left w:val="single" w:sz="4" w:space="0" w:color="A9BAC8"/>
          <w:bottom w:val="single" w:sz="4" w:space="0" w:color="A9BAC8"/>
          <w:right w:val="single" w:sz="4" w:space="0" w:color="A9BAC8"/>
          <w:insideH w:val="single" w:sz="4" w:space="0" w:color="A9BAC8"/>
          <w:insideV w:val="single" w:sz="4" w:space="0" w:color="A9BAC8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024"/>
        <w:gridCol w:w="7488"/>
      </w:tblGrid>
      <w:tr>
        <w:trPr>
          <w:trHeight w:val="604" w:hRule="atLeast"/>
        </w:trPr>
        <w:tc>
          <w:tcPr>
            <w:tcW w:type="dxa" w:w="3024"/>
            <w:shd w:val="clear" w:color="auto" w:fill="F4F7FA"/>
            <w:vAlign w:val="center"/>
          </w:tcPr>
          <w:p>
            <w:pPr>
              <w:pStyle w:val="Cell"/>
            </w:pPr>
            <w:r>
              <w:rPr>
                <w:b/>
                <w:color w:val="233884"/>
              </w:rPr>
              <w:t>Next review (date or trigger)</w:t>
            </w:r>
          </w:p>
        </w:tc>
        <w:tc>
          <w:tcPr>
            <w:tcW w:type="dxa" w:w="7488"/>
          </w:tcPr>
          <w:p>
            <w:pPr>
              <w:pStyle w:val="Cell"/>
            </w:pPr>
          </w:p>
        </w:tc>
      </w:tr>
    </w:tbl>
    <w:p>
      <w:pPr>
        <w:pStyle w:val="Hint"/>
        <w:spacing w:before="200"/>
      </w:pPr>
      <w:r>
        <w:t>Training template from the Product Security in One Hour course. Adapt it to your organization's procedure; it doesn't replace that procedure, and it isn't legal or regulatory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64" w:bottom="936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altName w:val="Calibri"/>
    <w:panose1 w:val="020B0502030000000004"/>
    <w:charset w:val="0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Product Security in One Hour · CC BY 4.0 · mjhillyer.github.io/Product-Security-in-One-Hour ·</w:t>
    </w:r>
    <w:r>
      <w:br/>
    </w:r>
    <w:r>
      <w:t xml:space="preserve">In-depth training: Matt Hillyer LLC, matt@matthillyer.io ·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 w:dirty="true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9C3396"/>
      </w:pBdr>
    </w:pPr>
    <w:r>
      <w:rPr>
        <w:b/>
        <w:color w:val="233884"/>
      </w:rPr>
      <w:t>Product Security Engagement Checklist</w:t>
    </w:r>
    <w:r>
      <w:t xml:space="preserve">   ·   Project: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Inter" w:hAnsi="Inter" w:cs="Inter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Inter" w:hAnsi="Inter" w:cs="Inter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Inter" w:hAnsi="Inter" w:cs="Inter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Inter" w:hAnsi="Inter" w:cs="Inter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Inter" w:hAnsi="Inter" w:cs="Inte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9" w:lineRule="auto"/>
    </w:pPr>
    <w:rPr>
      <w:rFonts w:ascii="Inter" w:hAnsi="Inter" w:cs="Inter"/>
      <w:color w:val="1B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Inter" w:hAnsi="Inter" w:cs="Inter"/>
      <w:color w:val="5A6B7B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Inter" w:hAnsi="Inter" w:cs="Inter"/>
      <w:color w:val="5A6B7B"/>
      <w:sz w:val="16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Inter" w:hAnsi="Inter" w:cs="Inter"/>
      <w:color w:val="5A6B7B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Inter" w:hAnsi="Inter" w:cs="Inter"/>
      <w:color w:val="5A6B7B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8" w:space="2" w:color="9C3396"/>
      </w:pBdr>
      <w:spacing w:before="200" w:after="80"/>
      <w:outlineLvl w:val="0"/>
    </w:pPr>
    <w:rPr>
      <w:rFonts w:ascii="Inter" w:hAnsi="Inter" w:cs="Inter"/>
      <w:b/>
      <w:bCs/>
      <w:i w:val="0"/>
      <w:color w:val="23388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Inter" w:hAnsi="Inter" w:cs="Inter"/>
      <w:b/>
      <w:bCs/>
      <w:i w:val="0"/>
      <w:color w:val="7E44A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Inter" w:hAnsi="Inter" w:cs="Inter"/>
      <w:b/>
      <w:bCs/>
      <w:i w:val="0"/>
      <w:color w:val="23388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Inter" w:hAnsi="Inter" w:cs="Inter"/>
      <w:b/>
      <w:bCs/>
      <w:i w:val="0"/>
      <w:color w:val="23388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Inter" w:hAnsi="Inter" w:cs="Inter"/>
      <w:b/>
      <w:bCs/>
      <w:i w:val="0"/>
      <w:color w:val="7E44A9"/>
      <w:sz w:val="23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Inter" w:hAnsi="Inter" w:cs="Inter"/>
      <w:b/>
      <w:bCs/>
      <w:i w:val="0"/>
      <w:color w:val="233884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="Inter" w:hAnsi="Inter" w:cs="Inter"/>
      <w:b/>
      <w:color w:val="1A276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Inter" w:hAnsi="Inter" w:cs="Inter"/>
      <w:b/>
      <w:color w:val="1A2766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Inter" w:hAnsi="Inter" w:cs="Inter"/>
      <w:color w:val="1B27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Page">
    <w:name w:val="Heading 1 Page"/>
    <w:basedOn w:val="Heading1"/>
    <w:next w:val="Normal"/>
    <w:qFormat/>
    <w:pPr>
      <w:pageBreakBefore/>
      <w:pBdr>
        <w:bottom w:val="single" w:sz="8" w:space="2" w:color="9C3396"/>
      </w:pBdr>
      <w:spacing w:before="0"/>
    </w:pPr>
  </w:style>
  <w:style w:type="paragraph" w:customStyle="1" w:styleId="Heading2Page">
    <w:name w:val="Heading 2 Page"/>
    <w:basedOn w:val="Heading2"/>
    <w:next w:val="Normal"/>
    <w:qFormat/>
    <w:pPr>
      <w:pageBreakBefore/>
      <w:spacing w:before="0"/>
    </w:pPr>
  </w:style>
  <w:style w:type="paragraph" w:customStyle="1" w:styleId="Hint">
    <w:name w:val="Hint"/>
    <w:basedOn w:val="Normal"/>
    <w:pPr>
      <w:spacing w:after="80"/>
    </w:pPr>
    <w:rPr>
      <w:rFonts w:ascii="Inter" w:hAnsi="Inter" w:cs="Inter"/>
      <w:i/>
      <w:color w:val="5A6B7B"/>
      <w:sz w:val="17"/>
    </w:rPr>
  </w:style>
  <w:style w:type="paragraph" w:customStyle="1" w:styleId="Cell">
    <w:name w:val="Cell"/>
    <w:basedOn w:val="Normal"/>
    <w:pPr>
      <w:spacing w:after="0" w:line="240" w:lineRule="auto"/>
    </w:pPr>
    <w:rPr>
      <w:rFonts w:ascii="Inter" w:hAnsi="Inter" w:cs="Inter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Security Engagement Checklist</dc:title>
  <dc:subject>When and how to engage product security on a medical device project</dc:subject>
  <dc:creator>Product Security in One Hour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