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7E44A9"/>
          <w:sz w:val="17"/>
        </w:rPr>
        <w:t>PRODUCT SECURITY IN ONE HOUR · TABLETOP EXERCISE KIT</w:t>
      </w:r>
    </w:p>
    <w:p>
      <w:pPr>
        <w:pStyle w:val="Title"/>
      </w:pPr>
      <w:r>
        <w:rPr>
          <w:sz w:val="40"/>
        </w:rPr>
        <w:t>Tabletop Exercise Kit: A Researcher Finds a Flaw</w:t>
      </w:r>
    </w:p>
    <w:p>
      <w:pPr>
        <w:pBdr>
          <w:bottom w:val="single" w:sz="12" w:space="4" w:color="9C3396"/>
        </w:pBdr>
        <w:spacing w:after="160"/>
      </w:pPr>
      <w:r>
        <w:rPr>
          <w:color w:val="7E44A9"/>
          <w:sz w:val="21"/>
        </w:rPr>
        <w:t>A 45 to 60 minute facilitated exercise on handling a reported vulnerability, from first email to lessons learned</w:t>
      </w:r>
    </w:p>
    <w:p>
      <w:pPr>
        <w:pBdr>
          <w:left w:val="single" w:sz="24" w:space="6" w:color="1999B2"/>
        </w:pBdr>
        <w:shd w:val="clear" w:color="auto" w:fill="E7F4F7"/>
        <w:spacing w:before="80" w:after="160"/>
        <w:ind w:left="115"/>
      </w:pPr>
      <w:r>
        <w:rPr>
          <w:b/>
          <w:color w:val="7E44A9"/>
          <w:sz w:val="19"/>
        </w:rPr>
        <w:t xml:space="preserve">Fictional scenario.  </w:t>
      </w:r>
      <w:r>
        <w:rPr>
          <w:sz w:val="19"/>
        </w:rPr>
        <w:t>FlowGuard and every company, device, person and event in this scenario are fictional. This kit is training material, not legal or regulatory advice.</w:t>
      </w:r>
    </w:p>
    <w:p>
      <w:pPr>
        <w:pStyle w:val="Heading1"/>
      </w:pPr>
      <w:r>
        <w:t>Purpose and outcomes</w:t>
      </w:r>
    </w:p>
    <w:p>
      <w:r>
        <w:t>Teams walk through one reported vulnerability in a connected medical device, over about 30 days of story time, and decide what their organization should do at each step. The aim is to rehearse the decisions and the hand-offs between roles before a real report arrives, and to find gaps in your own process while the stakes are low. After the exercise, participants can:</w:t>
      </w:r>
    </w:p>
    <w:p>
      <w:pPr>
        <w:pStyle w:val="ListBullet"/>
      </w:pPr>
      <w:r>
        <w:t>Route a vulnerability report into the vulnerability-handling (PSIRT) process quickly and respectfully.</w:t>
      </w:r>
    </w:p>
    <w:p>
      <w:pPr>
        <w:pStyle w:val="ListBullet"/>
      </w:pPr>
      <w:r>
        <w:t>Assess a vulnerability with both a security view (how exploitable) and a safety view (what harm, including to many patients at once).</w:t>
      </w:r>
    </w:p>
    <w:p>
      <w:pPr>
        <w:pStyle w:val="ListBullet"/>
      </w:pPr>
      <w:r>
        <w:t>Decide what to tell customers and when, including interim mitigations while a fix is built.</w:t>
      </w:r>
    </w:p>
    <w:p>
      <w:pPr>
        <w:pStyle w:val="ListBullet"/>
      </w:pPr>
      <w:r>
        <w:t>Weigh the pressure to ship a fix against the verification and validation a medical device needs.</w:t>
      </w:r>
    </w:p>
    <w:p>
      <w:pPr>
        <w:pStyle w:val="ListBullet"/>
      </w:pPr>
      <w:r>
        <w:t>Name who in their own organization owns disclosure, customer communication and regulatory reporting.</w:t>
      </w:r>
    </w:p>
    <w:p>
      <w:r>
        <w:rPr>
          <w:sz w:val="19"/>
        </w:rPr>
        <w:t>Who takes part: product owners, program managers, engineers, quality and regulatory, service and sales, in teams of three to five. No security background is needed.</w:t>
      </w:r>
    </w:p>
    <w:p>
      <w:pPr>
        <w:pStyle w:val="Heading1"/>
      </w:pPr>
      <w:r>
        <w:t>Roles to assign</w:t>
      </w:r>
    </w:p>
    <w:p>
      <w:pPr>
        <w:pStyle w:val="Hint"/>
      </w:pPr>
      <w:r>
        <w:t>From the scenario: Ask each team member to speak for a role: product owner, engineering, product security, quality and regulatory, and customer-facing (service or sales). If your team is small, combine roles.</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2736"/>
        <w:gridCol w:w="5184"/>
        <w:gridCol w:w="2304"/>
      </w:tblGrid>
      <w:tr>
        <w:trPr>
          <w:tblHeader w:val="true"/>
        </w:trPr>
        <w:tc>
          <w:tcPr>
            <w:tcW w:type="dxa" w:w="2736"/>
            <w:shd w:val="clear" w:color="auto" w:fill="233884"/>
            <w:vAlign w:val="center"/>
          </w:tcPr>
          <w:p>
            <w:pPr>
              <w:pStyle w:val="Cell"/>
            </w:pPr>
            <w:r>
              <w:rPr>
                <w:b/>
                <w:color w:val="FFFFFF"/>
              </w:rPr>
              <w:t>Role</w:t>
            </w:r>
          </w:p>
        </w:tc>
        <w:tc>
          <w:tcPr>
            <w:tcW w:type="dxa" w:w="5184"/>
            <w:shd w:val="clear" w:color="auto" w:fill="233884"/>
            <w:vAlign w:val="center"/>
          </w:tcPr>
          <w:p>
            <w:pPr>
              <w:pStyle w:val="Cell"/>
            </w:pPr>
            <w:r>
              <w:rPr>
                <w:b/>
                <w:color w:val="FFFFFF"/>
              </w:rPr>
              <w:t>Speaks for</w:t>
            </w:r>
          </w:p>
        </w:tc>
        <w:tc>
          <w:tcPr>
            <w:tcW w:type="dxa" w:w="2304"/>
            <w:shd w:val="clear" w:color="auto" w:fill="233884"/>
            <w:vAlign w:val="center"/>
          </w:tcPr>
          <w:p>
            <w:pPr>
              <w:pStyle w:val="Cell"/>
            </w:pPr>
            <w:r>
              <w:rPr>
                <w:b/>
                <w:color w:val="FFFFFF"/>
              </w:rPr>
              <w:t>Played by</w:t>
            </w:r>
          </w:p>
        </w:tc>
      </w:tr>
      <w:tr>
        <w:trPr>
          <w:cantSplit w:val="true"/>
          <w:trHeight w:val="518" w:hRule="atLeast"/>
        </w:trPr>
        <w:tc>
          <w:tcPr>
            <w:tcW w:type="dxa" w:w="2736"/>
            <w:shd w:val="clear" w:color="auto" w:fill="F3EAF6"/>
          </w:tcPr>
          <w:p>
            <w:pPr>
              <w:pStyle w:val="Cell"/>
            </w:pPr>
            <w:r>
              <w:rPr>
                <w:b/>
                <w:color w:val="233884"/>
              </w:rPr>
              <w:t>Facilitator</w:t>
            </w:r>
          </w:p>
        </w:tc>
        <w:tc>
          <w:tcPr>
            <w:tcW w:type="dxa" w:w="5184"/>
          </w:tcPr>
          <w:p>
            <w:pPr>
              <w:pStyle w:val="Cell"/>
            </w:pPr>
            <w:r>
              <w:t>Runs the clock, releases each inject, holds this facilitator copy and leads the debrief. Doesn't play a role in a team.</w:t>
            </w:r>
          </w:p>
        </w:tc>
        <w:tc>
          <w:tcPr>
            <w:tcW w:type="dxa" w:w="2304"/>
          </w:tcPr>
          <w:p>
            <w:pPr>
              <w:pStyle w:val="Cell"/>
            </w:pPr>
          </w:p>
        </w:tc>
      </w:tr>
      <w:tr>
        <w:trPr>
          <w:cantSplit w:val="true"/>
          <w:trHeight w:val="518" w:hRule="atLeast"/>
        </w:trPr>
        <w:tc>
          <w:tcPr>
            <w:tcW w:type="dxa" w:w="2736"/>
            <w:shd w:val="clear" w:color="auto" w:fill="F3EAF6"/>
          </w:tcPr>
          <w:p>
            <w:pPr>
              <w:pStyle w:val="Cell"/>
            </w:pPr>
            <w:r>
              <w:rPr>
                <w:b/>
                <w:color w:val="233884"/>
              </w:rPr>
              <w:t>Note-taker (one per team)</w:t>
            </w:r>
          </w:p>
        </w:tc>
        <w:tc>
          <w:tcPr>
            <w:tcW w:type="dxa" w:w="5184"/>
          </w:tcPr>
          <w:p>
            <w:pPr>
              <w:pStyle w:val="Cell"/>
            </w:pPr>
            <w:r>
              <w:t>Records the team's choice and one-line reason for each inject in the decision log, and captures actions for the after-action review.</w:t>
            </w:r>
          </w:p>
        </w:tc>
        <w:tc>
          <w:tcPr>
            <w:tcW w:type="dxa" w:w="2304"/>
          </w:tcPr>
          <w:p>
            <w:pPr>
              <w:pStyle w:val="Cell"/>
            </w:pPr>
          </w:p>
        </w:tc>
      </w:tr>
      <w:tr>
        <w:trPr>
          <w:cantSplit w:val="true"/>
          <w:trHeight w:val="518" w:hRule="atLeast"/>
        </w:trPr>
        <w:tc>
          <w:tcPr>
            <w:tcW w:type="dxa" w:w="2736"/>
          </w:tcPr>
          <w:p>
            <w:pPr>
              <w:pStyle w:val="Cell"/>
            </w:pPr>
            <w:r>
              <w:rPr>
                <w:b/>
                <w:color w:val="233884"/>
              </w:rPr>
              <w:t>Product owner</w:t>
            </w:r>
          </w:p>
        </w:tc>
        <w:tc>
          <w:tcPr>
            <w:tcW w:type="dxa" w:w="5184"/>
          </w:tcPr>
          <w:p>
            <w:pPr>
              <w:pStyle w:val="Cell"/>
            </w:pPr>
            <w:r>
              <w:t>Owns the product decisions, priorities and customer commitments.</w:t>
            </w:r>
          </w:p>
        </w:tc>
        <w:tc>
          <w:tcPr>
            <w:tcW w:type="dxa" w:w="2304"/>
          </w:tcPr>
          <w:p>
            <w:pPr>
              <w:pStyle w:val="Cell"/>
            </w:pPr>
          </w:p>
        </w:tc>
      </w:tr>
      <w:tr>
        <w:trPr>
          <w:cantSplit w:val="true"/>
          <w:trHeight w:val="518" w:hRule="atLeast"/>
        </w:trPr>
        <w:tc>
          <w:tcPr>
            <w:tcW w:type="dxa" w:w="2736"/>
          </w:tcPr>
          <w:p>
            <w:pPr>
              <w:pStyle w:val="Cell"/>
            </w:pPr>
            <w:r>
              <w:rPr>
                <w:b/>
                <w:color w:val="233884"/>
              </w:rPr>
              <w:t>Engineering</w:t>
            </w:r>
          </w:p>
        </w:tc>
        <w:tc>
          <w:tcPr>
            <w:tcW w:type="dxa" w:w="5184"/>
          </w:tcPr>
          <w:p>
            <w:pPr>
              <w:pStyle w:val="Cell"/>
            </w:pPr>
            <w:r>
              <w:t>Reproduces the issue, designs and builds the fix, estimates time.</w:t>
            </w:r>
          </w:p>
        </w:tc>
        <w:tc>
          <w:tcPr>
            <w:tcW w:type="dxa" w:w="2304"/>
          </w:tcPr>
          <w:p>
            <w:pPr>
              <w:pStyle w:val="Cell"/>
            </w:pPr>
          </w:p>
        </w:tc>
      </w:tr>
      <w:tr>
        <w:trPr>
          <w:cantSplit w:val="true"/>
          <w:trHeight w:val="518" w:hRule="atLeast"/>
        </w:trPr>
        <w:tc>
          <w:tcPr>
            <w:tcW w:type="dxa" w:w="2736"/>
          </w:tcPr>
          <w:p>
            <w:pPr>
              <w:pStyle w:val="Cell"/>
            </w:pPr>
            <w:r>
              <w:rPr>
                <w:b/>
                <w:color w:val="233884"/>
              </w:rPr>
              <w:t>Product security</w:t>
            </w:r>
          </w:p>
        </w:tc>
        <w:tc>
          <w:tcPr>
            <w:tcW w:type="dxa" w:w="5184"/>
          </w:tcPr>
          <w:p>
            <w:pPr>
              <w:pStyle w:val="Cell"/>
            </w:pPr>
            <w:r>
              <w:t>Runs vulnerability handling (PSIRT), assesses exploitability, coordinates with the reporter.</w:t>
            </w:r>
          </w:p>
        </w:tc>
        <w:tc>
          <w:tcPr>
            <w:tcW w:type="dxa" w:w="2304"/>
          </w:tcPr>
          <w:p>
            <w:pPr>
              <w:pStyle w:val="Cell"/>
            </w:pPr>
          </w:p>
        </w:tc>
      </w:tr>
      <w:tr>
        <w:trPr>
          <w:cantSplit w:val="true"/>
          <w:trHeight w:val="518" w:hRule="atLeast"/>
        </w:trPr>
        <w:tc>
          <w:tcPr>
            <w:tcW w:type="dxa" w:w="2736"/>
          </w:tcPr>
          <w:p>
            <w:pPr>
              <w:pStyle w:val="Cell"/>
            </w:pPr>
            <w:r>
              <w:rPr>
                <w:b/>
                <w:color w:val="233884"/>
              </w:rPr>
              <w:t>Quality and regulatory</w:t>
            </w:r>
          </w:p>
        </w:tc>
        <w:tc>
          <w:tcPr>
            <w:tcW w:type="dxa" w:w="5184"/>
          </w:tcPr>
          <w:p>
            <w:pPr>
              <w:pStyle w:val="Cell"/>
            </w:pPr>
            <w:r>
              <w:t>Owns the safety risk file, complaint handling and regulatory reporting decisions.</w:t>
            </w:r>
          </w:p>
        </w:tc>
        <w:tc>
          <w:tcPr>
            <w:tcW w:type="dxa" w:w="2304"/>
          </w:tcPr>
          <w:p>
            <w:pPr>
              <w:pStyle w:val="Cell"/>
            </w:pPr>
          </w:p>
        </w:tc>
      </w:tr>
      <w:tr>
        <w:trPr>
          <w:cantSplit w:val="true"/>
          <w:trHeight w:val="518" w:hRule="atLeast"/>
        </w:trPr>
        <w:tc>
          <w:tcPr>
            <w:tcW w:type="dxa" w:w="2736"/>
          </w:tcPr>
          <w:p>
            <w:pPr>
              <w:pStyle w:val="Cell"/>
            </w:pPr>
            <w:r>
              <w:rPr>
                <w:b/>
                <w:color w:val="233884"/>
              </w:rPr>
              <w:t>Customer-facing (service or sales)</w:t>
            </w:r>
          </w:p>
        </w:tc>
        <w:tc>
          <w:tcPr>
            <w:tcW w:type="dxa" w:w="5184"/>
          </w:tcPr>
          <w:p>
            <w:pPr>
              <w:pStyle w:val="Cell"/>
            </w:pPr>
            <w:r>
              <w:t>Speaks for hospitals and field teams: what customers hear, ask and can do.</w:t>
            </w:r>
          </w:p>
        </w:tc>
        <w:tc>
          <w:tcPr>
            <w:tcW w:type="dxa" w:w="2304"/>
          </w:tcPr>
          <w:p>
            <w:pPr>
              <w:pStyle w:val="Cell"/>
            </w:pPr>
          </w:p>
        </w:tc>
      </w:tr>
    </w:tbl>
    <w:p>
      <w:pPr>
        <w:pStyle w:val="Heading1Page"/>
      </w:pPr>
      <w:r>
        <w:t>Timing</w:t>
      </w:r>
    </w:p>
    <w:p>
      <w:pPr>
        <w:pStyle w:val="Hint"/>
      </w:pPr>
      <w:r>
        <w:t>Two versions of the same session. Each inject follows the same rhythm: read it aloud (1 minute), teams discuss and choose (3 to 4 minutes), then reveal and debrief (2 to 3 minutes).</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4608"/>
        <w:gridCol w:w="1007"/>
        <w:gridCol w:w="1007"/>
        <w:gridCol w:w="3600"/>
      </w:tblGrid>
      <w:tr>
        <w:trPr>
          <w:tblHeader w:val="true"/>
        </w:trPr>
        <w:tc>
          <w:tcPr>
            <w:tcW w:type="dxa" w:w="4608"/>
            <w:shd w:val="clear" w:color="auto" w:fill="233884"/>
            <w:vAlign w:val="center"/>
          </w:tcPr>
          <w:p>
            <w:pPr>
              <w:pStyle w:val="Cell"/>
            </w:pPr>
            <w:r>
              <w:rPr>
                <w:b/>
                <w:color w:val="FFFFFF"/>
              </w:rPr>
              <w:t>Segment</w:t>
            </w:r>
          </w:p>
        </w:tc>
        <w:tc>
          <w:tcPr>
            <w:tcW w:type="dxa" w:w="1008"/>
            <w:shd w:val="clear" w:color="auto" w:fill="233884"/>
            <w:vAlign w:val="center"/>
          </w:tcPr>
          <w:p>
            <w:pPr>
              <w:pStyle w:val="Cell"/>
            </w:pPr>
            <w:r>
              <w:rPr>
                <w:b/>
                <w:color w:val="FFFFFF"/>
              </w:rPr>
              <w:t>45 min</w:t>
            </w:r>
          </w:p>
        </w:tc>
        <w:tc>
          <w:tcPr>
            <w:tcW w:type="dxa" w:w="1008"/>
            <w:shd w:val="clear" w:color="auto" w:fill="233884"/>
            <w:vAlign w:val="center"/>
          </w:tcPr>
          <w:p>
            <w:pPr>
              <w:pStyle w:val="Cell"/>
            </w:pPr>
            <w:r>
              <w:rPr>
                <w:b/>
                <w:color w:val="FFFFFF"/>
              </w:rPr>
              <w:t>60 min</w:t>
            </w:r>
          </w:p>
        </w:tc>
        <w:tc>
          <w:tcPr>
            <w:tcW w:type="dxa" w:w="3600"/>
            <w:shd w:val="clear" w:color="auto" w:fill="233884"/>
            <w:vAlign w:val="center"/>
          </w:tcPr>
          <w:p>
            <w:pPr>
              <w:pStyle w:val="Cell"/>
            </w:pPr>
            <w:r>
              <w:rPr>
                <w:b/>
                <w:color w:val="FFFFFF"/>
              </w:rPr>
              <w:t>Notes</w:t>
            </w:r>
          </w:p>
        </w:tc>
      </w:tr>
      <w:tr>
        <w:trPr>
          <w:trHeight w:val="432" w:hRule="atLeast"/>
        </w:trPr>
        <w:tc>
          <w:tcPr>
            <w:tcW w:type="dxa" w:w="4608"/>
          </w:tcPr>
          <w:p>
            <w:pPr>
              <w:pStyle w:val="Cell"/>
            </w:pPr>
            <w:r>
              <w:t>Welcome, purpose, ground rules, assign roles</w:t>
            </w:r>
          </w:p>
        </w:tc>
        <w:tc>
          <w:tcPr>
            <w:tcW w:type="dxa" w:w="1008"/>
          </w:tcPr>
          <w:p>
            <w:pPr>
              <w:pStyle w:val="Cell"/>
              <w:jc w:val="center"/>
            </w:pPr>
            <w:r>
              <w:t>5</w:t>
            </w:r>
          </w:p>
        </w:tc>
        <w:tc>
          <w:tcPr>
            <w:tcW w:type="dxa" w:w="1008"/>
          </w:tcPr>
          <w:p>
            <w:pPr>
              <w:pStyle w:val="Cell"/>
              <w:jc w:val="center"/>
            </w:pPr>
            <w:r>
              <w:t>5</w:t>
            </w:r>
          </w:p>
        </w:tc>
        <w:tc>
          <w:tcPr>
            <w:tcW w:type="dxa" w:w="3600"/>
          </w:tcPr>
          <w:p>
            <w:pPr>
              <w:pStyle w:val="Cell"/>
            </w:pPr>
            <w:r>
              <w:rPr>
                <w:color w:val="5A6B7B"/>
                <w:sz w:val="17"/>
              </w:rPr>
              <w:t>No trick answers: choose what you'd want your organization to do.</w:t>
            </w:r>
          </w:p>
        </w:tc>
      </w:tr>
      <w:tr>
        <w:trPr>
          <w:trHeight w:val="432" w:hRule="atLeast"/>
        </w:trPr>
        <w:tc>
          <w:tcPr>
            <w:tcW w:type="dxa" w:w="4608"/>
          </w:tcPr>
          <w:p>
            <w:pPr>
              <w:pStyle w:val="Cell"/>
            </w:pPr>
            <w:r>
              <w:t>Read the scenario summary; questions</w:t>
            </w:r>
          </w:p>
        </w:tc>
        <w:tc>
          <w:tcPr>
            <w:tcW w:type="dxa" w:w="1008"/>
          </w:tcPr>
          <w:p>
            <w:pPr>
              <w:pStyle w:val="Cell"/>
              <w:jc w:val="center"/>
            </w:pPr>
            <w:r>
              <w:t>3</w:t>
            </w:r>
          </w:p>
        </w:tc>
        <w:tc>
          <w:tcPr>
            <w:tcW w:type="dxa" w:w="1008"/>
          </w:tcPr>
          <w:p>
            <w:pPr>
              <w:pStyle w:val="Cell"/>
              <w:jc w:val="center"/>
            </w:pPr>
            <w:r>
              <w:t>5</w:t>
            </w:r>
          </w:p>
        </w:tc>
        <w:tc>
          <w:tcPr>
            <w:tcW w:type="dxa" w:w="3600"/>
          </w:tcPr>
          <w:p>
            <w:pPr>
              <w:pStyle w:val="Cell"/>
            </w:pPr>
            <w:r>
              <w:rPr>
                <w:color w:val="5A6B7B"/>
                <w:sz w:val="17"/>
              </w:rPr>
              <w:t>Show the summary on screen or read it aloud.</w:t>
            </w:r>
          </w:p>
        </w:tc>
      </w:tr>
      <w:tr>
        <w:trPr>
          <w:trHeight w:val="432" w:hRule="atLeast"/>
        </w:trPr>
        <w:tc>
          <w:tcPr>
            <w:tcW w:type="dxa" w:w="4608"/>
          </w:tcPr>
          <w:p>
            <w:pPr>
              <w:pStyle w:val="Cell"/>
            </w:pPr>
            <w:r>
              <w:t>Inject 1: An email to customer support (Day 0 · 09:10)</w:t>
            </w:r>
          </w:p>
        </w:tc>
        <w:tc>
          <w:tcPr>
            <w:tcW w:type="dxa" w:w="1008"/>
          </w:tcPr>
          <w:p>
            <w:pPr>
              <w:pStyle w:val="Cell"/>
              <w:jc w:val="center"/>
            </w:pPr>
            <w:r>
              <w:t>6</w:t>
            </w:r>
          </w:p>
        </w:tc>
        <w:tc>
          <w:tcPr>
            <w:tcW w:type="dxa" w:w="1008"/>
          </w:tcPr>
          <w:p>
            <w:pPr>
              <w:pStyle w:val="Cell"/>
              <w:jc w:val="center"/>
            </w:pPr>
            <w:r>
              <w:t>8</w:t>
            </w:r>
          </w:p>
        </w:tc>
        <w:tc>
          <w:tcPr>
            <w:tcW w:type="dxa" w:w="3600"/>
          </w:tcPr>
          <w:p>
            <w:pPr>
              <w:pStyle w:val="Cell"/>
            </w:pPr>
            <w:r>
              <w:rPr>
                <w:color w:val="5A6B7B"/>
                <w:sz w:val="17"/>
              </w:rPr>
              <w:t>Release, decide, reveal, debrief.</w:t>
            </w:r>
          </w:p>
        </w:tc>
      </w:tr>
      <w:tr>
        <w:trPr>
          <w:trHeight w:val="432" w:hRule="atLeast"/>
        </w:trPr>
        <w:tc>
          <w:tcPr>
            <w:tcW w:type="dxa" w:w="4608"/>
          </w:tcPr>
          <w:p>
            <w:pPr>
              <w:pStyle w:val="Cell"/>
            </w:pPr>
            <w:r>
              <w:t>Inject 2: Engineering confirms it (Day 3 · 14:00)</w:t>
            </w:r>
          </w:p>
        </w:tc>
        <w:tc>
          <w:tcPr>
            <w:tcW w:type="dxa" w:w="1008"/>
          </w:tcPr>
          <w:p>
            <w:pPr>
              <w:pStyle w:val="Cell"/>
              <w:jc w:val="center"/>
            </w:pPr>
            <w:r>
              <w:t>6</w:t>
            </w:r>
          </w:p>
        </w:tc>
        <w:tc>
          <w:tcPr>
            <w:tcW w:type="dxa" w:w="1008"/>
          </w:tcPr>
          <w:p>
            <w:pPr>
              <w:pStyle w:val="Cell"/>
              <w:jc w:val="center"/>
            </w:pPr>
            <w:r>
              <w:t>8</w:t>
            </w:r>
          </w:p>
        </w:tc>
        <w:tc>
          <w:tcPr>
            <w:tcW w:type="dxa" w:w="3600"/>
          </w:tcPr>
          <w:p>
            <w:pPr>
              <w:pStyle w:val="Cell"/>
            </w:pPr>
          </w:p>
        </w:tc>
      </w:tr>
      <w:tr>
        <w:trPr>
          <w:trHeight w:val="432" w:hRule="atLeast"/>
        </w:trPr>
        <w:tc>
          <w:tcPr>
            <w:tcW w:type="dxa" w:w="4608"/>
          </w:tcPr>
          <w:p>
            <w:pPr>
              <w:pStyle w:val="Cell"/>
            </w:pPr>
            <w:r>
              <w:t>Inject 3: Customers need to know (Day 6 · 10:30)</w:t>
            </w:r>
          </w:p>
        </w:tc>
        <w:tc>
          <w:tcPr>
            <w:tcW w:type="dxa" w:w="1008"/>
          </w:tcPr>
          <w:p>
            <w:pPr>
              <w:pStyle w:val="Cell"/>
              <w:jc w:val="center"/>
            </w:pPr>
            <w:r>
              <w:t>6</w:t>
            </w:r>
          </w:p>
        </w:tc>
        <w:tc>
          <w:tcPr>
            <w:tcW w:type="dxa" w:w="1008"/>
          </w:tcPr>
          <w:p>
            <w:pPr>
              <w:pStyle w:val="Cell"/>
              <w:jc w:val="center"/>
            </w:pPr>
            <w:r>
              <w:t>8</w:t>
            </w:r>
          </w:p>
        </w:tc>
        <w:tc>
          <w:tcPr>
            <w:tcW w:type="dxa" w:w="3600"/>
          </w:tcPr>
          <w:p>
            <w:pPr>
              <w:pStyle w:val="Cell"/>
            </w:pPr>
          </w:p>
        </w:tc>
      </w:tr>
      <w:tr>
        <w:trPr>
          <w:trHeight w:val="432" w:hRule="atLeast"/>
        </w:trPr>
        <w:tc>
          <w:tcPr>
            <w:tcW w:type="dxa" w:w="4608"/>
          </w:tcPr>
          <w:p>
            <w:pPr>
              <w:pStyle w:val="Cell"/>
            </w:pPr>
            <w:r>
              <w:t>Inject 4: The fix is ready, almost (Day 21 · 16:00)</w:t>
            </w:r>
          </w:p>
        </w:tc>
        <w:tc>
          <w:tcPr>
            <w:tcW w:type="dxa" w:w="1008"/>
          </w:tcPr>
          <w:p>
            <w:pPr>
              <w:pStyle w:val="Cell"/>
              <w:jc w:val="center"/>
            </w:pPr>
            <w:r>
              <w:t>6</w:t>
            </w:r>
          </w:p>
        </w:tc>
        <w:tc>
          <w:tcPr>
            <w:tcW w:type="dxa" w:w="1008"/>
          </w:tcPr>
          <w:p>
            <w:pPr>
              <w:pStyle w:val="Cell"/>
              <w:jc w:val="center"/>
            </w:pPr>
            <w:r>
              <w:t>8</w:t>
            </w:r>
          </w:p>
        </w:tc>
        <w:tc>
          <w:tcPr>
            <w:tcW w:type="dxa" w:w="3600"/>
          </w:tcPr>
          <w:p>
            <w:pPr>
              <w:pStyle w:val="Cell"/>
            </w:pPr>
          </w:p>
        </w:tc>
      </w:tr>
      <w:tr>
        <w:trPr>
          <w:trHeight w:val="432" w:hRule="atLeast"/>
        </w:trPr>
        <w:tc>
          <w:tcPr>
            <w:tcW w:type="dxa" w:w="4608"/>
          </w:tcPr>
          <w:p>
            <w:pPr>
              <w:pStyle w:val="Cell"/>
            </w:pPr>
            <w:r>
              <w:t>Inject 5: Release day (Day 30 · 09:00)</w:t>
            </w:r>
          </w:p>
        </w:tc>
        <w:tc>
          <w:tcPr>
            <w:tcW w:type="dxa" w:w="1008"/>
          </w:tcPr>
          <w:p>
            <w:pPr>
              <w:pStyle w:val="Cell"/>
              <w:jc w:val="center"/>
            </w:pPr>
            <w:r>
              <w:t>6</w:t>
            </w:r>
          </w:p>
        </w:tc>
        <w:tc>
          <w:tcPr>
            <w:tcW w:type="dxa" w:w="1008"/>
          </w:tcPr>
          <w:p>
            <w:pPr>
              <w:pStyle w:val="Cell"/>
              <w:jc w:val="center"/>
            </w:pPr>
            <w:r>
              <w:t>8</w:t>
            </w:r>
          </w:p>
        </w:tc>
        <w:tc>
          <w:tcPr>
            <w:tcW w:type="dxa" w:w="3600"/>
          </w:tcPr>
          <w:p>
            <w:pPr>
              <w:pStyle w:val="Cell"/>
            </w:pPr>
          </w:p>
        </w:tc>
      </w:tr>
      <w:tr>
        <w:trPr>
          <w:trHeight w:val="432" w:hRule="atLeast"/>
        </w:trPr>
        <w:tc>
          <w:tcPr>
            <w:tcW w:type="dxa" w:w="4608"/>
          </w:tcPr>
          <w:p>
            <w:pPr>
              <w:pStyle w:val="Cell"/>
            </w:pPr>
            <w:r>
              <w:t>Final debrief and after-action review</w:t>
            </w:r>
          </w:p>
        </w:tc>
        <w:tc>
          <w:tcPr>
            <w:tcW w:type="dxa" w:w="1008"/>
          </w:tcPr>
          <w:p>
            <w:pPr>
              <w:pStyle w:val="Cell"/>
              <w:jc w:val="center"/>
            </w:pPr>
            <w:r>
              <w:t>7</w:t>
            </w:r>
          </w:p>
        </w:tc>
        <w:tc>
          <w:tcPr>
            <w:tcW w:type="dxa" w:w="1008"/>
          </w:tcPr>
          <w:p>
            <w:pPr>
              <w:pStyle w:val="Cell"/>
              <w:jc w:val="center"/>
            </w:pPr>
            <w:r>
              <w:t>10</w:t>
            </w:r>
          </w:p>
        </w:tc>
        <w:tc>
          <w:tcPr>
            <w:tcW w:type="dxa" w:w="3600"/>
          </w:tcPr>
          <w:p>
            <w:pPr>
              <w:pStyle w:val="Cell"/>
            </w:pPr>
            <w:r>
              <w:rPr>
                <w:color w:val="5A6B7B"/>
                <w:sz w:val="17"/>
              </w:rPr>
              <w:t>Fill in the after-action review together.</w:t>
            </w:r>
          </w:p>
        </w:tc>
      </w:tr>
      <w:tr>
        <w:trPr>
          <w:trHeight w:val="432" w:hRule="atLeast"/>
        </w:trPr>
        <w:tc>
          <w:tcPr>
            <w:tcW w:type="dxa" w:w="4608"/>
            <w:shd w:val="clear" w:color="auto" w:fill="F3EAF6"/>
          </w:tcPr>
          <w:p>
            <w:pPr>
              <w:pStyle w:val="Cell"/>
            </w:pPr>
            <w:r>
              <w:rPr>
                <w:b/>
                <w:color w:val="233884"/>
              </w:rPr>
              <w:t>Total</w:t>
            </w:r>
          </w:p>
        </w:tc>
        <w:tc>
          <w:tcPr>
            <w:tcW w:type="dxa" w:w="1008"/>
            <w:shd w:val="clear" w:color="auto" w:fill="F3EAF6"/>
          </w:tcPr>
          <w:p>
            <w:pPr>
              <w:pStyle w:val="Cell"/>
              <w:jc w:val="center"/>
            </w:pPr>
            <w:r>
              <w:rPr>
                <w:b/>
                <w:color w:val="233884"/>
              </w:rPr>
              <w:t>45</w:t>
            </w:r>
          </w:p>
        </w:tc>
        <w:tc>
          <w:tcPr>
            <w:tcW w:type="dxa" w:w="1008"/>
            <w:shd w:val="clear" w:color="auto" w:fill="F3EAF6"/>
          </w:tcPr>
          <w:p>
            <w:pPr>
              <w:pStyle w:val="Cell"/>
              <w:jc w:val="center"/>
            </w:pPr>
            <w:r>
              <w:rPr>
                <w:b/>
                <w:color w:val="233884"/>
              </w:rPr>
              <w:t>60</w:t>
            </w:r>
          </w:p>
        </w:tc>
        <w:tc>
          <w:tcPr>
            <w:tcW w:type="dxa" w:w="3600"/>
            <w:shd w:val="clear" w:color="auto" w:fill="F3EAF6"/>
          </w:tcPr>
          <w:p>
            <w:pPr>
              <w:pStyle w:val="Cell"/>
            </w:pPr>
          </w:p>
        </w:tc>
      </w:tr>
    </w:tbl>
    <w:p>
      <w:pPr>
        <w:pStyle w:val="Heading1"/>
      </w:pPr>
      <w:r>
        <w:t>Setup: choose a format</w:t>
      </w:r>
    </w:p>
    <w:tbl>
      <w:tblPr>
        <w:tblW w:type="dxa" w:w="10224"/>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50" w:type="dxa"/>
          <w:left w:w="90" w:type="dxa"/>
          <w:bottom w:w="50" w:type="dxa"/>
          <w:right w:w="90" w:type="dxa"/>
        </w:tblCellMar>
        <w:tblLook w:firstColumn="1" w:firstRow="1" w:lastColumn="0" w:lastRow="0" w:noHBand="0" w:noVBand="1" w:val="04A0"/>
      </w:tblPr>
      <w:tblGrid>
        <w:gridCol w:w="2520"/>
        <w:gridCol w:w="7703"/>
      </w:tblGrid>
      <w:tr>
        <w:trPr>
          <w:cantSplit w:val="true"/>
        </w:trPr>
        <w:tc>
          <w:tcPr>
            <w:tcW w:type="dxa" w:w="2520"/>
            <w:shd w:val="clear" w:color="auto" w:fill="F3EAF6"/>
            <w:vAlign w:val="center"/>
          </w:tcPr>
          <w:p>
            <w:pPr>
              <w:pStyle w:val="Cell"/>
            </w:pPr>
            <w:r>
              <w:rPr>
                <w:b/>
                <w:color w:val="233884"/>
              </w:rPr>
              <w:t>Online, one room</w:t>
            </w:r>
          </w:p>
        </w:tc>
        <w:tc>
          <w:tcPr>
            <w:tcW w:type="dxa" w:w="7704"/>
          </w:tcPr>
          <w:p>
            <w:pPr>
              <w:pStyle w:val="Cell"/>
            </w:pPr>
            <w:r>
              <w:rPr>
                <w:b w:val="0"/>
                <w:i w:val="0"/>
              </w:rPr>
              <w:t>Share the inject on screen and read it aloud. Teams vote in chat (a letter per option) or one person per role speaks. Works for up to about 15 people; quieter people may need inviting in.</w:t>
            </w:r>
          </w:p>
        </w:tc>
      </w:tr>
      <w:tr>
        <w:trPr>
          <w:cantSplit w:val="true"/>
        </w:trPr>
        <w:tc>
          <w:tcPr>
            <w:tcW w:type="dxa" w:w="2520"/>
            <w:shd w:val="clear" w:color="auto" w:fill="F3EAF6"/>
            <w:vAlign w:val="center"/>
          </w:tcPr>
          <w:p>
            <w:pPr>
              <w:pStyle w:val="Cell"/>
            </w:pPr>
            <w:r>
              <w:rPr>
                <w:b/>
                <w:color w:val="233884"/>
              </w:rPr>
              <w:t>Online with breakouts</w:t>
            </w:r>
          </w:p>
        </w:tc>
        <w:tc>
          <w:tcPr>
            <w:tcW w:type="dxa" w:w="7704"/>
          </w:tcPr>
          <w:p>
            <w:pPr>
              <w:pStyle w:val="Cell"/>
            </w:pPr>
            <w:r>
              <w:rPr>
                <w:b w:val="0"/>
                <w:i w:val="0"/>
              </w:rPr>
              <w:t>Teams of three to five in breakout rooms, each with a note-taker. Paste or read each inject, give a time check a minute before closing, then bring teams back to compare choices before the reveal.</w:t>
            </w:r>
          </w:p>
        </w:tc>
      </w:tr>
      <w:tr>
        <w:trPr>
          <w:cantSplit w:val="true"/>
        </w:trPr>
        <w:tc>
          <w:tcPr>
            <w:tcW w:type="dxa" w:w="2520"/>
            <w:shd w:val="clear" w:color="auto" w:fill="F3EAF6"/>
            <w:vAlign w:val="center"/>
          </w:tcPr>
          <w:p>
            <w:pPr>
              <w:pStyle w:val="Cell"/>
            </w:pPr>
            <w:r>
              <w:rPr>
                <w:b/>
                <w:color w:val="233884"/>
              </w:rPr>
              <w:t>In person</w:t>
            </w:r>
          </w:p>
        </w:tc>
        <w:tc>
          <w:tcPr>
            <w:tcW w:type="dxa" w:w="7704"/>
          </w:tcPr>
          <w:p>
            <w:pPr>
              <w:pStyle w:val="Cell"/>
            </w:pPr>
            <w:r>
              <w:rPr>
                <w:b w:val="0"/>
                <w:i w:val="0"/>
              </w:rPr>
              <w:t>Read each inject aloud or show it on a screen. Print this kit for the facilitator only: the option tables show quality and consequences. Teams write choices on the decision log page.</w:t>
            </w:r>
          </w:p>
        </w:tc>
      </w:tr>
    </w:tbl>
    <w:p>
      <w:pPr>
        <w:pStyle w:val="Heading2"/>
      </w:pPr>
      <w:r>
        <w:t>Before the session</w:t>
      </w:r>
    </w:p>
    <w:p>
      <w:pPr>
        <w:pStyle w:val="Cell"/>
        <w:spacing w:after="60"/>
        <w:ind w:left="360" w:hanging="360"/>
      </w:pPr>
      <w:sdt>
        <w:sdtPr>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sz w:val="19"/>
        </w:rPr>
        <w:t xml:space="preserve">  Pick the format and the 45 or 60 minute plan; book a note-taker for each team.</w:t>
      </w:r>
    </w:p>
    <w:p>
      <w:pPr>
        <w:pStyle w:val="Cell"/>
        <w:spacing w:after="60"/>
        <w:ind w:left="360" w:hanging="360"/>
      </w:pPr>
      <w:sdt>
        <w:sdtPr>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sz w:val="19"/>
        </w:rPr>
        <w:t xml:space="preserve">  Send the scenario summary (next page) with the invite, but not the injects.</w:t>
      </w:r>
    </w:p>
    <w:p>
      <w:pPr>
        <w:pStyle w:val="Cell"/>
        <w:spacing w:after="60"/>
        <w:ind w:left="360" w:hanging="360"/>
      </w:pPr>
      <w:sdt>
        <w:sdtPr>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sz w:val="19"/>
        </w:rPr>
        <w:t xml:space="preserve">  Find out how your own organization receives vulnerability reports (a disclosure policy page, a security contact, the PSIRT) so you can point to it in the debrief.</w:t>
      </w:r>
    </w:p>
    <w:p>
      <w:pPr>
        <w:pStyle w:val="Cell"/>
        <w:spacing w:after="60"/>
        <w:ind w:left="360" w:hanging="360"/>
      </w:pPr>
      <w:sdt>
        <w:sdtPr>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sz w:val="19"/>
        </w:rPr>
        <w:t xml:space="preserve">  Ask your regulatory team which reporting questions they'd like the group to discuss; don't improvise regulatory answers.</w:t>
      </w:r>
    </w:p>
    <w:p>
      <w:pPr>
        <w:pStyle w:val="Cell"/>
        <w:spacing w:after="60"/>
        <w:ind w:left="360" w:hanging="360"/>
      </w:pPr>
      <w:sdt>
        <w:sdtPr>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sz w:val="19"/>
        </w:rPr>
        <w:t xml:space="preserve">  Prepare a timer, and copies of the decision log and after-action review pages.</w:t>
      </w:r>
    </w:p>
    <w:p>
      <w:pPr>
        <w:pStyle w:val="Heading1Page"/>
      </w:pPr>
      <w:r>
        <w:t>The scenario: A researcher finds a flaw in FlowGuard</w:t>
      </w:r>
    </w:p>
    <w:p>
      <w:pPr>
        <w:pStyle w:val="Hint"/>
      </w:pPr>
      <w:r>
        <w:t>Read aloud or show on screen at the start. Teams may see this page.</w:t>
      </w:r>
    </w:p>
    <w:p>
      <w:pPr>
        <w:pBdr>
          <w:left w:val="single" w:sz="24" w:space="6" w:color="1999B2"/>
        </w:pBdr>
        <w:shd w:val="clear" w:color="auto" w:fill="E7F4F7"/>
        <w:spacing w:before="0" w:after="100"/>
        <w:ind w:left="115"/>
      </w:pPr>
      <w:r>
        <w:rPr>
          <w:sz w:val="21"/>
        </w:rPr>
        <w:t>FlowGuard is a fleet of large-volume infusion pumps on hospital Wi-Fi, with a drug-library server and EHR integration. Several hundred hospitals use it. Version 4.2 shipped eight months ago.</w:t>
      </w:r>
    </w:p>
    <w:p>
      <w:pPr>
        <w:pBdr>
          <w:left w:val="single" w:sz="24" w:space="6" w:color="1999B2"/>
        </w:pBdr>
        <w:shd w:val="clear" w:color="auto" w:fill="E7F4F7"/>
        <w:spacing w:before="0" w:after="100"/>
        <w:ind w:left="115"/>
      </w:pPr>
      <w:r>
        <w:rPr>
          <w:sz w:val="21"/>
        </w:rPr>
        <w:t>Today, a message arrives that will test your product security program. You'll get five updates over about 30 days of story time. For each one, your team chooses what to do and writes a one-line reason. There is no trick: choose what you would actually want your organization to do.</w:t>
      </w:r>
    </w:p>
    <w:p>
      <w:pPr>
        <w:pBdr>
          <w:left w:val="single" w:sz="24" w:space="6" w:color="1999B2"/>
        </w:pBdr>
        <w:shd w:val="clear" w:color="auto" w:fill="E7F4F7"/>
        <w:spacing w:before="0" w:after="0"/>
        <w:ind w:left="115"/>
      </w:pPr>
      <w:r>
        <w:rPr>
          <w:sz w:val="21"/>
        </w:rPr>
        <w:t>All companies, devices and people in this scenario are fictional.</w:t>
      </w:r>
    </w:p>
    <w:p>
      <w:pPr>
        <w:spacing w:after="0" w:line="120" w:lineRule="exact"/>
      </w:pPr>
    </w:p>
    <w:p>
      <w:pPr>
        <w:pStyle w:val="Heading2"/>
      </w:pPr>
      <w:r>
        <w:t>Roles</w:t>
      </w:r>
    </w:p>
    <w:p>
      <w:r>
        <w:t>Ask each team member to speak for a role: product owner, engineering, product security, quality and regulatory, and customer-facing (service or sales). If your team is small, combine roles.</w:t>
      </w:r>
    </w:p>
    <w:p>
      <w:pPr>
        <w:pStyle w:val="Heading2"/>
      </w:pPr>
      <w:r>
        <w:t>How each inject runs</w:t>
      </w:r>
    </w:p>
    <w:p>
      <w:pPr>
        <w:ind w:left="360" w:hanging="360"/>
      </w:pPr>
      <w:r>
        <w:rPr>
          <w:b/>
          <w:color w:val="7E44A9"/>
        </w:rPr>
        <w:t xml:space="preserve">1.  </w:t>
      </w:r>
      <w:r>
        <w:t>Read the inject aloud: the clock, the narrative and the question.</w:t>
      </w:r>
    </w:p>
    <w:p>
      <w:pPr>
        <w:ind w:left="360" w:hanging="360"/>
      </w:pPr>
      <w:r>
        <w:rPr>
          <w:b/>
          <w:color w:val="7E44A9"/>
        </w:rPr>
        <w:t xml:space="preserve">2.  </w:t>
      </w:r>
      <w:r>
        <w:t>Teams discuss in role and choose one option. The note-taker writes the choice and a one-line reason in the decision log.</w:t>
      </w:r>
    </w:p>
    <w:p>
      <w:pPr>
        <w:ind w:left="360" w:hanging="360"/>
      </w:pPr>
      <w:r>
        <w:rPr>
          <w:b/>
          <w:color w:val="7E44A9"/>
        </w:rPr>
        <w:t xml:space="preserve">3.  </w:t>
      </w:r>
      <w:r>
        <w:t>Compare choices across teams before revealing anything.</w:t>
      </w:r>
    </w:p>
    <w:p>
      <w:pPr>
        <w:ind w:left="360" w:hanging="360"/>
      </w:pPr>
      <w:r>
        <w:rPr>
          <w:b/>
          <w:color w:val="7E44A9"/>
        </w:rPr>
        <w:t xml:space="preserve">4.  </w:t>
      </w:r>
      <w:r>
        <w:t>Reveal the quality of each option and read the consequence of the options teams chose.</w:t>
      </w:r>
    </w:p>
    <w:p>
      <w:pPr>
        <w:ind w:left="360" w:hanging="360"/>
      </w:pPr>
      <w:r>
        <w:rPr>
          <w:b/>
          <w:color w:val="7E44A9"/>
        </w:rPr>
        <w:t xml:space="preserve">5.  </w:t>
      </w:r>
      <w:r>
        <w:t>Ask one or two debrief questions, then move the clock forward.</w:t>
      </w:r>
    </w:p>
    <w:p>
      <w:pPr>
        <w:pStyle w:val="Heading2"/>
      </w:pPr>
      <w:r>
        <w:t>Injects at a glance</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503"/>
        <w:gridCol w:w="1655"/>
        <w:gridCol w:w="3456"/>
        <w:gridCol w:w="4608"/>
      </w:tblGrid>
      <w:tr>
        <w:trPr>
          <w:tblHeader w:val="true"/>
        </w:trPr>
        <w:tc>
          <w:tcPr>
            <w:tcW w:type="dxa" w:w="504"/>
            <w:shd w:val="clear" w:color="auto" w:fill="233884"/>
            <w:vAlign w:val="center"/>
          </w:tcPr>
          <w:p>
            <w:pPr>
              <w:pStyle w:val="Cell"/>
            </w:pPr>
            <w:r>
              <w:rPr>
                <w:b/>
                <w:color w:val="FFFFFF"/>
              </w:rPr>
              <w:t>#</w:t>
            </w:r>
          </w:p>
        </w:tc>
        <w:tc>
          <w:tcPr>
            <w:tcW w:type="dxa" w:w="1656"/>
            <w:shd w:val="clear" w:color="auto" w:fill="233884"/>
            <w:vAlign w:val="center"/>
          </w:tcPr>
          <w:p>
            <w:pPr>
              <w:pStyle w:val="Cell"/>
            </w:pPr>
            <w:r>
              <w:rPr>
                <w:b/>
                <w:color w:val="FFFFFF"/>
              </w:rPr>
              <w:t>Clock</w:t>
            </w:r>
          </w:p>
        </w:tc>
        <w:tc>
          <w:tcPr>
            <w:tcW w:type="dxa" w:w="3456"/>
            <w:shd w:val="clear" w:color="auto" w:fill="233884"/>
            <w:vAlign w:val="center"/>
          </w:tcPr>
          <w:p>
            <w:pPr>
              <w:pStyle w:val="Cell"/>
            </w:pPr>
            <w:r>
              <w:rPr>
                <w:b/>
                <w:color w:val="FFFFFF"/>
              </w:rPr>
              <w:t>Inject</w:t>
            </w:r>
          </w:p>
        </w:tc>
        <w:tc>
          <w:tcPr>
            <w:tcW w:type="dxa" w:w="4608"/>
            <w:shd w:val="clear" w:color="auto" w:fill="233884"/>
            <w:vAlign w:val="center"/>
          </w:tcPr>
          <w:p>
            <w:pPr>
              <w:pStyle w:val="Cell"/>
            </w:pPr>
            <w:r>
              <w:rPr>
                <w:b/>
                <w:color w:val="FFFFFF"/>
              </w:rPr>
              <w:t>Question</w:t>
            </w:r>
          </w:p>
        </w:tc>
      </w:tr>
      <w:tr>
        <w:trPr>
          <w:trHeight w:val="403" w:hRule="atLeast"/>
        </w:trPr>
        <w:tc>
          <w:tcPr>
            <w:tcW w:type="dxa" w:w="504"/>
          </w:tcPr>
          <w:p>
            <w:pPr>
              <w:pStyle w:val="Cell"/>
            </w:pPr>
            <w:r>
              <w:t>1</w:t>
            </w:r>
          </w:p>
        </w:tc>
        <w:tc>
          <w:tcPr>
            <w:tcW w:type="dxa" w:w="1656"/>
          </w:tcPr>
          <w:p>
            <w:pPr>
              <w:pStyle w:val="Cell"/>
            </w:pPr>
            <w:r>
              <w:t>Day 0 · 09:10</w:t>
            </w:r>
          </w:p>
        </w:tc>
        <w:tc>
          <w:tcPr>
            <w:tcW w:type="dxa" w:w="3456"/>
          </w:tcPr>
          <w:p>
            <w:pPr>
              <w:pStyle w:val="Cell"/>
            </w:pPr>
            <w:r>
              <w:t>An email to customer support</w:t>
            </w:r>
          </w:p>
        </w:tc>
        <w:tc>
          <w:tcPr>
            <w:tcW w:type="dxa" w:w="4608"/>
          </w:tcPr>
          <w:p>
            <w:pPr>
              <w:pStyle w:val="Cell"/>
            </w:pPr>
            <w:r>
              <w:t>What happens first?</w:t>
            </w:r>
          </w:p>
        </w:tc>
      </w:tr>
      <w:tr>
        <w:trPr>
          <w:trHeight w:val="403" w:hRule="atLeast"/>
        </w:trPr>
        <w:tc>
          <w:tcPr>
            <w:tcW w:type="dxa" w:w="504"/>
          </w:tcPr>
          <w:p>
            <w:pPr>
              <w:pStyle w:val="Cell"/>
            </w:pPr>
            <w:r>
              <w:t>2</w:t>
            </w:r>
          </w:p>
        </w:tc>
        <w:tc>
          <w:tcPr>
            <w:tcW w:type="dxa" w:w="1656"/>
          </w:tcPr>
          <w:p>
            <w:pPr>
              <w:pStyle w:val="Cell"/>
            </w:pPr>
            <w:r>
              <w:t>Day 3 · 14:00</w:t>
            </w:r>
          </w:p>
        </w:tc>
        <w:tc>
          <w:tcPr>
            <w:tcW w:type="dxa" w:w="3456"/>
          </w:tcPr>
          <w:p>
            <w:pPr>
              <w:pStyle w:val="Cell"/>
            </w:pPr>
            <w:r>
              <w:t>Engineering confirms it</w:t>
            </w:r>
          </w:p>
        </w:tc>
        <w:tc>
          <w:tcPr>
            <w:tcW w:type="dxa" w:w="4608"/>
          </w:tcPr>
          <w:p>
            <w:pPr>
              <w:pStyle w:val="Cell"/>
            </w:pPr>
            <w:r>
              <w:t>How does the team decide how serious this is?</w:t>
            </w:r>
          </w:p>
        </w:tc>
      </w:tr>
      <w:tr>
        <w:trPr>
          <w:trHeight w:val="403" w:hRule="atLeast"/>
        </w:trPr>
        <w:tc>
          <w:tcPr>
            <w:tcW w:type="dxa" w:w="504"/>
          </w:tcPr>
          <w:p>
            <w:pPr>
              <w:pStyle w:val="Cell"/>
            </w:pPr>
            <w:r>
              <w:t>3</w:t>
            </w:r>
          </w:p>
        </w:tc>
        <w:tc>
          <w:tcPr>
            <w:tcW w:type="dxa" w:w="1656"/>
          </w:tcPr>
          <w:p>
            <w:pPr>
              <w:pStyle w:val="Cell"/>
            </w:pPr>
            <w:r>
              <w:t>Day 6 · 10:30</w:t>
            </w:r>
          </w:p>
        </w:tc>
        <w:tc>
          <w:tcPr>
            <w:tcW w:type="dxa" w:w="3456"/>
          </w:tcPr>
          <w:p>
            <w:pPr>
              <w:pStyle w:val="Cell"/>
            </w:pPr>
            <w:r>
              <w:t>Customers need to know</w:t>
            </w:r>
          </w:p>
        </w:tc>
        <w:tc>
          <w:tcPr>
            <w:tcW w:type="dxa" w:w="4608"/>
          </w:tcPr>
          <w:p>
            <w:pPr>
              <w:pStyle w:val="Cell"/>
            </w:pPr>
            <w:r>
              <w:t>What do you tell customers, and when?</w:t>
            </w:r>
          </w:p>
        </w:tc>
      </w:tr>
      <w:tr>
        <w:trPr>
          <w:trHeight w:val="403" w:hRule="atLeast"/>
        </w:trPr>
        <w:tc>
          <w:tcPr>
            <w:tcW w:type="dxa" w:w="504"/>
          </w:tcPr>
          <w:p>
            <w:pPr>
              <w:pStyle w:val="Cell"/>
            </w:pPr>
            <w:r>
              <w:t>4</w:t>
            </w:r>
          </w:p>
        </w:tc>
        <w:tc>
          <w:tcPr>
            <w:tcW w:type="dxa" w:w="1656"/>
          </w:tcPr>
          <w:p>
            <w:pPr>
              <w:pStyle w:val="Cell"/>
            </w:pPr>
            <w:r>
              <w:t>Day 21 · 16:00</w:t>
            </w:r>
          </w:p>
        </w:tc>
        <w:tc>
          <w:tcPr>
            <w:tcW w:type="dxa" w:w="3456"/>
          </w:tcPr>
          <w:p>
            <w:pPr>
              <w:pStyle w:val="Cell"/>
            </w:pPr>
            <w:r>
              <w:t>The fix is ready, almost</w:t>
            </w:r>
          </w:p>
        </w:tc>
        <w:tc>
          <w:tcPr>
            <w:tcW w:type="dxa" w:w="4608"/>
          </w:tcPr>
          <w:p>
            <w:pPr>
              <w:pStyle w:val="Cell"/>
            </w:pPr>
            <w:r>
              <w:t>What does the team do?</w:t>
            </w:r>
          </w:p>
        </w:tc>
      </w:tr>
      <w:tr>
        <w:trPr>
          <w:trHeight w:val="403" w:hRule="atLeast"/>
        </w:trPr>
        <w:tc>
          <w:tcPr>
            <w:tcW w:type="dxa" w:w="504"/>
          </w:tcPr>
          <w:p>
            <w:pPr>
              <w:pStyle w:val="Cell"/>
            </w:pPr>
            <w:r>
              <w:t>5</w:t>
            </w:r>
          </w:p>
        </w:tc>
        <w:tc>
          <w:tcPr>
            <w:tcW w:type="dxa" w:w="1656"/>
          </w:tcPr>
          <w:p>
            <w:pPr>
              <w:pStyle w:val="Cell"/>
            </w:pPr>
            <w:r>
              <w:t>Day 30 · 09:00</w:t>
            </w:r>
          </w:p>
        </w:tc>
        <w:tc>
          <w:tcPr>
            <w:tcW w:type="dxa" w:w="3456"/>
          </w:tcPr>
          <w:p>
            <w:pPr>
              <w:pStyle w:val="Cell"/>
            </w:pPr>
            <w:r>
              <w:t>Release day</w:t>
            </w:r>
          </w:p>
        </w:tc>
        <w:tc>
          <w:tcPr>
            <w:tcW w:type="dxa" w:w="4608"/>
          </w:tcPr>
          <w:p>
            <w:pPr>
              <w:pStyle w:val="Cell"/>
            </w:pPr>
            <w:r>
              <w:t>What else does the team do now?</w:t>
            </w:r>
          </w:p>
        </w:tc>
      </w:tr>
    </w:tbl>
    <w:p>
      <w:pPr>
        <w:spacing w:after="0" w:line="120" w:lineRule="exact"/>
      </w:pPr>
    </w:p>
    <w:p>
      <w:pPr>
        <w:pBdr>
          <w:left w:val="single" w:sz="24" w:space="6" w:color="1999B2"/>
        </w:pBdr>
        <w:shd w:val="clear" w:color="auto" w:fill="E7F4F7"/>
        <w:spacing w:before="80" w:after="160"/>
        <w:ind w:left="115"/>
      </w:pPr>
      <w:r>
        <w:rPr>
          <w:b/>
          <w:color w:val="7E44A9"/>
          <w:sz w:val="18"/>
        </w:rPr>
        <w:t xml:space="preserve">For the facilitator.  </w:t>
      </w:r>
      <w:r>
        <w:rPr>
          <w:sz w:val="18"/>
        </w:rPr>
        <w:t>Quality labels (Strong, Acceptable, Weak) describe the choice an organization would usually want, not a score. If a team argues well for a different choice, that is a good discussion, not a wrong answer.</w:t>
      </w:r>
    </w:p>
    <w:p>
      <w:pPr>
        <w:pStyle w:val="Heading1Page"/>
      </w:pPr>
      <w:r>
        <w:t>Inject 1 of 5: An email to customer support</w:t>
      </w:r>
    </w:p>
    <w:tbl>
      <w:tblPr>
        <w:tblW w:type="dxa" w:w="10224"/>
        <w:jc w:val="left"/>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30" w:type="dxa"/>
          <w:left w:w="90" w:type="dxa"/>
          <w:bottom w:w="30" w:type="dxa"/>
          <w:right w:w="90" w:type="dxa"/>
        </w:tblCellMar>
        <w:tblLook w:firstColumn="1" w:firstRow="1" w:lastColumn="0" w:lastRow="0" w:noHBand="0" w:noVBand="1" w:val="04A0"/>
      </w:tblPr>
      <w:tblGrid>
        <w:gridCol w:w="2304"/>
        <w:gridCol w:w="7920"/>
      </w:tblGrid>
      <w:tr>
        <w:tc>
          <w:tcPr>
            <w:tcW w:type="dxa" w:w="2304"/>
            <w:shd w:val="clear" w:color="auto" w:fill="9C3396"/>
            <w:vAlign w:val="center"/>
          </w:tcPr>
          <w:p>
            <w:pPr>
              <w:pStyle w:val="Cell"/>
              <w:jc w:val="center"/>
            </w:pPr>
            <w:r>
              <w:rPr>
                <w:b/>
                <w:i w:val="0"/>
                <w:color w:val="FFFFFF"/>
                <w:sz w:val="20"/>
              </w:rPr>
              <w:t>Day 0 · 09:10</w:t>
            </w:r>
          </w:p>
        </w:tc>
        <w:tc>
          <w:tcPr>
            <w:tcW w:type="dxa" w:w="7920"/>
            <w:vAlign w:val="center"/>
          </w:tcPr>
          <w:p>
            <w:pPr>
              <w:pStyle w:val="Cell"/>
            </w:pPr>
            <w:r>
              <w:rPr>
                <w:b w:val="0"/>
                <w:i/>
                <w:color w:val="5A6B7B"/>
                <w:sz w:val="17"/>
              </w:rPr>
              <w:t>Story time. Read the narrative and question aloud.</w:t>
            </w:r>
          </w:p>
        </w:tc>
      </w:tr>
    </w:tbl>
    <w:p>
      <w:pPr>
        <w:spacing w:after="0" w:line="80" w:lineRule="exact"/>
      </w:pPr>
    </w:p>
    <w:p>
      <w:pPr>
        <w:pBdr>
          <w:left w:val="single" w:sz="24" w:space="6" w:color="1999B2"/>
        </w:pBdr>
        <w:shd w:val="clear" w:color="auto" w:fill="E7F4F7"/>
        <w:spacing w:before="0" w:after="100"/>
        <w:ind w:left="115"/>
      </w:pPr>
      <w:r>
        <w:rPr>
          <w:sz w:val="21"/>
        </w:rPr>
        <w:t>A security researcher emails FlowGuard's general support address. They say the pump's maintenance service accepts commands from anyone on the same hospital network segment, without authentication, and that those commands can change pump configuration.</w:t>
      </w:r>
    </w:p>
    <w:p>
      <w:pPr>
        <w:pBdr>
          <w:left w:val="single" w:sz="24" w:space="6" w:color="1999B2"/>
        </w:pBdr>
        <w:shd w:val="clear" w:color="auto" w:fill="E7F4F7"/>
        <w:spacing w:before="0" w:after="0"/>
        <w:ind w:left="115"/>
      </w:pPr>
      <w:r>
        <w:rPr>
          <w:sz w:val="21"/>
        </w:rPr>
        <w:t>They attach a short proof of concept and say they plan to present their research at a conference in 90 days. The support agent who opened the email isn't sure what to do with it.</w:t>
      </w:r>
    </w:p>
    <w:p>
      <w:pPr>
        <w:spacing w:before="160" w:after="120"/>
      </w:pPr>
      <w:r>
        <w:rPr>
          <w:b/>
          <w:color w:val="7E44A9"/>
        </w:rPr>
        <w:t xml:space="preserve">Question for teams:  </w:t>
      </w:r>
      <w:r>
        <w:rPr>
          <w:b/>
          <w:color w:val="233884"/>
          <w:sz w:val="24"/>
        </w:rPr>
        <w:t>What happens first?</w:t>
      </w:r>
    </w:p>
    <w:p>
      <w:pPr>
        <w:keepNext/>
        <w:spacing w:after="60"/>
      </w:pPr>
      <w:r>
        <w:rPr>
          <w:b/>
          <w:color w:val="A12828"/>
          <w:sz w:val="17"/>
        </w:rPr>
        <w:t>FACILITATOR COPY</w:t>
      </w:r>
      <w:r>
        <w:rPr>
          <w:i/>
          <w:color w:val="5A6B7B"/>
          <w:sz w:val="17"/>
        </w:rPr>
        <w:t xml:space="preserve">   Read the option text to teams; don't show quality or consequences until the reveal.</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4104"/>
        <w:gridCol w:w="1296"/>
        <w:gridCol w:w="4824"/>
      </w:tblGrid>
      <w:tr>
        <w:trPr>
          <w:tblHeader w:val="true"/>
        </w:trPr>
        <w:tc>
          <w:tcPr>
            <w:tcW w:type="dxa" w:w="4104"/>
            <w:shd w:val="clear" w:color="auto" w:fill="233884"/>
            <w:vAlign w:val="center"/>
          </w:tcPr>
          <w:p>
            <w:pPr>
              <w:pStyle w:val="Cell"/>
            </w:pPr>
            <w:r>
              <w:rPr>
                <w:b/>
                <w:color w:val="FFFFFF"/>
              </w:rPr>
              <w:t>Option</w:t>
            </w:r>
          </w:p>
        </w:tc>
        <w:tc>
          <w:tcPr>
            <w:tcW w:type="dxa" w:w="1296"/>
            <w:shd w:val="clear" w:color="auto" w:fill="233884"/>
            <w:vAlign w:val="center"/>
          </w:tcPr>
          <w:p>
            <w:pPr>
              <w:pStyle w:val="Cell"/>
            </w:pPr>
            <w:r>
              <w:rPr>
                <w:b/>
                <w:color w:val="FFFFFF"/>
              </w:rPr>
              <w:t>Quality</w:t>
            </w:r>
          </w:p>
        </w:tc>
        <w:tc>
          <w:tcPr>
            <w:tcW w:type="dxa" w:w="4824"/>
            <w:shd w:val="clear" w:color="auto" w:fill="233884"/>
            <w:vAlign w:val="center"/>
          </w:tcPr>
          <w:p>
            <w:pPr>
              <w:pStyle w:val="Cell"/>
            </w:pPr>
            <w:r>
              <w:rPr>
                <w:b/>
                <w:color w:val="FFFFFF"/>
              </w:rPr>
              <w:t>Consequence (after the reveal)</w:t>
            </w:r>
          </w:p>
        </w:tc>
      </w:tr>
      <w:tr>
        <w:trPr>
          <w:cantSplit w:val="true"/>
          <w:trHeight w:val="432" w:hRule="atLeast"/>
        </w:trPr>
        <w:tc>
          <w:tcPr>
            <w:tcW w:type="dxa" w:w="4104"/>
          </w:tcPr>
          <w:p>
            <w:pPr>
              <w:pStyle w:val="Cell"/>
            </w:pPr>
            <w:r>
              <w:rPr>
                <w:b/>
                <w:color w:val="7E44A9"/>
              </w:rPr>
              <w:t xml:space="preserve">A  </w:t>
            </w:r>
            <w:r>
              <w:rPr>
                <w:sz w:val="18"/>
              </w:rPr>
              <w:t>Thank the researcher within a day, route the report into the vulnerability-handling process (the PSIRT), and agree on how you'll stay in touch.</w:t>
            </w:r>
          </w:p>
        </w:tc>
        <w:tc>
          <w:tcPr>
            <w:tcW w:type="dxa" w:w="1296"/>
            <w:shd w:val="clear" w:color="auto" w:fill="E3F1E7"/>
            <w:vAlign w:val="center"/>
          </w:tcPr>
          <w:p>
            <w:pPr>
              <w:pStyle w:val="Cell"/>
              <w:jc w:val="center"/>
            </w:pPr>
            <w:r>
              <w:rPr>
                <w:b/>
                <w:i w:val="0"/>
                <w:color w:val="1E6B3A"/>
              </w:rPr>
              <w:t>Strong</w:t>
            </w:r>
          </w:p>
        </w:tc>
        <w:tc>
          <w:tcPr>
            <w:tcW w:type="dxa" w:w="4824"/>
          </w:tcPr>
          <w:p>
            <w:pPr>
              <w:pStyle w:val="Cell"/>
            </w:pPr>
            <w:r>
              <w:rPr>
                <w:sz w:val="17"/>
              </w:rPr>
              <w:t>The researcher appreciates the quick, human reply and agrees to coordinate disclosure with you. The report is tracked from day one, and the 90-day clock is now a shared plan rather than a threat.</w:t>
            </w:r>
          </w:p>
        </w:tc>
      </w:tr>
      <w:tr>
        <w:trPr>
          <w:cantSplit w:val="true"/>
          <w:trHeight w:val="432" w:hRule="atLeast"/>
        </w:trPr>
        <w:tc>
          <w:tcPr>
            <w:tcW w:type="dxa" w:w="4104"/>
          </w:tcPr>
          <w:p>
            <w:pPr>
              <w:pStyle w:val="Cell"/>
            </w:pPr>
            <w:r>
              <w:rPr>
                <w:b/>
                <w:color w:val="7E44A9"/>
              </w:rPr>
              <w:t xml:space="preserve">B  </w:t>
            </w:r>
            <w:r>
              <w:rPr>
                <w:sz w:val="18"/>
              </w:rPr>
              <w:t>Forward it to engineering and reply once they've confirmed whether the issue is real.</w:t>
            </w:r>
          </w:p>
        </w:tc>
        <w:tc>
          <w:tcPr>
            <w:tcW w:type="dxa" w:w="1296"/>
            <w:shd w:val="clear" w:color="auto" w:fill="FDEBD8"/>
            <w:vAlign w:val="center"/>
          </w:tcPr>
          <w:p>
            <w:pPr>
              <w:pStyle w:val="Cell"/>
              <w:jc w:val="center"/>
            </w:pPr>
            <w:r>
              <w:rPr>
                <w:b/>
                <w:i w:val="0"/>
                <w:color w:val="9A4A0C"/>
              </w:rPr>
              <w:t>Acceptable</w:t>
            </w:r>
          </w:p>
        </w:tc>
        <w:tc>
          <w:tcPr>
            <w:tcW w:type="dxa" w:w="4824"/>
          </w:tcPr>
          <w:p>
            <w:pPr>
              <w:pStyle w:val="Cell"/>
            </w:pPr>
            <w:r>
              <w:rPr>
                <w:sz w:val="17"/>
              </w:rPr>
              <w:t>Engineering starts looking, but nobody replies for two weeks. The researcher emails again, asking whether anyone is reading. You recover, but you've spent goodwill and time.</w:t>
            </w:r>
          </w:p>
        </w:tc>
      </w:tr>
      <w:tr>
        <w:trPr>
          <w:cantSplit w:val="true"/>
          <w:trHeight w:val="432" w:hRule="atLeast"/>
        </w:trPr>
        <w:tc>
          <w:tcPr>
            <w:tcW w:type="dxa" w:w="4104"/>
          </w:tcPr>
          <w:p>
            <w:pPr>
              <w:pStyle w:val="Cell"/>
            </w:pPr>
            <w:r>
              <w:rPr>
                <w:b/>
                <w:color w:val="7E44A9"/>
              </w:rPr>
              <w:t xml:space="preserve">C  </w:t>
            </w:r>
            <w:r>
              <w:rPr>
                <w:sz w:val="18"/>
              </w:rPr>
              <w:t>Ask legal to remind the researcher that reverse engineering breaks the license agreement.</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The researcher stops talking to you and contacts a national coordination center instead. You lose control of the timeline and look defensive in public.</w:t>
            </w:r>
          </w:p>
        </w:tc>
      </w:tr>
      <w:tr>
        <w:trPr>
          <w:cantSplit w:val="true"/>
          <w:trHeight w:val="432" w:hRule="atLeast"/>
        </w:trPr>
        <w:tc>
          <w:tcPr>
            <w:tcW w:type="dxa" w:w="4104"/>
          </w:tcPr>
          <w:p>
            <w:pPr>
              <w:pStyle w:val="Cell"/>
            </w:pPr>
            <w:r>
              <w:rPr>
                <w:b/>
                <w:color w:val="7E44A9"/>
              </w:rPr>
              <w:t xml:space="preserve">D  </w:t>
            </w:r>
            <w:r>
              <w:rPr>
                <w:sz w:val="18"/>
              </w:rPr>
              <w:t>Delete it: the support queue gets a lot of spam, and the proof of concept attachment looks risky to open.</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The researcher hears nothing back. Eight weeks later, a colleague of theirs mentions the issue in a public forum, and your customers hear about it before you do.</w:t>
            </w:r>
          </w:p>
        </w:tc>
      </w:tr>
    </w:tbl>
    <w:p>
      <w:pPr>
        <w:pStyle w:val="Heading2"/>
      </w:pPr>
      <w:r>
        <w:t>Debrief questions</w:t>
      </w:r>
    </w:p>
    <w:p>
      <w:pPr>
        <w:pStyle w:val="ListBullet"/>
      </w:pPr>
      <w:r>
        <w:t>Where would this email really land in your organization, and who would see it first?</w:t>
      </w:r>
    </w:p>
    <w:p>
      <w:pPr>
        <w:pStyle w:val="ListBullet"/>
      </w:pPr>
      <w:r>
        <w:t>Do you publish a way to report vulnerabilities (a disclosure policy page or a security contact)?</w:t>
      </w:r>
    </w:p>
    <w:p>
      <w:pPr>
        <w:pStyle w:val="ListBullet"/>
      </w:pPr>
      <w:r>
        <w:t>Why is a fast, respectful acknowledgment worth more than a fast technical answer?</w:t>
      </w:r>
    </w:p>
    <w:p>
      <w:pPr>
        <w:spacing w:after="0" w:line="120" w:lineRule="exact"/>
      </w:pP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5040" w:hRule="exact"/>
        </w:trPr>
        <w:tc>
          <w:tcPr>
            <w:tcW w:type="dxa" w:w="10224"/>
          </w:tcPr>
          <w:p>
            <w:pPr>
              <w:pStyle w:val="Cell"/>
            </w:pPr>
            <w:r>
              <w:rPr>
                <w:b/>
                <w:i w:val="0"/>
                <w:color w:val="233884"/>
              </w:rPr>
              <w:t>Facilitator notes</w:t>
            </w:r>
          </w:p>
          <w:p>
            <w:pPr>
              <w:pStyle w:val="Cell"/>
            </w:pPr>
            <w:r>
              <w:rPr>
                <w:b w:val="0"/>
                <w:i/>
                <w:color w:val="5A6B7B"/>
                <w:sz w:val="16"/>
              </w:rPr>
              <w:t>What teams chose, where they disagreed, and anything to follow up in your own organization.</w:t>
            </w:r>
          </w:p>
        </w:tc>
      </w:tr>
    </w:tbl>
    <w:p>
      <w:pPr>
        <w:pStyle w:val="Heading1Page"/>
      </w:pPr>
      <w:r>
        <w:t>Inject 2 of 5: Engineering confirms it</w:t>
      </w:r>
    </w:p>
    <w:tbl>
      <w:tblPr>
        <w:tblW w:type="dxa" w:w="10224"/>
        <w:jc w:val="left"/>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30" w:type="dxa"/>
          <w:left w:w="90" w:type="dxa"/>
          <w:bottom w:w="30" w:type="dxa"/>
          <w:right w:w="90" w:type="dxa"/>
        </w:tblCellMar>
        <w:tblLook w:firstColumn="1" w:firstRow="1" w:lastColumn="0" w:lastRow="0" w:noHBand="0" w:noVBand="1" w:val="04A0"/>
      </w:tblPr>
      <w:tblGrid>
        <w:gridCol w:w="2304"/>
        <w:gridCol w:w="7920"/>
      </w:tblGrid>
      <w:tr>
        <w:tc>
          <w:tcPr>
            <w:tcW w:type="dxa" w:w="2304"/>
            <w:shd w:val="clear" w:color="auto" w:fill="9C3396"/>
            <w:vAlign w:val="center"/>
          </w:tcPr>
          <w:p>
            <w:pPr>
              <w:pStyle w:val="Cell"/>
              <w:jc w:val="center"/>
            </w:pPr>
            <w:r>
              <w:rPr>
                <w:b/>
                <w:i w:val="0"/>
                <w:color w:val="FFFFFF"/>
                <w:sz w:val="20"/>
              </w:rPr>
              <w:t>Day 3 · 14:00</w:t>
            </w:r>
          </w:p>
        </w:tc>
        <w:tc>
          <w:tcPr>
            <w:tcW w:type="dxa" w:w="7920"/>
            <w:vAlign w:val="center"/>
          </w:tcPr>
          <w:p>
            <w:pPr>
              <w:pStyle w:val="Cell"/>
            </w:pPr>
            <w:r>
              <w:rPr>
                <w:b w:val="0"/>
                <w:i/>
                <w:color w:val="5A6B7B"/>
                <w:sz w:val="17"/>
              </w:rPr>
              <w:t>Story time. Read the narrative and question aloud.</w:t>
            </w:r>
          </w:p>
        </w:tc>
      </w:tr>
    </w:tbl>
    <w:p>
      <w:pPr>
        <w:spacing w:after="0" w:line="80" w:lineRule="exact"/>
      </w:pPr>
    </w:p>
    <w:p>
      <w:pPr>
        <w:pBdr>
          <w:left w:val="single" w:sz="24" w:space="6" w:color="1999B2"/>
        </w:pBdr>
        <w:shd w:val="clear" w:color="auto" w:fill="E7F4F7"/>
        <w:spacing w:before="0" w:after="100"/>
        <w:ind w:left="115"/>
      </w:pPr>
      <w:r>
        <w:rPr>
          <w:sz w:val="21"/>
        </w:rPr>
        <w:t>Engineering reproduces the issue in the lab. Anyone who can reach a pump on the hospital network could change its configuration, including the copy of the drug library on the pump, which holds the dose limits.</w:t>
      </w:r>
    </w:p>
    <w:p>
      <w:pPr>
        <w:pBdr>
          <w:left w:val="single" w:sz="24" w:space="6" w:color="1999B2"/>
        </w:pBdr>
        <w:shd w:val="clear" w:color="auto" w:fill="E7F4F7"/>
        <w:spacing w:before="0" w:after="0"/>
        <w:ind w:left="115"/>
      </w:pPr>
      <w:r>
        <w:rPr>
          <w:sz w:val="21"/>
        </w:rPr>
        <w:t>The attacker would need access to the hospital network; the pumps aren't reachable from the internet. There are no reports of anyone exploiting it.</w:t>
      </w:r>
    </w:p>
    <w:p>
      <w:pPr>
        <w:spacing w:before="160" w:after="120"/>
      </w:pPr>
      <w:r>
        <w:rPr>
          <w:b/>
          <w:color w:val="7E44A9"/>
        </w:rPr>
        <w:t xml:space="preserve">Question for teams:  </w:t>
      </w:r>
      <w:r>
        <w:rPr>
          <w:b/>
          <w:color w:val="233884"/>
          <w:sz w:val="24"/>
        </w:rPr>
        <w:t>How does the team decide how serious this is?</w:t>
      </w:r>
    </w:p>
    <w:p>
      <w:pPr>
        <w:keepNext/>
        <w:spacing w:after="60"/>
      </w:pPr>
      <w:r>
        <w:rPr>
          <w:b/>
          <w:color w:val="A12828"/>
          <w:sz w:val="17"/>
        </w:rPr>
        <w:t>FACILITATOR COPY</w:t>
      </w:r>
      <w:r>
        <w:rPr>
          <w:i/>
          <w:color w:val="5A6B7B"/>
          <w:sz w:val="17"/>
        </w:rPr>
        <w:t xml:space="preserve">   Read the option text to teams; don't show quality or consequences until the reveal.</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4104"/>
        <w:gridCol w:w="1296"/>
        <w:gridCol w:w="4824"/>
      </w:tblGrid>
      <w:tr>
        <w:trPr>
          <w:tblHeader w:val="true"/>
        </w:trPr>
        <w:tc>
          <w:tcPr>
            <w:tcW w:type="dxa" w:w="4104"/>
            <w:shd w:val="clear" w:color="auto" w:fill="233884"/>
            <w:vAlign w:val="center"/>
          </w:tcPr>
          <w:p>
            <w:pPr>
              <w:pStyle w:val="Cell"/>
            </w:pPr>
            <w:r>
              <w:rPr>
                <w:b/>
                <w:color w:val="FFFFFF"/>
              </w:rPr>
              <w:t>Option</w:t>
            </w:r>
          </w:p>
        </w:tc>
        <w:tc>
          <w:tcPr>
            <w:tcW w:type="dxa" w:w="1296"/>
            <w:shd w:val="clear" w:color="auto" w:fill="233884"/>
            <w:vAlign w:val="center"/>
          </w:tcPr>
          <w:p>
            <w:pPr>
              <w:pStyle w:val="Cell"/>
            </w:pPr>
            <w:r>
              <w:rPr>
                <w:b/>
                <w:color w:val="FFFFFF"/>
              </w:rPr>
              <w:t>Quality</w:t>
            </w:r>
          </w:p>
        </w:tc>
        <w:tc>
          <w:tcPr>
            <w:tcW w:type="dxa" w:w="4824"/>
            <w:shd w:val="clear" w:color="auto" w:fill="233884"/>
            <w:vAlign w:val="center"/>
          </w:tcPr>
          <w:p>
            <w:pPr>
              <w:pStyle w:val="Cell"/>
            </w:pPr>
            <w:r>
              <w:rPr>
                <w:b/>
                <w:color w:val="FFFFFF"/>
              </w:rPr>
              <w:t>Consequence (after the reveal)</w:t>
            </w:r>
          </w:p>
        </w:tc>
      </w:tr>
      <w:tr>
        <w:trPr>
          <w:cantSplit w:val="true"/>
          <w:trHeight w:val="432" w:hRule="atLeast"/>
        </w:trPr>
        <w:tc>
          <w:tcPr>
            <w:tcW w:type="dxa" w:w="4104"/>
          </w:tcPr>
          <w:p>
            <w:pPr>
              <w:pStyle w:val="Cell"/>
            </w:pPr>
            <w:r>
              <w:rPr>
                <w:b/>
                <w:color w:val="7E44A9"/>
              </w:rPr>
              <w:t xml:space="preserve">A  </w:t>
            </w:r>
            <w:r>
              <w:rPr>
                <w:sz w:val="18"/>
              </w:rPr>
              <w:t>Product security and the safety risk team assess it together: how exploitable it is, and what harm could result, including to many patients at once.</w:t>
            </w:r>
          </w:p>
        </w:tc>
        <w:tc>
          <w:tcPr>
            <w:tcW w:type="dxa" w:w="1296"/>
            <w:shd w:val="clear" w:color="auto" w:fill="E3F1E7"/>
            <w:vAlign w:val="center"/>
          </w:tcPr>
          <w:p>
            <w:pPr>
              <w:pStyle w:val="Cell"/>
              <w:jc w:val="center"/>
            </w:pPr>
            <w:r>
              <w:rPr>
                <w:b/>
                <w:i w:val="0"/>
                <w:color w:val="1E6B3A"/>
              </w:rPr>
              <w:t>Strong</w:t>
            </w:r>
          </w:p>
        </w:tc>
        <w:tc>
          <w:tcPr>
            <w:tcW w:type="dxa" w:w="4824"/>
          </w:tcPr>
          <w:p>
            <w:pPr>
              <w:pStyle w:val="Cell"/>
            </w:pPr>
            <w:r>
              <w:rPr>
                <w:sz w:val="17"/>
              </w:rPr>
              <w:t>The joint assessment concludes that altered dose limits could lead to serious harm to many patients. Without a fix or compensating controls, the risk to patients is not acceptably controlled. Everyone understands why the next steps are urgent.</w:t>
            </w:r>
          </w:p>
        </w:tc>
      </w:tr>
      <w:tr>
        <w:trPr>
          <w:cantSplit w:val="true"/>
          <w:trHeight w:val="432" w:hRule="atLeast"/>
        </w:trPr>
        <w:tc>
          <w:tcPr>
            <w:tcW w:type="dxa" w:w="4104"/>
          </w:tcPr>
          <w:p>
            <w:pPr>
              <w:pStyle w:val="Cell"/>
            </w:pPr>
            <w:r>
              <w:rPr>
                <w:b/>
                <w:color w:val="7E44A9"/>
              </w:rPr>
              <w:t xml:space="preserve">B  </w:t>
            </w:r>
            <w:r>
              <w:rPr>
                <w:sz w:val="18"/>
              </w:rPr>
              <w:t>Use the vulnerability's technical severity score on its own to set the priority.</w:t>
            </w:r>
          </w:p>
        </w:tc>
        <w:tc>
          <w:tcPr>
            <w:tcW w:type="dxa" w:w="1296"/>
            <w:shd w:val="clear" w:color="auto" w:fill="FDEBD8"/>
            <w:vAlign w:val="center"/>
          </w:tcPr>
          <w:p>
            <w:pPr>
              <w:pStyle w:val="Cell"/>
              <w:jc w:val="center"/>
            </w:pPr>
            <w:r>
              <w:rPr>
                <w:b/>
                <w:i w:val="0"/>
                <w:color w:val="9A4A0C"/>
              </w:rPr>
              <w:t>Acceptable</w:t>
            </w:r>
          </w:p>
        </w:tc>
        <w:tc>
          <w:tcPr>
            <w:tcW w:type="dxa" w:w="4824"/>
          </w:tcPr>
          <w:p>
            <w:pPr>
              <w:pStyle w:val="Cell"/>
            </w:pPr>
            <w:r>
              <w:rPr>
                <w:sz w:val="17"/>
              </w:rPr>
              <w:t>The score is high, so the issue gets attention, but it says nothing about patient harm. The safety team later has to redo the analysis for the risk file.</w:t>
            </w:r>
          </w:p>
        </w:tc>
      </w:tr>
      <w:tr>
        <w:trPr>
          <w:cantSplit w:val="true"/>
          <w:trHeight w:val="432" w:hRule="atLeast"/>
        </w:trPr>
        <w:tc>
          <w:tcPr>
            <w:tcW w:type="dxa" w:w="4104"/>
          </w:tcPr>
          <w:p>
            <w:pPr>
              <w:pStyle w:val="Cell"/>
            </w:pPr>
            <w:r>
              <w:rPr>
                <w:b/>
                <w:color w:val="7E44A9"/>
              </w:rPr>
              <w:t xml:space="preserve">C  </w:t>
            </w:r>
            <w:r>
              <w:rPr>
                <w:sz w:val="18"/>
              </w:rPr>
              <w:t>Treat it as low priority because an attacker would already need to be on the hospital network.</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Hospital networks are not trusted places: ransomware and compromised laptops are common. The team underestimates the risk and loses a week.</w:t>
            </w:r>
          </w:p>
        </w:tc>
      </w:tr>
      <w:tr>
        <w:trPr>
          <w:cantSplit w:val="true"/>
          <w:trHeight w:val="432" w:hRule="atLeast"/>
        </w:trPr>
        <w:tc>
          <w:tcPr>
            <w:tcW w:type="dxa" w:w="4104"/>
          </w:tcPr>
          <w:p>
            <w:pPr>
              <w:pStyle w:val="Cell"/>
            </w:pPr>
            <w:r>
              <w:rPr>
                <w:b/>
                <w:color w:val="7E44A9"/>
              </w:rPr>
              <w:t xml:space="preserve">D  </w:t>
            </w:r>
            <w:r>
              <w:rPr>
                <w:sz w:val="18"/>
              </w:rPr>
              <w:t>Wait until there's evidence of someone exploiting it in the wild.</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Waiting for harm before acting is the outcome the whole program exists to prevent. The researcher's talk date doesn't move.</w:t>
            </w:r>
          </w:p>
        </w:tc>
      </w:tr>
    </w:tbl>
    <w:p>
      <w:pPr>
        <w:pStyle w:val="Heading2"/>
      </w:pPr>
      <w:r>
        <w:t>Debrief questions</w:t>
      </w:r>
    </w:p>
    <w:p>
      <w:pPr>
        <w:pStyle w:val="ListBullet"/>
      </w:pPr>
      <w:r>
        <w:t>Why does a medical device need both a security view and a safety view of the same issue?</w:t>
      </w:r>
    </w:p>
    <w:p>
      <w:pPr>
        <w:pStyle w:val="ListBullet"/>
      </w:pPr>
      <w:r>
        <w:t>What makes this a potential multi-patient issue?</w:t>
      </w:r>
    </w:p>
    <w:p>
      <w:pPr>
        <w:pStyle w:val="ListBullet"/>
      </w:pPr>
      <w:r>
        <w:t>Who in your organization owns the decision that a risk is controlled or uncontrolled?</w:t>
      </w:r>
    </w:p>
    <w:p>
      <w:pPr>
        <w:spacing w:after="0" w:line="120" w:lineRule="exact"/>
      </w:pP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5040" w:hRule="exact"/>
        </w:trPr>
        <w:tc>
          <w:tcPr>
            <w:tcW w:type="dxa" w:w="10224"/>
          </w:tcPr>
          <w:p>
            <w:pPr>
              <w:pStyle w:val="Cell"/>
            </w:pPr>
            <w:r>
              <w:rPr>
                <w:b/>
                <w:i w:val="0"/>
                <w:color w:val="233884"/>
              </w:rPr>
              <w:t>Facilitator notes</w:t>
            </w:r>
          </w:p>
          <w:p>
            <w:pPr>
              <w:pStyle w:val="Cell"/>
            </w:pPr>
            <w:r>
              <w:rPr>
                <w:b w:val="0"/>
                <w:i/>
                <w:color w:val="5A6B7B"/>
                <w:sz w:val="16"/>
              </w:rPr>
              <w:t>What teams chose, where they disagreed, and anything to follow up in your own organization.</w:t>
            </w:r>
          </w:p>
        </w:tc>
      </w:tr>
    </w:tbl>
    <w:p>
      <w:pPr>
        <w:pStyle w:val="Heading1Page"/>
      </w:pPr>
      <w:r>
        <w:t>Inject 3 of 5: Customers need to know</w:t>
      </w:r>
    </w:p>
    <w:tbl>
      <w:tblPr>
        <w:tblW w:type="dxa" w:w="10224"/>
        <w:jc w:val="left"/>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30" w:type="dxa"/>
          <w:left w:w="90" w:type="dxa"/>
          <w:bottom w:w="30" w:type="dxa"/>
          <w:right w:w="90" w:type="dxa"/>
        </w:tblCellMar>
        <w:tblLook w:firstColumn="1" w:firstRow="1" w:lastColumn="0" w:lastRow="0" w:noHBand="0" w:noVBand="1" w:val="04A0"/>
      </w:tblPr>
      <w:tblGrid>
        <w:gridCol w:w="2304"/>
        <w:gridCol w:w="7920"/>
      </w:tblGrid>
      <w:tr>
        <w:tc>
          <w:tcPr>
            <w:tcW w:type="dxa" w:w="2304"/>
            <w:shd w:val="clear" w:color="auto" w:fill="9C3396"/>
            <w:vAlign w:val="center"/>
          </w:tcPr>
          <w:p>
            <w:pPr>
              <w:pStyle w:val="Cell"/>
              <w:jc w:val="center"/>
            </w:pPr>
            <w:r>
              <w:rPr>
                <w:b/>
                <w:i w:val="0"/>
                <w:color w:val="FFFFFF"/>
                <w:sz w:val="20"/>
              </w:rPr>
              <w:t>Day 6 · 10:30</w:t>
            </w:r>
          </w:p>
        </w:tc>
        <w:tc>
          <w:tcPr>
            <w:tcW w:type="dxa" w:w="7920"/>
            <w:vAlign w:val="center"/>
          </w:tcPr>
          <w:p>
            <w:pPr>
              <w:pStyle w:val="Cell"/>
            </w:pPr>
            <w:r>
              <w:rPr>
                <w:b w:val="0"/>
                <w:i/>
                <w:color w:val="5A6B7B"/>
                <w:sz w:val="17"/>
              </w:rPr>
              <w:t>Story time. Read the narrative and question aloud.</w:t>
            </w:r>
          </w:p>
        </w:tc>
      </w:tr>
    </w:tbl>
    <w:p>
      <w:pPr>
        <w:spacing w:after="0" w:line="80" w:lineRule="exact"/>
      </w:pPr>
    </w:p>
    <w:p>
      <w:pPr>
        <w:pBdr>
          <w:left w:val="single" w:sz="24" w:space="6" w:color="1999B2"/>
        </w:pBdr>
        <w:shd w:val="clear" w:color="auto" w:fill="E7F4F7"/>
        <w:spacing w:before="0" w:after="100"/>
        <w:ind w:left="115"/>
      </w:pPr>
      <w:r>
        <w:rPr>
          <w:sz w:val="21"/>
        </w:rPr>
        <w:t>A fix will take a few weeks to build and validate. Meanwhile, hospitals could reduce the risk now: putting the pumps on their own network segment and blocking the maintenance service's port from everywhere except the biomedical engineering workstation.</w:t>
      </w:r>
    </w:p>
    <w:p>
      <w:pPr>
        <w:pBdr>
          <w:left w:val="single" w:sz="24" w:space="6" w:color="1999B2"/>
        </w:pBdr>
        <w:shd w:val="clear" w:color="auto" w:fill="E7F4F7"/>
        <w:spacing w:before="0" w:after="0"/>
        <w:ind w:left="115"/>
      </w:pPr>
      <w:r>
        <w:rPr>
          <w:sz w:val="21"/>
        </w:rPr>
        <w:t>The sales team is nervous: two large hospital contracts are up for renewal this quarter.</w:t>
      </w:r>
    </w:p>
    <w:p>
      <w:pPr>
        <w:spacing w:before="160" w:after="120"/>
      </w:pPr>
      <w:r>
        <w:rPr>
          <w:b/>
          <w:color w:val="7E44A9"/>
        </w:rPr>
        <w:t xml:space="preserve">Question for teams:  </w:t>
      </w:r>
      <w:r>
        <w:rPr>
          <w:b/>
          <w:color w:val="233884"/>
          <w:sz w:val="24"/>
        </w:rPr>
        <w:t>What do you tell customers, and when?</w:t>
      </w:r>
    </w:p>
    <w:p>
      <w:pPr>
        <w:keepNext/>
        <w:spacing w:after="60"/>
      </w:pPr>
      <w:r>
        <w:rPr>
          <w:b/>
          <w:color w:val="A12828"/>
          <w:sz w:val="17"/>
        </w:rPr>
        <w:t>FACILITATOR COPY</w:t>
      </w:r>
      <w:r>
        <w:rPr>
          <w:i/>
          <w:color w:val="5A6B7B"/>
          <w:sz w:val="17"/>
        </w:rPr>
        <w:t xml:space="preserve">   Read the option text to teams; don't show quality or consequences until the reveal.</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4104"/>
        <w:gridCol w:w="1296"/>
        <w:gridCol w:w="4824"/>
      </w:tblGrid>
      <w:tr>
        <w:trPr>
          <w:tblHeader w:val="true"/>
        </w:trPr>
        <w:tc>
          <w:tcPr>
            <w:tcW w:type="dxa" w:w="4104"/>
            <w:shd w:val="clear" w:color="auto" w:fill="233884"/>
            <w:vAlign w:val="center"/>
          </w:tcPr>
          <w:p>
            <w:pPr>
              <w:pStyle w:val="Cell"/>
            </w:pPr>
            <w:r>
              <w:rPr>
                <w:b/>
                <w:color w:val="FFFFFF"/>
              </w:rPr>
              <w:t>Option</w:t>
            </w:r>
          </w:p>
        </w:tc>
        <w:tc>
          <w:tcPr>
            <w:tcW w:type="dxa" w:w="1296"/>
            <w:shd w:val="clear" w:color="auto" w:fill="233884"/>
            <w:vAlign w:val="center"/>
          </w:tcPr>
          <w:p>
            <w:pPr>
              <w:pStyle w:val="Cell"/>
            </w:pPr>
            <w:r>
              <w:rPr>
                <w:b/>
                <w:color w:val="FFFFFF"/>
              </w:rPr>
              <w:t>Quality</w:t>
            </w:r>
          </w:p>
        </w:tc>
        <w:tc>
          <w:tcPr>
            <w:tcW w:type="dxa" w:w="4824"/>
            <w:shd w:val="clear" w:color="auto" w:fill="233884"/>
            <w:vAlign w:val="center"/>
          </w:tcPr>
          <w:p>
            <w:pPr>
              <w:pStyle w:val="Cell"/>
            </w:pPr>
            <w:r>
              <w:rPr>
                <w:b/>
                <w:color w:val="FFFFFF"/>
              </w:rPr>
              <w:t>Consequence (after the reveal)</w:t>
            </w:r>
          </w:p>
        </w:tc>
      </w:tr>
      <w:tr>
        <w:trPr>
          <w:cantSplit w:val="true"/>
          <w:trHeight w:val="432" w:hRule="atLeast"/>
        </w:trPr>
        <w:tc>
          <w:tcPr>
            <w:tcW w:type="dxa" w:w="4104"/>
          </w:tcPr>
          <w:p>
            <w:pPr>
              <w:pStyle w:val="Cell"/>
            </w:pPr>
            <w:r>
              <w:rPr>
                <w:b/>
                <w:color w:val="7E44A9"/>
              </w:rPr>
              <w:t xml:space="preserve">A  </w:t>
            </w:r>
            <w:r>
              <w:rPr>
                <w:sz w:val="18"/>
              </w:rPr>
              <w:t>Send all customers a clear notice now with the interim mitigations, without exploit details, and coordinate the timing and content with the researcher and the relevant authorities.</w:t>
            </w:r>
          </w:p>
        </w:tc>
        <w:tc>
          <w:tcPr>
            <w:tcW w:type="dxa" w:w="1296"/>
            <w:shd w:val="clear" w:color="auto" w:fill="E3F1E7"/>
            <w:vAlign w:val="center"/>
          </w:tcPr>
          <w:p>
            <w:pPr>
              <w:pStyle w:val="Cell"/>
              <w:jc w:val="center"/>
            </w:pPr>
            <w:r>
              <w:rPr>
                <w:b/>
                <w:i w:val="0"/>
                <w:color w:val="1E6B3A"/>
              </w:rPr>
              <w:t>Strong</w:t>
            </w:r>
          </w:p>
        </w:tc>
        <w:tc>
          <w:tcPr>
            <w:tcW w:type="dxa" w:w="4824"/>
          </w:tcPr>
          <w:p>
            <w:pPr>
              <w:pStyle w:val="Cell"/>
            </w:pPr>
            <w:r>
              <w:rPr>
                <w:sz w:val="17"/>
              </w:rPr>
              <w:t>Hospitals segment their networks within days. Several thank you for the specific steps. The renewing hospitals' security teams say it's the kind of response they want from a vendor.</w:t>
            </w:r>
          </w:p>
        </w:tc>
      </w:tr>
      <w:tr>
        <w:trPr>
          <w:cantSplit w:val="true"/>
          <w:trHeight w:val="432" w:hRule="atLeast"/>
        </w:trPr>
        <w:tc>
          <w:tcPr>
            <w:tcW w:type="dxa" w:w="4104"/>
          </w:tcPr>
          <w:p>
            <w:pPr>
              <w:pStyle w:val="Cell"/>
            </w:pPr>
            <w:r>
              <w:rPr>
                <w:b/>
                <w:color w:val="7E44A9"/>
              </w:rPr>
              <w:t xml:space="preserve">B  </w:t>
            </w:r>
            <w:r>
              <w:rPr>
                <w:sz w:val="18"/>
              </w:rPr>
              <w:t>Say nothing until the patch is ready, so customers don't panic.</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For weeks, hospitals are exposed without knowing it and can't protect themselves. When the advisory comes out, customers ask why they weren't told, and it becomes a trust problem.</w:t>
            </w:r>
          </w:p>
        </w:tc>
      </w:tr>
      <w:tr>
        <w:trPr>
          <w:cantSplit w:val="true"/>
          <w:trHeight w:val="432" w:hRule="atLeast"/>
        </w:trPr>
        <w:tc>
          <w:tcPr>
            <w:tcW w:type="dxa" w:w="4104"/>
          </w:tcPr>
          <w:p>
            <w:pPr>
              <w:pStyle w:val="Cell"/>
            </w:pPr>
            <w:r>
              <w:rPr>
                <w:b/>
                <w:color w:val="7E44A9"/>
              </w:rPr>
              <w:t xml:space="preserve">C  </w:t>
            </w:r>
            <w:r>
              <w:rPr>
                <w:sz w:val="18"/>
              </w:rPr>
              <w:t>Publish a full technical write-up today, so everyone has all the facts.</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Detailed technical information before a fix exists helps attackers more than hospitals. The researcher is also unhappy: you broke the coordination you agreed.</w:t>
            </w:r>
          </w:p>
        </w:tc>
      </w:tr>
      <w:tr>
        <w:trPr>
          <w:cantSplit w:val="true"/>
          <w:trHeight w:val="432" w:hRule="atLeast"/>
        </w:trPr>
        <w:tc>
          <w:tcPr>
            <w:tcW w:type="dxa" w:w="4104"/>
          </w:tcPr>
          <w:p>
            <w:pPr>
              <w:pStyle w:val="Cell"/>
            </w:pPr>
            <w:r>
              <w:rPr>
                <w:b/>
                <w:color w:val="7E44A9"/>
              </w:rPr>
              <w:t xml:space="preserve">D  </w:t>
            </w:r>
            <w:r>
              <w:rPr>
                <w:sz w:val="18"/>
              </w:rPr>
              <w:t>Quietly tell only the largest customers, through their account managers.</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Smaller hospitals' patients are just as exposed. When the advisory is published, the uneven treatment is obvious and hard to defend.</w:t>
            </w:r>
          </w:p>
        </w:tc>
      </w:tr>
    </w:tbl>
    <w:p>
      <w:pPr>
        <w:pStyle w:val="Heading2"/>
      </w:pPr>
      <w:r>
        <w:t>Debrief questions</w:t>
      </w:r>
    </w:p>
    <w:p>
      <w:pPr>
        <w:pStyle w:val="ListBullet"/>
      </w:pPr>
      <w:r>
        <w:t>What should a customer notice contain, and what should it leave out?</w:t>
      </w:r>
    </w:p>
    <w:p>
      <w:pPr>
        <w:pStyle w:val="ListBullet"/>
      </w:pPr>
      <w:r>
        <w:t>Who in your organization signs off on customer security communications?</w:t>
      </w:r>
    </w:p>
    <w:p>
      <w:pPr>
        <w:pStyle w:val="ListBullet"/>
      </w:pPr>
      <w:r>
        <w:t>How do interim mitigations change the risk while a patch is being built?</w:t>
      </w:r>
    </w:p>
    <w:p>
      <w:pPr>
        <w:spacing w:after="0" w:line="120" w:lineRule="exact"/>
      </w:pP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5040" w:hRule="exact"/>
        </w:trPr>
        <w:tc>
          <w:tcPr>
            <w:tcW w:type="dxa" w:w="10224"/>
          </w:tcPr>
          <w:p>
            <w:pPr>
              <w:pStyle w:val="Cell"/>
            </w:pPr>
            <w:r>
              <w:rPr>
                <w:b/>
                <w:i w:val="0"/>
                <w:color w:val="233884"/>
              </w:rPr>
              <w:t>Facilitator notes</w:t>
            </w:r>
          </w:p>
          <w:p>
            <w:pPr>
              <w:pStyle w:val="Cell"/>
            </w:pPr>
            <w:r>
              <w:rPr>
                <w:b w:val="0"/>
                <w:i/>
                <w:color w:val="5A6B7B"/>
                <w:sz w:val="16"/>
              </w:rPr>
              <w:t>What teams chose, where they disagreed, and anything to follow up in your own organization.</w:t>
            </w:r>
          </w:p>
        </w:tc>
      </w:tr>
    </w:tbl>
    <w:p>
      <w:pPr>
        <w:pStyle w:val="Heading1Page"/>
      </w:pPr>
      <w:r>
        <w:t>Inject 4 of 5: The fix is ready, almost</w:t>
      </w:r>
    </w:p>
    <w:tbl>
      <w:tblPr>
        <w:tblW w:type="dxa" w:w="10224"/>
        <w:jc w:val="left"/>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30" w:type="dxa"/>
          <w:left w:w="90" w:type="dxa"/>
          <w:bottom w:w="30" w:type="dxa"/>
          <w:right w:w="90" w:type="dxa"/>
        </w:tblCellMar>
        <w:tblLook w:firstColumn="1" w:firstRow="1" w:lastColumn="0" w:lastRow="0" w:noHBand="0" w:noVBand="1" w:val="04A0"/>
      </w:tblPr>
      <w:tblGrid>
        <w:gridCol w:w="2304"/>
        <w:gridCol w:w="7920"/>
      </w:tblGrid>
      <w:tr>
        <w:tc>
          <w:tcPr>
            <w:tcW w:type="dxa" w:w="2304"/>
            <w:shd w:val="clear" w:color="auto" w:fill="9C3396"/>
            <w:vAlign w:val="center"/>
          </w:tcPr>
          <w:p>
            <w:pPr>
              <w:pStyle w:val="Cell"/>
              <w:jc w:val="center"/>
            </w:pPr>
            <w:r>
              <w:rPr>
                <w:b/>
                <w:i w:val="0"/>
                <w:color w:val="FFFFFF"/>
                <w:sz w:val="20"/>
              </w:rPr>
              <w:t>Day 21 · 16:00</w:t>
            </w:r>
          </w:p>
        </w:tc>
        <w:tc>
          <w:tcPr>
            <w:tcW w:type="dxa" w:w="7920"/>
            <w:vAlign w:val="center"/>
          </w:tcPr>
          <w:p>
            <w:pPr>
              <w:pStyle w:val="Cell"/>
            </w:pPr>
            <w:r>
              <w:rPr>
                <w:b w:val="0"/>
                <w:i/>
                <w:color w:val="5A6B7B"/>
                <w:sz w:val="17"/>
              </w:rPr>
              <w:t>Story time. Read the narrative and question aloud.</w:t>
            </w:r>
          </w:p>
        </w:tc>
      </w:tr>
    </w:tbl>
    <w:p>
      <w:pPr>
        <w:spacing w:after="0" w:line="80" w:lineRule="exact"/>
      </w:pPr>
    </w:p>
    <w:p>
      <w:pPr>
        <w:pBdr>
          <w:left w:val="single" w:sz="24" w:space="6" w:color="1999B2"/>
        </w:pBdr>
        <w:shd w:val="clear" w:color="auto" w:fill="E7F4F7"/>
        <w:spacing w:before="0" w:after="100"/>
        <w:ind w:left="115"/>
      </w:pPr>
      <w:r>
        <w:rPr>
          <w:sz w:val="21"/>
        </w:rPr>
        <w:t>Engineering has a fix: the maintenance service now requires authentication, and pumps reject configuration changes that aren't signed. The fix passes security testing. Full regression testing of infusion accuracy and alarms needs eight more days.</w:t>
      </w:r>
    </w:p>
    <w:p>
      <w:pPr>
        <w:pBdr>
          <w:left w:val="single" w:sz="24" w:space="6" w:color="1999B2"/>
        </w:pBdr>
        <w:shd w:val="clear" w:color="auto" w:fill="E7F4F7"/>
        <w:spacing w:before="0" w:after="0"/>
        <w:ind w:left="115"/>
      </w:pPr>
      <w:r>
        <w:rPr>
          <w:sz w:val="21"/>
        </w:rPr>
        <w:t>The product owner asks whether you can ship it now to get ahead of the conference.</w:t>
      </w:r>
    </w:p>
    <w:p>
      <w:pPr>
        <w:spacing w:before="160" w:after="120"/>
      </w:pPr>
      <w:r>
        <w:rPr>
          <w:b/>
          <w:color w:val="7E44A9"/>
        </w:rPr>
        <w:t xml:space="preserve">Question for teams:  </w:t>
      </w:r>
      <w:r>
        <w:rPr>
          <w:b/>
          <w:color w:val="233884"/>
          <w:sz w:val="24"/>
        </w:rPr>
        <w:t>What does the team do?</w:t>
      </w:r>
    </w:p>
    <w:p>
      <w:pPr>
        <w:keepNext/>
        <w:spacing w:after="60"/>
      </w:pPr>
      <w:r>
        <w:rPr>
          <w:b/>
          <w:color w:val="A12828"/>
          <w:sz w:val="17"/>
        </w:rPr>
        <w:t>FACILITATOR COPY</w:t>
      </w:r>
      <w:r>
        <w:rPr>
          <w:i/>
          <w:color w:val="5A6B7B"/>
          <w:sz w:val="17"/>
        </w:rPr>
        <w:t xml:space="preserve">   Read the option text to teams; don't show quality or consequences until the reveal.</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4104"/>
        <w:gridCol w:w="1296"/>
        <w:gridCol w:w="4824"/>
      </w:tblGrid>
      <w:tr>
        <w:trPr>
          <w:tblHeader w:val="true"/>
        </w:trPr>
        <w:tc>
          <w:tcPr>
            <w:tcW w:type="dxa" w:w="4104"/>
            <w:shd w:val="clear" w:color="auto" w:fill="233884"/>
            <w:vAlign w:val="center"/>
          </w:tcPr>
          <w:p>
            <w:pPr>
              <w:pStyle w:val="Cell"/>
            </w:pPr>
            <w:r>
              <w:rPr>
                <w:b/>
                <w:color w:val="FFFFFF"/>
              </w:rPr>
              <w:t>Option</w:t>
            </w:r>
          </w:p>
        </w:tc>
        <w:tc>
          <w:tcPr>
            <w:tcW w:type="dxa" w:w="1296"/>
            <w:shd w:val="clear" w:color="auto" w:fill="233884"/>
            <w:vAlign w:val="center"/>
          </w:tcPr>
          <w:p>
            <w:pPr>
              <w:pStyle w:val="Cell"/>
            </w:pPr>
            <w:r>
              <w:rPr>
                <w:b/>
                <w:color w:val="FFFFFF"/>
              </w:rPr>
              <w:t>Quality</w:t>
            </w:r>
          </w:p>
        </w:tc>
        <w:tc>
          <w:tcPr>
            <w:tcW w:type="dxa" w:w="4824"/>
            <w:shd w:val="clear" w:color="auto" w:fill="233884"/>
            <w:vAlign w:val="center"/>
          </w:tcPr>
          <w:p>
            <w:pPr>
              <w:pStyle w:val="Cell"/>
            </w:pPr>
            <w:r>
              <w:rPr>
                <w:b/>
                <w:color w:val="FFFFFF"/>
              </w:rPr>
              <w:t>Consequence (after the reveal)</w:t>
            </w:r>
          </w:p>
        </w:tc>
      </w:tr>
      <w:tr>
        <w:trPr>
          <w:cantSplit w:val="true"/>
          <w:trHeight w:val="432" w:hRule="atLeast"/>
        </w:trPr>
        <w:tc>
          <w:tcPr>
            <w:tcW w:type="dxa" w:w="4104"/>
          </w:tcPr>
          <w:p>
            <w:pPr>
              <w:pStyle w:val="Cell"/>
            </w:pPr>
            <w:r>
              <w:rPr>
                <w:b/>
                <w:color w:val="7E44A9"/>
              </w:rPr>
              <w:t xml:space="preserve">A  </w:t>
            </w:r>
            <w:r>
              <w:rPr>
                <w:sz w:val="18"/>
              </w:rPr>
              <w:t>Finish verification and validation, including clinical functions, then release with clear installation instructions; keep customers updated on the date.</w:t>
            </w:r>
          </w:p>
        </w:tc>
        <w:tc>
          <w:tcPr>
            <w:tcW w:type="dxa" w:w="1296"/>
            <w:shd w:val="clear" w:color="auto" w:fill="E3F1E7"/>
            <w:vAlign w:val="center"/>
          </w:tcPr>
          <w:p>
            <w:pPr>
              <w:pStyle w:val="Cell"/>
              <w:jc w:val="center"/>
            </w:pPr>
            <w:r>
              <w:rPr>
                <w:b/>
                <w:i w:val="0"/>
                <w:color w:val="1E6B3A"/>
              </w:rPr>
              <w:t>Strong</w:t>
            </w:r>
          </w:p>
        </w:tc>
        <w:tc>
          <w:tcPr>
            <w:tcW w:type="dxa" w:w="4824"/>
          </w:tcPr>
          <w:p>
            <w:pPr>
              <w:pStyle w:val="Cell"/>
            </w:pPr>
            <w:r>
              <w:rPr>
                <w:sz w:val="17"/>
              </w:rPr>
              <w:t>The update ships on day 30 with full evidence behind it. Biomedical engineering teams install it smoothly, and the interim mitigations covered the gap.</w:t>
            </w:r>
          </w:p>
        </w:tc>
      </w:tr>
      <w:tr>
        <w:trPr>
          <w:cantSplit w:val="true"/>
          <w:trHeight w:val="432" w:hRule="atLeast"/>
        </w:trPr>
        <w:tc>
          <w:tcPr>
            <w:tcW w:type="dxa" w:w="4104"/>
          </w:tcPr>
          <w:p>
            <w:pPr>
              <w:pStyle w:val="Cell"/>
            </w:pPr>
            <w:r>
              <w:rPr>
                <w:b/>
                <w:color w:val="7E44A9"/>
              </w:rPr>
              <w:t xml:space="preserve">B  </w:t>
            </w:r>
            <w:r>
              <w:rPr>
                <w:sz w:val="18"/>
              </w:rPr>
              <w:t>Ship it now and finish the regression tests afterward.</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An untested change to an infusion pump could cause the very harm you're trying to prevent. A defect found later would mean a second, rushed update and a credibility problem.</w:t>
            </w:r>
          </w:p>
        </w:tc>
      </w:tr>
      <w:tr>
        <w:trPr>
          <w:cantSplit w:val="true"/>
          <w:trHeight w:val="432" w:hRule="atLeast"/>
        </w:trPr>
        <w:tc>
          <w:tcPr>
            <w:tcW w:type="dxa" w:w="4104"/>
          </w:tcPr>
          <w:p>
            <w:pPr>
              <w:pStyle w:val="Cell"/>
            </w:pPr>
            <w:r>
              <w:rPr>
                <w:b/>
                <w:color w:val="7E44A9"/>
              </w:rPr>
              <w:t xml:space="preserve">C  </w:t>
            </w:r>
            <w:r>
              <w:rPr>
                <w:sz w:val="18"/>
              </w:rPr>
              <w:t>Hold the fix for the next scheduled annual release.</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Months of exposure for a risk the team judged unacceptable. Hospitals that applied the interim mitigations start asking when the real fix is coming.</w:t>
            </w:r>
          </w:p>
        </w:tc>
      </w:tr>
    </w:tbl>
    <w:p>
      <w:pPr>
        <w:pStyle w:val="Heading2"/>
      </w:pPr>
      <w:r>
        <w:t>Debrief questions</w:t>
      </w:r>
    </w:p>
    <w:p>
      <w:pPr>
        <w:pStyle w:val="ListBullet"/>
      </w:pPr>
      <w:r>
        <w:t>Why can't a medical device be patched the way a phone app can?</w:t>
      </w:r>
    </w:p>
    <w:p>
      <w:pPr>
        <w:pStyle w:val="ListBullet"/>
      </w:pPr>
      <w:r>
        <w:t>What did the team do earlier that made an 8-day wait acceptable?</w:t>
      </w:r>
    </w:p>
    <w:p>
      <w:pPr>
        <w:pStyle w:val="ListBullet"/>
      </w:pPr>
      <w:r>
        <w:t>How would this be different for an implanted device such as CardiaPace?</w:t>
      </w:r>
    </w:p>
    <w:p>
      <w:pPr>
        <w:spacing w:after="0" w:line="120" w:lineRule="exact"/>
      </w:pP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5040" w:hRule="exact"/>
        </w:trPr>
        <w:tc>
          <w:tcPr>
            <w:tcW w:type="dxa" w:w="10224"/>
          </w:tcPr>
          <w:p>
            <w:pPr>
              <w:pStyle w:val="Cell"/>
            </w:pPr>
            <w:r>
              <w:rPr>
                <w:b/>
                <w:i w:val="0"/>
                <w:color w:val="233884"/>
              </w:rPr>
              <w:t>Facilitator notes</w:t>
            </w:r>
          </w:p>
          <w:p>
            <w:pPr>
              <w:pStyle w:val="Cell"/>
            </w:pPr>
            <w:r>
              <w:rPr>
                <w:b w:val="0"/>
                <w:i/>
                <w:color w:val="5A6B7B"/>
                <w:sz w:val="16"/>
              </w:rPr>
              <w:t>What teams chose, where they disagreed, and anything to follow up in your own organization.</w:t>
            </w:r>
          </w:p>
        </w:tc>
      </w:tr>
    </w:tbl>
    <w:p>
      <w:pPr>
        <w:pStyle w:val="Heading1Page"/>
      </w:pPr>
      <w:r>
        <w:t>Inject 5 of 5: Release day</w:t>
      </w:r>
    </w:p>
    <w:tbl>
      <w:tblPr>
        <w:tblW w:type="dxa" w:w="10224"/>
        <w:jc w:val="left"/>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30" w:type="dxa"/>
          <w:left w:w="90" w:type="dxa"/>
          <w:bottom w:w="30" w:type="dxa"/>
          <w:right w:w="90" w:type="dxa"/>
        </w:tblCellMar>
        <w:tblLook w:firstColumn="1" w:firstRow="1" w:lastColumn="0" w:lastRow="0" w:noHBand="0" w:noVBand="1" w:val="04A0"/>
      </w:tblPr>
      <w:tblGrid>
        <w:gridCol w:w="2304"/>
        <w:gridCol w:w="7920"/>
      </w:tblGrid>
      <w:tr>
        <w:tc>
          <w:tcPr>
            <w:tcW w:type="dxa" w:w="2304"/>
            <w:shd w:val="clear" w:color="auto" w:fill="9C3396"/>
            <w:vAlign w:val="center"/>
          </w:tcPr>
          <w:p>
            <w:pPr>
              <w:pStyle w:val="Cell"/>
              <w:jc w:val="center"/>
            </w:pPr>
            <w:r>
              <w:rPr>
                <w:b/>
                <w:i w:val="0"/>
                <w:color w:val="FFFFFF"/>
                <w:sz w:val="20"/>
              </w:rPr>
              <w:t>Day 30 · 09:00</w:t>
            </w:r>
          </w:p>
        </w:tc>
        <w:tc>
          <w:tcPr>
            <w:tcW w:type="dxa" w:w="7920"/>
            <w:vAlign w:val="center"/>
          </w:tcPr>
          <w:p>
            <w:pPr>
              <w:pStyle w:val="Cell"/>
            </w:pPr>
            <w:r>
              <w:rPr>
                <w:b w:val="0"/>
                <w:i/>
                <w:color w:val="5A6B7B"/>
                <w:sz w:val="17"/>
              </w:rPr>
              <w:t>Story time. Read the narrative and question aloud.</w:t>
            </w:r>
          </w:p>
        </w:tc>
      </w:tr>
    </w:tbl>
    <w:p>
      <w:pPr>
        <w:spacing w:after="0" w:line="80" w:lineRule="exact"/>
      </w:pPr>
    </w:p>
    <w:p>
      <w:pPr>
        <w:pBdr>
          <w:left w:val="single" w:sz="24" w:space="6" w:color="1999B2"/>
        </w:pBdr>
        <w:shd w:val="clear" w:color="auto" w:fill="E7F4F7"/>
        <w:spacing w:before="0" w:after="100"/>
        <w:ind w:left="115"/>
      </w:pPr>
      <w:r>
        <w:rPr>
          <w:sz w:val="21"/>
        </w:rPr>
        <w:t>The update is released. The researcher's talk is in two months. Hospitals are installing the update.</w:t>
      </w:r>
    </w:p>
    <w:p>
      <w:pPr>
        <w:pBdr>
          <w:left w:val="single" w:sz="24" w:space="6" w:color="1999B2"/>
        </w:pBdr>
        <w:shd w:val="clear" w:color="auto" w:fill="E7F4F7"/>
        <w:spacing w:before="0" w:after="0"/>
        <w:ind w:left="115"/>
      </w:pPr>
      <w:r>
        <w:rPr>
          <w:sz w:val="21"/>
        </w:rPr>
        <w:t>There are still decisions to make about regulators, the public advisory, and what the program learns from this.</w:t>
      </w:r>
    </w:p>
    <w:p>
      <w:pPr>
        <w:spacing w:before="160" w:after="120"/>
      </w:pPr>
      <w:r>
        <w:rPr>
          <w:b/>
          <w:color w:val="7E44A9"/>
        </w:rPr>
        <w:t xml:space="preserve">Question for teams:  </w:t>
      </w:r>
      <w:r>
        <w:rPr>
          <w:b/>
          <w:color w:val="233884"/>
          <w:sz w:val="24"/>
        </w:rPr>
        <w:t>What else does the team do now?</w:t>
      </w:r>
    </w:p>
    <w:p>
      <w:pPr>
        <w:keepNext/>
        <w:spacing w:after="60"/>
      </w:pPr>
      <w:r>
        <w:rPr>
          <w:b/>
          <w:color w:val="A12828"/>
          <w:sz w:val="17"/>
        </w:rPr>
        <w:t>FACILITATOR COPY</w:t>
      </w:r>
      <w:r>
        <w:rPr>
          <w:i/>
          <w:color w:val="5A6B7B"/>
          <w:sz w:val="17"/>
        </w:rPr>
        <w:t xml:space="preserve">   Read the option text to teams; don't show quality or consequences until the reveal.</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4104"/>
        <w:gridCol w:w="1296"/>
        <w:gridCol w:w="4824"/>
      </w:tblGrid>
      <w:tr>
        <w:trPr>
          <w:tblHeader w:val="true"/>
        </w:trPr>
        <w:tc>
          <w:tcPr>
            <w:tcW w:type="dxa" w:w="4104"/>
            <w:shd w:val="clear" w:color="auto" w:fill="233884"/>
            <w:vAlign w:val="center"/>
          </w:tcPr>
          <w:p>
            <w:pPr>
              <w:pStyle w:val="Cell"/>
            </w:pPr>
            <w:r>
              <w:rPr>
                <w:b/>
                <w:color w:val="FFFFFF"/>
              </w:rPr>
              <w:t>Option</w:t>
            </w:r>
          </w:p>
        </w:tc>
        <w:tc>
          <w:tcPr>
            <w:tcW w:type="dxa" w:w="1296"/>
            <w:shd w:val="clear" w:color="auto" w:fill="233884"/>
            <w:vAlign w:val="center"/>
          </w:tcPr>
          <w:p>
            <w:pPr>
              <w:pStyle w:val="Cell"/>
            </w:pPr>
            <w:r>
              <w:rPr>
                <w:b/>
                <w:color w:val="FFFFFF"/>
              </w:rPr>
              <w:t>Quality</w:t>
            </w:r>
          </w:p>
        </w:tc>
        <w:tc>
          <w:tcPr>
            <w:tcW w:type="dxa" w:w="4824"/>
            <w:shd w:val="clear" w:color="auto" w:fill="233884"/>
            <w:vAlign w:val="center"/>
          </w:tcPr>
          <w:p>
            <w:pPr>
              <w:pStyle w:val="Cell"/>
            </w:pPr>
            <w:r>
              <w:rPr>
                <w:b/>
                <w:color w:val="FFFFFF"/>
              </w:rPr>
              <w:t>Consequence (after the reveal)</w:t>
            </w:r>
          </w:p>
        </w:tc>
      </w:tr>
      <w:tr>
        <w:trPr>
          <w:cantSplit w:val="true"/>
          <w:trHeight w:val="432" w:hRule="atLeast"/>
        </w:trPr>
        <w:tc>
          <w:tcPr>
            <w:tcW w:type="dxa" w:w="4104"/>
          </w:tcPr>
          <w:p>
            <w:pPr>
              <w:pStyle w:val="Cell"/>
            </w:pPr>
            <w:r>
              <w:rPr>
                <w:b/>
                <w:color w:val="7E44A9"/>
              </w:rPr>
              <w:t xml:space="preserve">A  </w:t>
            </w:r>
            <w:r>
              <w:rPr>
                <w:sz w:val="18"/>
              </w:rPr>
              <w:t>Work with regulatory on what to report in each market, publish a coordinated advisory crediting the researcher, share through an information sharing organization, and hold a lessons-learned review.</w:t>
            </w:r>
          </w:p>
        </w:tc>
        <w:tc>
          <w:tcPr>
            <w:tcW w:type="dxa" w:w="1296"/>
            <w:shd w:val="clear" w:color="auto" w:fill="E3F1E7"/>
            <w:vAlign w:val="center"/>
          </w:tcPr>
          <w:p>
            <w:pPr>
              <w:pStyle w:val="Cell"/>
              <w:jc w:val="center"/>
            </w:pPr>
            <w:r>
              <w:rPr>
                <w:b/>
                <w:i w:val="0"/>
                <w:color w:val="1E6B3A"/>
              </w:rPr>
              <w:t>Strong</w:t>
            </w:r>
          </w:p>
        </w:tc>
        <w:tc>
          <w:tcPr>
            <w:tcW w:type="dxa" w:w="4824"/>
          </w:tcPr>
          <w:p>
            <w:pPr>
              <w:pStyle w:val="Cell"/>
            </w:pPr>
            <w:r>
              <w:rPr>
                <w:sz w:val="17"/>
              </w:rPr>
              <w:t>Regulators receive what they need on time. The advisory is published alongside the researcher's talk, and the lessons-learned review leads to a design change: no unauthenticated services in future products.</w:t>
            </w:r>
          </w:p>
        </w:tc>
      </w:tr>
      <w:tr>
        <w:trPr>
          <w:cantSplit w:val="true"/>
          <w:trHeight w:val="432" w:hRule="atLeast"/>
        </w:trPr>
        <w:tc>
          <w:tcPr>
            <w:tcW w:type="dxa" w:w="4104"/>
          </w:tcPr>
          <w:p>
            <w:pPr>
              <w:pStyle w:val="Cell"/>
            </w:pPr>
            <w:r>
              <w:rPr>
                <w:b/>
                <w:color w:val="7E44A9"/>
              </w:rPr>
              <w:t xml:space="preserve">B  </w:t>
            </w:r>
            <w:r>
              <w:rPr>
                <w:sz w:val="18"/>
              </w:rPr>
              <w:t>Skip regulator reporting: nobody was harmed, so there's nothing to report.</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Reporting obligations can apply even without harm, depending on the market and the risk. Your regulatory team has to correct the record later, which is far worse than doing it now.</w:t>
            </w:r>
          </w:p>
        </w:tc>
      </w:tr>
      <w:tr>
        <w:trPr>
          <w:cantSplit w:val="true"/>
          <w:trHeight w:val="432" w:hRule="atLeast"/>
        </w:trPr>
        <w:tc>
          <w:tcPr>
            <w:tcW w:type="dxa" w:w="4104"/>
          </w:tcPr>
          <w:p>
            <w:pPr>
              <w:pStyle w:val="Cell"/>
            </w:pPr>
            <w:r>
              <w:rPr>
                <w:b/>
                <w:color w:val="7E44A9"/>
              </w:rPr>
              <w:t xml:space="preserve">C  </w:t>
            </w:r>
            <w:r>
              <w:rPr>
                <w:sz w:val="18"/>
              </w:rPr>
              <w:t>Ask the researcher to cancel their talk now that the issue is fixed.</w:t>
            </w:r>
          </w:p>
        </w:tc>
        <w:tc>
          <w:tcPr>
            <w:tcW w:type="dxa" w:w="1296"/>
            <w:shd w:val="clear" w:color="auto" w:fill="FBE3E3"/>
            <w:vAlign w:val="center"/>
          </w:tcPr>
          <w:p>
            <w:pPr>
              <w:pStyle w:val="Cell"/>
              <w:jc w:val="center"/>
            </w:pPr>
            <w:r>
              <w:rPr>
                <w:b/>
                <w:i w:val="0"/>
                <w:color w:val="A12828"/>
              </w:rPr>
              <w:t>Weak</w:t>
            </w:r>
          </w:p>
        </w:tc>
        <w:tc>
          <w:tcPr>
            <w:tcW w:type="dxa" w:w="4824"/>
          </w:tcPr>
          <w:p>
            <w:pPr>
              <w:pStyle w:val="Cell"/>
            </w:pPr>
            <w:r>
              <w:rPr>
                <w:sz w:val="17"/>
              </w:rPr>
              <w:t>The researcher declines, and the request becomes part of the story. Coordinated disclosure means agreeing on timing, not suppressing the research.</w:t>
            </w:r>
          </w:p>
        </w:tc>
      </w:tr>
    </w:tbl>
    <w:p>
      <w:pPr>
        <w:pStyle w:val="Heading2"/>
      </w:pPr>
      <w:r>
        <w:t>Debrief questions</w:t>
      </w:r>
    </w:p>
    <w:p>
      <w:pPr>
        <w:pStyle w:val="ListBullet"/>
      </w:pPr>
      <w:r>
        <w:t>Who in your organization decides what's reportable to regulators in each market?</w:t>
      </w:r>
    </w:p>
    <w:p>
      <w:pPr>
        <w:pStyle w:val="ListBullet"/>
      </w:pPr>
      <w:r>
        <w:t>What would you change in design so this class of problem can't happen again?</w:t>
      </w:r>
    </w:p>
    <w:p>
      <w:pPr>
        <w:pStyle w:val="ListBullet"/>
      </w:pPr>
      <w:r>
        <w:t>What went well in this scenario because of decisions made on day 0?</w:t>
      </w:r>
    </w:p>
    <w:p>
      <w:pPr>
        <w:spacing w:after="0" w:line="120" w:lineRule="exact"/>
      </w:pP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5040" w:hRule="exact"/>
        </w:trPr>
        <w:tc>
          <w:tcPr>
            <w:tcW w:type="dxa" w:w="10224"/>
          </w:tcPr>
          <w:p>
            <w:pPr>
              <w:pStyle w:val="Cell"/>
            </w:pPr>
            <w:r>
              <w:rPr>
                <w:b/>
                <w:i w:val="0"/>
                <w:color w:val="233884"/>
              </w:rPr>
              <w:t>Facilitator notes</w:t>
            </w:r>
          </w:p>
          <w:p>
            <w:pPr>
              <w:pStyle w:val="Cell"/>
            </w:pPr>
            <w:r>
              <w:rPr>
                <w:b w:val="0"/>
                <w:i/>
                <w:color w:val="5A6B7B"/>
                <w:sz w:val="16"/>
              </w:rPr>
              <w:t>What teams chose, where they disagreed, and anything to follow up in your own organization.</w:t>
            </w:r>
          </w:p>
        </w:tc>
      </w:tr>
    </w:tbl>
    <w:p>
      <w:pPr>
        <w:pStyle w:val="Heading1Page"/>
      </w:pPr>
      <w:r>
        <w:t>Team decision log</w:t>
      </w:r>
    </w:p>
    <w:p>
      <w:pPr>
        <w:pStyle w:val="Hint"/>
      </w:pPr>
      <w:r>
        <w:t>One per team. The note-taker fills it in as you go; the owner is the role that would carry out the decision in your organization.</w:t>
      </w:r>
    </w:p>
    <w:tbl>
      <w:tblPr>
        <w:tblW w:type="dxa" w:w="10224"/>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1440"/>
        <w:gridCol w:w="3671"/>
        <w:gridCol w:w="1296"/>
        <w:gridCol w:w="3816"/>
      </w:tblGrid>
      <w:tr>
        <w:trPr>
          <w:trHeight w:val="489" w:hRule="atLeast"/>
        </w:trPr>
        <w:tc>
          <w:tcPr>
            <w:tcW w:type="dxa" w:w="1440"/>
            <w:shd w:val="clear" w:color="auto" w:fill="F4F7FA"/>
            <w:vAlign w:val="center"/>
          </w:tcPr>
          <w:p>
            <w:pPr>
              <w:pStyle w:val="Cell"/>
            </w:pPr>
            <w:r>
              <w:rPr>
                <w:b/>
                <w:color w:val="233884"/>
              </w:rPr>
              <w:t>Team</w:t>
            </w:r>
          </w:p>
        </w:tc>
        <w:tc>
          <w:tcPr>
            <w:tcW w:type="dxa" w:w="3672"/>
          </w:tcPr>
          <w:p/>
        </w:tc>
        <w:tc>
          <w:tcPr>
            <w:tcW w:type="dxa" w:w="1296"/>
            <w:shd w:val="clear" w:color="auto" w:fill="F4F7FA"/>
            <w:vAlign w:val="center"/>
          </w:tcPr>
          <w:p>
            <w:pPr>
              <w:pStyle w:val="Cell"/>
            </w:pPr>
            <w:r>
              <w:rPr>
                <w:b/>
                <w:color w:val="233884"/>
              </w:rPr>
              <w:t>Note-taker</w:t>
            </w:r>
          </w:p>
        </w:tc>
        <w:tc>
          <w:tcPr>
            <w:tcW w:type="dxa" w:w="3816"/>
          </w:tcPr>
          <w:p/>
        </w:tc>
      </w:tr>
    </w:tbl>
    <w:p>
      <w:pPr>
        <w:spacing w:after="0" w:line="120" w:lineRule="exact"/>
      </w:pP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2951"/>
        <w:gridCol w:w="1007"/>
        <w:gridCol w:w="4536"/>
        <w:gridCol w:w="1728"/>
      </w:tblGrid>
      <w:tr>
        <w:trPr>
          <w:tblHeader w:val="true"/>
        </w:trPr>
        <w:tc>
          <w:tcPr>
            <w:tcW w:type="dxa" w:w="2952"/>
            <w:shd w:val="clear" w:color="auto" w:fill="233884"/>
            <w:vAlign w:val="center"/>
          </w:tcPr>
          <w:p>
            <w:pPr>
              <w:pStyle w:val="Cell"/>
            </w:pPr>
            <w:r>
              <w:rPr>
                <w:b/>
                <w:color w:val="FFFFFF"/>
              </w:rPr>
              <w:t>Inject</w:t>
            </w:r>
          </w:p>
        </w:tc>
        <w:tc>
          <w:tcPr>
            <w:tcW w:type="dxa" w:w="1008"/>
            <w:shd w:val="clear" w:color="auto" w:fill="233884"/>
            <w:vAlign w:val="center"/>
          </w:tcPr>
          <w:p>
            <w:pPr>
              <w:pStyle w:val="Cell"/>
            </w:pPr>
            <w:r>
              <w:rPr>
                <w:b/>
                <w:color w:val="FFFFFF"/>
              </w:rPr>
              <w:t>Choice</w:t>
            </w:r>
          </w:p>
        </w:tc>
        <w:tc>
          <w:tcPr>
            <w:tcW w:type="dxa" w:w="4536"/>
            <w:shd w:val="clear" w:color="auto" w:fill="233884"/>
            <w:vAlign w:val="center"/>
          </w:tcPr>
          <w:p>
            <w:pPr>
              <w:pStyle w:val="Cell"/>
            </w:pPr>
            <w:r>
              <w:rPr>
                <w:b/>
                <w:color w:val="FFFFFF"/>
              </w:rPr>
              <w:t>Rationale (one line is enough)</w:t>
            </w:r>
          </w:p>
        </w:tc>
        <w:tc>
          <w:tcPr>
            <w:tcW w:type="dxa" w:w="1728"/>
            <w:shd w:val="clear" w:color="auto" w:fill="233884"/>
            <w:vAlign w:val="center"/>
          </w:tcPr>
          <w:p>
            <w:pPr>
              <w:pStyle w:val="Cell"/>
            </w:pPr>
            <w:r>
              <w:rPr>
                <w:b/>
                <w:color w:val="FFFFFF"/>
              </w:rPr>
              <w:t>Owner</w:t>
            </w:r>
          </w:p>
        </w:tc>
      </w:tr>
      <w:tr>
        <w:trPr>
          <w:cantSplit w:val="true"/>
          <w:trHeight w:val="2160" w:hRule="atLeast"/>
        </w:trPr>
        <w:tc>
          <w:tcPr>
            <w:tcW w:type="dxa" w:w="2952"/>
          </w:tcPr>
          <w:p>
            <w:pPr>
              <w:pStyle w:val="Cell"/>
            </w:pPr>
            <w:r>
              <w:rPr>
                <w:b/>
                <w:color w:val="233884"/>
              </w:rPr>
              <w:t>1. An email to customer support</w:t>
            </w:r>
          </w:p>
          <w:p>
            <w:pPr>
              <w:pStyle w:val="Cell"/>
            </w:pPr>
            <w:r>
              <w:rPr>
                <w:b w:val="0"/>
                <w:i w:val="0"/>
                <w:color w:val="5A6B7B"/>
                <w:sz w:val="16"/>
              </w:rPr>
              <w:t>Day 0 · 09:10</w:t>
            </w:r>
          </w:p>
          <w:p>
            <w:pPr>
              <w:pStyle w:val="Cell"/>
            </w:pPr>
            <w:r>
              <w:rPr>
                <w:b w:val="0"/>
                <w:i/>
                <w:color w:val="5A6B7B"/>
                <w:sz w:val="16"/>
              </w:rPr>
              <w:t>What happens first?</w:t>
            </w:r>
          </w:p>
        </w:tc>
        <w:tc>
          <w:tcPr>
            <w:tcW w:type="dxa" w:w="1008"/>
          </w:tcPr>
          <w:p>
            <w:pPr>
              <w:pStyle w:val="Cell"/>
              <w:jc w:val="center"/>
            </w:pPr>
            <w:r>
              <w:rPr>
                <w:color w:val="5A6B7B"/>
                <w:sz w:val="18"/>
              </w:rPr>
              <w:t>A   B   C   D</w:t>
            </w:r>
          </w:p>
          <w:p>
            <w:pPr>
              <w:pStyle w:val="Cell"/>
              <w:jc w:val="center"/>
            </w:pPr>
            <w:r>
              <w:rPr>
                <w:b w:val="0"/>
                <w:i/>
                <w:color w:val="5A6B7B"/>
                <w:sz w:val="15"/>
              </w:rPr>
              <w:t>(circle)</w:t>
            </w:r>
          </w:p>
        </w:tc>
        <w:tc>
          <w:tcPr>
            <w:tcW w:type="dxa" w:w="4536"/>
          </w:tcPr>
          <w:p>
            <w:pPr>
              <w:pStyle w:val="Cell"/>
            </w:pPr>
          </w:p>
        </w:tc>
        <w:tc>
          <w:tcPr>
            <w:tcW w:type="dxa" w:w="1728"/>
          </w:tcPr>
          <w:p>
            <w:pPr>
              <w:pStyle w:val="Cell"/>
            </w:pPr>
          </w:p>
        </w:tc>
      </w:tr>
      <w:tr>
        <w:trPr>
          <w:cantSplit w:val="true"/>
          <w:trHeight w:val="2160" w:hRule="atLeast"/>
        </w:trPr>
        <w:tc>
          <w:tcPr>
            <w:tcW w:type="dxa" w:w="2952"/>
          </w:tcPr>
          <w:p>
            <w:pPr>
              <w:pStyle w:val="Cell"/>
            </w:pPr>
            <w:r>
              <w:rPr>
                <w:b/>
                <w:color w:val="233884"/>
              </w:rPr>
              <w:t>2. Engineering confirms it</w:t>
            </w:r>
          </w:p>
          <w:p>
            <w:pPr>
              <w:pStyle w:val="Cell"/>
            </w:pPr>
            <w:r>
              <w:rPr>
                <w:b w:val="0"/>
                <w:i w:val="0"/>
                <w:color w:val="5A6B7B"/>
                <w:sz w:val="16"/>
              </w:rPr>
              <w:t>Day 3 · 14:00</w:t>
            </w:r>
          </w:p>
          <w:p>
            <w:pPr>
              <w:pStyle w:val="Cell"/>
            </w:pPr>
            <w:r>
              <w:rPr>
                <w:b w:val="0"/>
                <w:i/>
                <w:color w:val="5A6B7B"/>
                <w:sz w:val="16"/>
              </w:rPr>
              <w:t>How does the team decide how serious this is?</w:t>
            </w:r>
          </w:p>
        </w:tc>
        <w:tc>
          <w:tcPr>
            <w:tcW w:type="dxa" w:w="1008"/>
          </w:tcPr>
          <w:p>
            <w:pPr>
              <w:pStyle w:val="Cell"/>
              <w:jc w:val="center"/>
            </w:pPr>
            <w:r>
              <w:rPr>
                <w:color w:val="5A6B7B"/>
                <w:sz w:val="18"/>
              </w:rPr>
              <w:t>A   B   C   D</w:t>
            </w:r>
          </w:p>
          <w:p>
            <w:pPr>
              <w:pStyle w:val="Cell"/>
              <w:jc w:val="center"/>
            </w:pPr>
            <w:r>
              <w:rPr>
                <w:b w:val="0"/>
                <w:i/>
                <w:color w:val="5A6B7B"/>
                <w:sz w:val="15"/>
              </w:rPr>
              <w:t>(circle)</w:t>
            </w:r>
          </w:p>
        </w:tc>
        <w:tc>
          <w:tcPr>
            <w:tcW w:type="dxa" w:w="4536"/>
          </w:tcPr>
          <w:p>
            <w:pPr>
              <w:pStyle w:val="Cell"/>
            </w:pPr>
          </w:p>
        </w:tc>
        <w:tc>
          <w:tcPr>
            <w:tcW w:type="dxa" w:w="1728"/>
          </w:tcPr>
          <w:p>
            <w:pPr>
              <w:pStyle w:val="Cell"/>
            </w:pPr>
          </w:p>
        </w:tc>
      </w:tr>
      <w:tr>
        <w:trPr>
          <w:cantSplit w:val="true"/>
          <w:trHeight w:val="2160" w:hRule="atLeast"/>
        </w:trPr>
        <w:tc>
          <w:tcPr>
            <w:tcW w:type="dxa" w:w="2952"/>
          </w:tcPr>
          <w:p>
            <w:pPr>
              <w:pStyle w:val="Cell"/>
            </w:pPr>
            <w:r>
              <w:rPr>
                <w:b/>
                <w:color w:val="233884"/>
              </w:rPr>
              <w:t>3. Customers need to know</w:t>
            </w:r>
          </w:p>
          <w:p>
            <w:pPr>
              <w:pStyle w:val="Cell"/>
            </w:pPr>
            <w:r>
              <w:rPr>
                <w:b w:val="0"/>
                <w:i w:val="0"/>
                <w:color w:val="5A6B7B"/>
                <w:sz w:val="16"/>
              </w:rPr>
              <w:t>Day 6 · 10:30</w:t>
            </w:r>
          </w:p>
          <w:p>
            <w:pPr>
              <w:pStyle w:val="Cell"/>
            </w:pPr>
            <w:r>
              <w:rPr>
                <w:b w:val="0"/>
                <w:i/>
                <w:color w:val="5A6B7B"/>
                <w:sz w:val="16"/>
              </w:rPr>
              <w:t>What do you tell customers, and when?</w:t>
            </w:r>
          </w:p>
        </w:tc>
        <w:tc>
          <w:tcPr>
            <w:tcW w:type="dxa" w:w="1008"/>
          </w:tcPr>
          <w:p>
            <w:pPr>
              <w:pStyle w:val="Cell"/>
              <w:jc w:val="center"/>
            </w:pPr>
            <w:r>
              <w:rPr>
                <w:color w:val="5A6B7B"/>
                <w:sz w:val="18"/>
              </w:rPr>
              <w:t>A   B   C   D</w:t>
            </w:r>
          </w:p>
          <w:p>
            <w:pPr>
              <w:pStyle w:val="Cell"/>
              <w:jc w:val="center"/>
            </w:pPr>
            <w:r>
              <w:rPr>
                <w:b w:val="0"/>
                <w:i/>
                <w:color w:val="5A6B7B"/>
                <w:sz w:val="15"/>
              </w:rPr>
              <w:t>(circle)</w:t>
            </w:r>
          </w:p>
        </w:tc>
        <w:tc>
          <w:tcPr>
            <w:tcW w:type="dxa" w:w="4536"/>
          </w:tcPr>
          <w:p>
            <w:pPr>
              <w:pStyle w:val="Cell"/>
            </w:pPr>
          </w:p>
        </w:tc>
        <w:tc>
          <w:tcPr>
            <w:tcW w:type="dxa" w:w="1728"/>
          </w:tcPr>
          <w:p>
            <w:pPr>
              <w:pStyle w:val="Cell"/>
            </w:pPr>
          </w:p>
        </w:tc>
      </w:tr>
      <w:tr>
        <w:trPr>
          <w:cantSplit w:val="true"/>
          <w:trHeight w:val="2160" w:hRule="atLeast"/>
        </w:trPr>
        <w:tc>
          <w:tcPr>
            <w:tcW w:type="dxa" w:w="2952"/>
          </w:tcPr>
          <w:p>
            <w:pPr>
              <w:pStyle w:val="Cell"/>
            </w:pPr>
            <w:r>
              <w:rPr>
                <w:b/>
                <w:color w:val="233884"/>
              </w:rPr>
              <w:t>4. The fix is ready, almost</w:t>
            </w:r>
          </w:p>
          <w:p>
            <w:pPr>
              <w:pStyle w:val="Cell"/>
            </w:pPr>
            <w:r>
              <w:rPr>
                <w:b w:val="0"/>
                <w:i w:val="0"/>
                <w:color w:val="5A6B7B"/>
                <w:sz w:val="16"/>
              </w:rPr>
              <w:t>Day 21 · 16:00</w:t>
            </w:r>
          </w:p>
          <w:p>
            <w:pPr>
              <w:pStyle w:val="Cell"/>
            </w:pPr>
            <w:r>
              <w:rPr>
                <w:b w:val="0"/>
                <w:i/>
                <w:color w:val="5A6B7B"/>
                <w:sz w:val="16"/>
              </w:rPr>
              <w:t>What does the team do?</w:t>
            </w:r>
          </w:p>
        </w:tc>
        <w:tc>
          <w:tcPr>
            <w:tcW w:type="dxa" w:w="1008"/>
          </w:tcPr>
          <w:p>
            <w:pPr>
              <w:pStyle w:val="Cell"/>
              <w:jc w:val="center"/>
            </w:pPr>
            <w:r>
              <w:rPr>
                <w:color w:val="5A6B7B"/>
                <w:sz w:val="18"/>
              </w:rPr>
              <w:t>A   B   C</w:t>
            </w:r>
          </w:p>
          <w:p>
            <w:pPr>
              <w:pStyle w:val="Cell"/>
              <w:jc w:val="center"/>
            </w:pPr>
            <w:r>
              <w:rPr>
                <w:b w:val="0"/>
                <w:i/>
                <w:color w:val="5A6B7B"/>
                <w:sz w:val="15"/>
              </w:rPr>
              <w:t>(circle)</w:t>
            </w:r>
          </w:p>
        </w:tc>
        <w:tc>
          <w:tcPr>
            <w:tcW w:type="dxa" w:w="4536"/>
          </w:tcPr>
          <w:p>
            <w:pPr>
              <w:pStyle w:val="Cell"/>
            </w:pPr>
          </w:p>
        </w:tc>
        <w:tc>
          <w:tcPr>
            <w:tcW w:type="dxa" w:w="1728"/>
          </w:tcPr>
          <w:p>
            <w:pPr>
              <w:pStyle w:val="Cell"/>
            </w:pPr>
          </w:p>
        </w:tc>
      </w:tr>
      <w:tr>
        <w:trPr>
          <w:cantSplit w:val="true"/>
          <w:trHeight w:val="2160" w:hRule="atLeast"/>
        </w:trPr>
        <w:tc>
          <w:tcPr>
            <w:tcW w:type="dxa" w:w="2952"/>
          </w:tcPr>
          <w:p>
            <w:pPr>
              <w:pStyle w:val="Cell"/>
            </w:pPr>
            <w:r>
              <w:rPr>
                <w:b/>
                <w:color w:val="233884"/>
              </w:rPr>
              <w:t>5. Release day</w:t>
            </w:r>
          </w:p>
          <w:p>
            <w:pPr>
              <w:pStyle w:val="Cell"/>
            </w:pPr>
            <w:r>
              <w:rPr>
                <w:b w:val="0"/>
                <w:i w:val="0"/>
                <w:color w:val="5A6B7B"/>
                <w:sz w:val="16"/>
              </w:rPr>
              <w:t>Day 30 · 09:00</w:t>
            </w:r>
          </w:p>
          <w:p>
            <w:pPr>
              <w:pStyle w:val="Cell"/>
            </w:pPr>
            <w:r>
              <w:rPr>
                <w:b w:val="0"/>
                <w:i/>
                <w:color w:val="5A6B7B"/>
                <w:sz w:val="16"/>
              </w:rPr>
              <w:t>What else does the team do now?</w:t>
            </w:r>
          </w:p>
        </w:tc>
        <w:tc>
          <w:tcPr>
            <w:tcW w:type="dxa" w:w="1008"/>
          </w:tcPr>
          <w:p>
            <w:pPr>
              <w:pStyle w:val="Cell"/>
              <w:jc w:val="center"/>
            </w:pPr>
            <w:r>
              <w:rPr>
                <w:color w:val="5A6B7B"/>
                <w:sz w:val="18"/>
              </w:rPr>
              <w:t>A   B   C</w:t>
            </w:r>
          </w:p>
          <w:p>
            <w:pPr>
              <w:pStyle w:val="Cell"/>
              <w:jc w:val="center"/>
            </w:pPr>
            <w:r>
              <w:rPr>
                <w:b w:val="0"/>
                <w:i/>
                <w:color w:val="5A6B7B"/>
                <w:sz w:val="15"/>
              </w:rPr>
              <w:t>(circle)</w:t>
            </w:r>
          </w:p>
        </w:tc>
        <w:tc>
          <w:tcPr>
            <w:tcW w:type="dxa" w:w="4536"/>
          </w:tcPr>
          <w:p>
            <w:pPr>
              <w:pStyle w:val="Cell"/>
            </w:pPr>
          </w:p>
        </w:tc>
        <w:tc>
          <w:tcPr>
            <w:tcW w:type="dxa" w:w="1728"/>
          </w:tcPr>
          <w:p>
            <w:pPr>
              <w:pStyle w:val="Cell"/>
            </w:pPr>
          </w:p>
        </w:tc>
      </w:tr>
    </w:tbl>
    <w:p>
      <w:pPr>
        <w:pStyle w:val="Heading1Page"/>
      </w:pPr>
      <w:r>
        <w:t>After-action review</w:t>
      </w:r>
    </w:p>
    <w:p>
      <w:pPr>
        <w:pStyle w:val="Hint"/>
      </w:pPr>
      <w:r>
        <w:t>Fill in together at the end. Focus on your own organization's process, not the fictional company: what would really happen if this email arrived tomorrow?</w:t>
      </w: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3311" w:hRule="exact"/>
        </w:trPr>
        <w:tc>
          <w:tcPr>
            <w:tcW w:type="dxa" w:w="10224"/>
          </w:tcPr>
          <w:p>
            <w:pPr>
              <w:pStyle w:val="Cell"/>
            </w:pPr>
            <w:r>
              <w:rPr>
                <w:b/>
                <w:i w:val="0"/>
                <w:color w:val="233884"/>
              </w:rPr>
              <w:t>What went well</w:t>
            </w:r>
          </w:p>
          <w:p>
            <w:pPr>
              <w:pStyle w:val="Cell"/>
            </w:pPr>
            <w:r>
              <w:rPr>
                <w:b w:val="0"/>
                <w:i/>
                <w:color w:val="5A6B7B"/>
                <w:sz w:val="16"/>
              </w:rPr>
              <w:t>Decisions, hand-offs or existing processes that would have helped.</w:t>
            </w:r>
          </w:p>
        </w:tc>
      </w:tr>
    </w:tbl>
    <w:p>
      <w:pPr>
        <w:spacing w:after="0" w:line="120" w:lineRule="exact"/>
      </w:pPr>
    </w:p>
    <w:tbl>
      <w:tblPr>
        <w:tblW w:type="dxa" w:w="10224"/>
        <w:jc w:val="center"/>
        <w:tblBorders>
          <w:top w:val="single" w:sz="6" w:space="0" w:color="A9BAC8"/>
          <w:left w:val="single" w:sz="6" w:space="0" w:color="A9BAC8"/>
          <w:bottom w:val="single" w:sz="6" w:space="0" w:color="A9BAC8"/>
          <w:right w:val="single" w:sz="6" w:space="0" w:color="A9BAC8"/>
          <w:insideH w:val="single" w:sz="6" w:space="0" w:color="A9BAC8"/>
          <w:insideV w:val="single" w:sz="6" w:space="0" w:color="A9BAC8"/>
        </w:tblBorders>
        <w:tblLayout w:type="fixed"/>
        <w:tblCellMar>
          <w:top w:w="50" w:type="dxa"/>
          <w:left w:w="90" w:type="dxa"/>
          <w:bottom w:w="50" w:type="dxa"/>
          <w:right w:w="90" w:type="dxa"/>
        </w:tblCellMar>
        <w:tblLook w:firstColumn="1" w:firstRow="1" w:lastColumn="0" w:lastRow="0" w:noHBand="0" w:noVBand="1" w:val="04A0"/>
      </w:tblPr>
      <w:tblGrid>
        <w:gridCol w:w="10224"/>
      </w:tblGrid>
      <w:tr>
        <w:trPr>
          <w:trHeight w:val="3311" w:hRule="exact"/>
        </w:trPr>
        <w:tc>
          <w:tcPr>
            <w:tcW w:type="dxa" w:w="10224"/>
          </w:tcPr>
          <w:p>
            <w:pPr>
              <w:pStyle w:val="Cell"/>
            </w:pPr>
            <w:r>
              <w:rPr>
                <w:b/>
                <w:i w:val="0"/>
                <w:color w:val="233884"/>
              </w:rPr>
              <w:t>What to improve</w:t>
            </w:r>
          </w:p>
          <w:p>
            <w:pPr>
              <w:pStyle w:val="Cell"/>
            </w:pPr>
            <w:r>
              <w:rPr>
                <w:b w:val="0"/>
                <w:i/>
                <w:color w:val="5A6B7B"/>
                <w:sz w:val="16"/>
              </w:rPr>
              <w:t>Gaps, unclear owners, missing channels or documents.</w:t>
            </w:r>
          </w:p>
        </w:tc>
      </w:tr>
    </w:tbl>
    <w:p>
      <w:pPr>
        <w:pStyle w:val="Heading2"/>
      </w:pPr>
      <w:r>
        <w:t>Actions</w:t>
      </w:r>
    </w:p>
    <w:tbl>
      <w:tblPr>
        <w:tblW w:type="dxa" w:w="10224"/>
        <w:jc w:val="center"/>
        <w:tblBorders>
          <w:top w:val="single" w:sz="4" w:space="0" w:color="A9BAC8"/>
          <w:left w:val="single" w:sz="4" w:space="0" w:color="A9BAC8"/>
          <w:bottom w:val="single" w:sz="4" w:space="0" w:color="A9BAC8"/>
          <w:right w:val="single" w:sz="4" w:space="0" w:color="A9BAC8"/>
          <w:insideH w:val="single" w:sz="4" w:space="0" w:color="A9BAC8"/>
          <w:insideV w:val="single" w:sz="4" w:space="0" w:color="A9BAC8"/>
        </w:tblBorders>
        <w:tblLayout w:type="fixed"/>
        <w:tblCellMar>
          <w:top w:w="40" w:type="dxa"/>
          <w:left w:w="80" w:type="dxa"/>
          <w:bottom w:w="40" w:type="dxa"/>
          <w:right w:w="80" w:type="dxa"/>
        </w:tblCellMar>
        <w:tblLook w:firstColumn="1" w:firstRow="1" w:lastColumn="0" w:lastRow="0" w:noHBand="0" w:noVBand="1" w:val="04A0"/>
      </w:tblPr>
      <w:tblGrid>
        <w:gridCol w:w="503"/>
        <w:gridCol w:w="5400"/>
        <w:gridCol w:w="1872"/>
        <w:gridCol w:w="1224"/>
        <w:gridCol w:w="1224"/>
      </w:tblGrid>
      <w:tr>
        <w:trPr>
          <w:tblHeader w:val="true"/>
        </w:trPr>
        <w:tc>
          <w:tcPr>
            <w:tcW w:type="dxa" w:w="504"/>
            <w:shd w:val="clear" w:color="auto" w:fill="233884"/>
            <w:vAlign w:val="center"/>
          </w:tcPr>
          <w:p>
            <w:pPr>
              <w:pStyle w:val="Cell"/>
            </w:pPr>
            <w:r>
              <w:rPr>
                <w:b/>
                <w:color w:val="FFFFFF"/>
              </w:rPr>
              <w:t>#</w:t>
            </w:r>
          </w:p>
        </w:tc>
        <w:tc>
          <w:tcPr>
            <w:tcW w:type="dxa" w:w="5400"/>
            <w:shd w:val="clear" w:color="auto" w:fill="233884"/>
            <w:vAlign w:val="center"/>
          </w:tcPr>
          <w:p>
            <w:pPr>
              <w:pStyle w:val="Cell"/>
            </w:pPr>
            <w:r>
              <w:rPr>
                <w:b/>
                <w:color w:val="FFFFFF"/>
              </w:rPr>
              <w:t>Action</w:t>
            </w:r>
          </w:p>
        </w:tc>
        <w:tc>
          <w:tcPr>
            <w:tcW w:type="dxa" w:w="1872"/>
            <w:shd w:val="clear" w:color="auto" w:fill="233884"/>
            <w:vAlign w:val="center"/>
          </w:tcPr>
          <w:p>
            <w:pPr>
              <w:pStyle w:val="Cell"/>
            </w:pPr>
            <w:r>
              <w:rPr>
                <w:b/>
                <w:color w:val="FFFFFF"/>
              </w:rPr>
              <w:t>Owner</w:t>
            </w:r>
          </w:p>
        </w:tc>
        <w:tc>
          <w:tcPr>
            <w:tcW w:type="dxa" w:w="1224"/>
            <w:shd w:val="clear" w:color="auto" w:fill="233884"/>
            <w:vAlign w:val="center"/>
          </w:tcPr>
          <w:p>
            <w:pPr>
              <w:pStyle w:val="Cell"/>
            </w:pPr>
            <w:r>
              <w:rPr>
                <w:b/>
                <w:color w:val="FFFFFF"/>
              </w:rPr>
              <w:t>Due date</w:t>
            </w:r>
          </w:p>
        </w:tc>
        <w:tc>
          <w:tcPr>
            <w:tcW w:type="dxa" w:w="1224"/>
            <w:shd w:val="clear" w:color="auto" w:fill="233884"/>
            <w:vAlign w:val="center"/>
          </w:tcPr>
          <w:p>
            <w:pPr>
              <w:pStyle w:val="Cell"/>
            </w:pPr>
            <w:r>
              <w:rPr>
                <w:b/>
                <w:color w:val="FFFFFF"/>
              </w:rPr>
              <w:t>Status</w:t>
            </w:r>
          </w:p>
        </w:tc>
      </w:tr>
      <w:tr>
        <w:trPr>
          <w:trHeight w:val="518" w:hRule="exact"/>
        </w:trPr>
        <w:tc>
          <w:tcPr>
            <w:tcW w:type="dxa" w:w="504"/>
          </w:tcPr>
          <w:p>
            <w:pPr>
              <w:pStyle w:val="Cell"/>
              <w:jc w:val="center"/>
            </w:pPr>
            <w:r>
              <w:rPr>
                <w:b w:val="0"/>
                <w:i w:val="0"/>
                <w:color w:val="5A6B7B"/>
              </w:rPr>
              <w:t>1</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2</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3</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4</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5</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6</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7</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r>
        <w:trPr>
          <w:trHeight w:val="518" w:hRule="exact"/>
        </w:trPr>
        <w:tc>
          <w:tcPr>
            <w:tcW w:type="dxa" w:w="504"/>
          </w:tcPr>
          <w:p>
            <w:pPr>
              <w:pStyle w:val="Cell"/>
              <w:jc w:val="center"/>
            </w:pPr>
            <w:r>
              <w:rPr>
                <w:b w:val="0"/>
                <w:i w:val="0"/>
                <w:color w:val="5A6B7B"/>
              </w:rPr>
              <w:t>8</w:t>
            </w:r>
          </w:p>
        </w:tc>
        <w:tc>
          <w:tcPr>
            <w:tcW w:type="dxa" w:w="5400"/>
          </w:tcPr>
          <w:p>
            <w:pPr>
              <w:pStyle w:val="Cell"/>
            </w:pPr>
          </w:p>
        </w:tc>
        <w:tc>
          <w:tcPr>
            <w:tcW w:type="dxa" w:w="1872"/>
          </w:tcPr>
          <w:p>
            <w:pPr>
              <w:pStyle w:val="Cell"/>
            </w:pPr>
          </w:p>
        </w:tc>
        <w:tc>
          <w:tcPr>
            <w:tcW w:type="dxa" w:w="1224"/>
          </w:tcPr>
          <w:p>
            <w:pPr>
              <w:pStyle w:val="Cell"/>
            </w:pPr>
          </w:p>
        </w:tc>
        <w:tc>
          <w:tcPr>
            <w:tcW w:type="dxa" w:w="1224"/>
          </w:tcPr>
          <w:p>
            <w:pPr>
              <w:pStyle w:val="Cell"/>
            </w:pPr>
          </w:p>
        </w:tc>
      </w:tr>
    </w:tbl>
    <w:p>
      <w:pPr>
        <w:pStyle w:val="Hint"/>
      </w:pPr>
      <w:r>
        <w:t>Typical actions: publish or check a vulnerability disclosure policy and security contact; tell support, service and sales where to route reports; agree who signs off customer security notices; confirm regulatory reporting owners per market.</w:t>
      </w:r>
    </w:p>
    <w:p>
      <w:pPr>
        <w:pStyle w:val="Heading1Page"/>
      </w:pPr>
      <w:r>
        <w:t>Adapting this to your own product</w:t>
      </w:r>
    </w:p>
    <w:p>
      <w:r>
        <w:t>The scenario works because it is close to real life. Once your group has run it, make a version that is closer still:</w:t>
      </w:r>
    </w:p>
    <w:p>
      <w:pPr>
        <w:pStyle w:val="ListBullet"/>
      </w:pPr>
      <w:r>
        <w:rPr>
          <w:b/>
        </w:rPr>
        <w:t xml:space="preserve">Swap the device. </w:t>
      </w:r>
      <w:r>
        <w:t>Use one of your own products or product families, with its real connectivity, users and care setting (hospital, clinic or home).</w:t>
      </w:r>
    </w:p>
    <w:p>
      <w:pPr>
        <w:pStyle w:val="ListBullet"/>
      </w:pPr>
      <w:r>
        <w:rPr>
          <w:b/>
        </w:rPr>
        <w:t xml:space="preserve">Swap the vulnerability. </w:t>
      </w:r>
      <w:r>
        <w:t>Draw on your threat model, a public advisory for a similar product, or a past internal issue (sanitized). Keep it plausible and specific.</w:t>
      </w:r>
    </w:p>
    <w:p>
      <w:pPr>
        <w:pStyle w:val="ListBullet"/>
      </w:pPr>
      <w:r>
        <w:rPr>
          <w:b/>
        </w:rPr>
        <w:t xml:space="preserve">Swap the reporter. </w:t>
      </w:r>
      <w:r>
        <w:t>A researcher, a hospital security team, a customer complaint, a supplier notice, a coordination center or regulator, or one of your own engineers.</w:t>
      </w:r>
    </w:p>
    <w:p>
      <w:pPr>
        <w:pStyle w:val="ListBullet"/>
      </w:pPr>
      <w:r>
        <w:rPr>
          <w:b/>
        </w:rPr>
        <w:t xml:space="preserve">Keep the shape. </w:t>
      </w:r>
      <w:r>
        <w:t>Four to six injects across about a month of story time, each with one question and three or four options: at least one strong choice and one tempting weak one.</w:t>
      </w:r>
    </w:p>
    <w:p>
      <w:pPr>
        <w:pStyle w:val="ListBullet"/>
      </w:pPr>
      <w:r>
        <w:rPr>
          <w:b/>
        </w:rPr>
        <w:t xml:space="preserve">Check your own channels. </w:t>
      </w:r>
      <w:r>
        <w:t>Where would the first email land? Do you publish a way to report vulnerabilities? How do support, service and sales route what they hear? Use the routes your organization's procedure describes.</w:t>
      </w:r>
    </w:p>
    <w:p>
      <w:pPr>
        <w:pStyle w:val="ListBullet"/>
      </w:pPr>
      <w:r>
        <w:rPr>
          <w:b/>
        </w:rPr>
        <w:t xml:space="preserve">Check obligations with your regulatory team. </w:t>
      </w:r>
      <w:r>
        <w:t>Reporting and disclosure obligations differ by market and by risk. Ask your regulatory team which apply and write the strong options to match; don't rely on this kit for that.</w:t>
      </w:r>
    </w:p>
    <w:p>
      <w:pPr>
        <w:pStyle w:val="ListBullet"/>
      </w:pPr>
      <w:r>
        <w:rPr>
          <w:b/>
        </w:rPr>
        <w:t xml:space="preserve">Run it again. </w:t>
      </w:r>
      <w:r>
        <w:t>Repeat after process changes, and invite people who weren't in the first session.</w:t>
      </w:r>
    </w:p>
    <w:p>
      <w:pPr>
        <w:pStyle w:val="Heading2"/>
      </w:pPr>
      <w:r>
        <w:t>Optional curveballs</w:t>
      </w:r>
    </w:p>
    <w:p>
      <w:pPr>
        <w:pStyle w:val="Hint"/>
      </w:pPr>
      <w:r>
        <w:t>For a group that has run the scenario before, add one of these between injects.</w:t>
      </w:r>
    </w:p>
    <w:p>
      <w:pPr>
        <w:pStyle w:val="ListBullet"/>
      </w:pPr>
      <w:r>
        <w:t>The researcher writes that the conference has moved their talk forward by a month.</w:t>
      </w:r>
    </w:p>
    <w:p>
      <w:pPr>
        <w:pStyle w:val="ListBullet"/>
      </w:pPr>
      <w:r>
        <w:t>A journalist calls the sales team asking about "the pump hack".</w:t>
      </w:r>
    </w:p>
    <w:p>
      <w:pPr>
        <w:pStyle w:val="ListBullet"/>
      </w:pPr>
      <w:r>
        <w:t>A hospital reports pumps behaving oddly on its network; nobody knows yet whether it is related.</w:t>
      </w:r>
    </w:p>
    <w:p>
      <w:pPr>
        <w:pStyle w:val="ListBullet"/>
      </w:pPr>
      <w:r>
        <w:t>One large hospital says it can't segment its network before the fix ships.</w:t>
      </w:r>
    </w:p>
    <w:p>
      <w:pPr>
        <w:pStyle w:val="ListBullet"/>
      </w:pPr>
      <w:r>
        <w:t>The supplier of a component in the pump publishes its own advisory about a related flaw.</w:t>
      </w:r>
    </w:p>
    <w:p>
      <w:pPr>
        <w:spacing w:after="0" w:line="200" w:lineRule="exact"/>
      </w:pPr>
    </w:p>
    <w:p>
      <w:pPr>
        <w:pBdr>
          <w:left w:val="single" w:sz="24" w:space="6" w:color="1999B2"/>
        </w:pBdr>
        <w:shd w:val="clear" w:color="auto" w:fill="E7F4F7"/>
        <w:spacing w:before="80" w:after="160"/>
        <w:ind w:left="115"/>
      </w:pPr>
      <w:r>
        <w:rPr>
          <w:b/>
          <w:color w:val="7E44A9"/>
          <w:sz w:val="19"/>
        </w:rPr>
        <w:t xml:space="preserve">Fictional scenario.  </w:t>
      </w:r>
      <w:r>
        <w:rPr>
          <w:sz w:val="19"/>
        </w:rPr>
        <w:t>FlowGuard and every company, device, person and event in this scenario are fictional. This kit is training material, not legal or regulatory advice.</w:t>
      </w:r>
    </w:p>
    <w:sectPr w:rsidR="00FC693F" w:rsidRPr="0006063C" w:rsidSect="00034616">
      <w:headerReference w:type="default" r:id="rId9"/>
      <w:footerReference w:type="default" r:id="rId10"/>
      <w:pgSz w:w="12240" w:h="15840"/>
      <w:pgMar w:top="893"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altName w:val="Calibri"/>
    <w:panose1 w:val="020B05020300000000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 Security in One Hour · CC BY 4.0 · mjhillyer.github.io/Product-Security-in-One-Hour ·</w:t>
    </w:r>
    <w:r>
      <w:br/>
    </w:r>
    <w:r>
      <w:t xml:space="preserve">In-depth training: Matt Hillyer LLC, matt@matthillyer.io · Page </w:t>
    </w:r>
    <w:r>
      <w:fldChar w:fldCharType="begin" w:dirty="true"/>
    </w:r>
    <w:r>
      <w:instrText xml:space="preserve"> PAGE </w:instrText>
    </w:r>
    <w:r>
      <w:fldChar w:fldCharType="separate"/>
    </w:r>
    <w:r>
      <w:t>1</w:t>
    </w:r>
    <w:r>
      <w:fldChar w:fldCharType="end"/>
    </w:r>
    <w:r>
      <w:t xml:space="preserve"> of </w:t>
    </w:r>
    <w:r>
      <w:fldChar w:fldCharType="begin" w:dirty="true"/>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9C3396"/>
      </w:pBdr>
    </w:pPr>
    <w:r>
      <w:rPr>
        <w:b/>
        <w:color w:val="233884"/>
      </w:rPr>
      <w:t>Tabletop Exercise Kit: A Researcher Finds a Flaw</w:t>
    </w:r>
    <w:r>
      <w:t xml:space="preserve">   ·   Date: 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Inter" w:hAnsi="Inter" w:cs="Inter"/>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Inter" w:hAnsi="Inter" w:cs="Inter"/>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Inter" w:hAnsi="Inter" w:cs="Inter"/>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Inter" w:hAnsi="Inter" w:cs="Inte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Inter" w:hAnsi="Inter" w:cs="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Inter" w:hAnsi="Inter" w:cs="Inter"/>
      <w:color w:val="1B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s="Inter"/>
      <w:color w:val="5A6B7B"/>
      <w:sz w:val="16"/>
    </w:rPr>
  </w:style>
  <w:style w:type="character" w:customStyle="1" w:styleId="HeaderChar">
    <w:name w:val="Header Char"/>
    <w:basedOn w:val="DefaultParagraphFont"/>
    <w:link w:val="Header"/>
    <w:uiPriority w:val="99"/>
    <w:rsid w:val="00E618BF"/>
    <w:rPr>
      <w:rFonts w:ascii="Inter" w:hAnsi="Inter" w:cs="Inter"/>
      <w:color w:val="5A6B7B"/>
      <w:sz w:val="1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s="Inter"/>
      <w:color w:val="5A6B7B"/>
      <w:sz w:val="16"/>
    </w:rPr>
  </w:style>
  <w:style w:type="character" w:customStyle="1" w:styleId="FooterChar">
    <w:name w:val="Footer Char"/>
    <w:basedOn w:val="DefaultParagraphFont"/>
    <w:link w:val="Footer"/>
    <w:uiPriority w:val="99"/>
    <w:rsid w:val="00E618BF"/>
    <w:rPr>
      <w:rFonts w:ascii="Inter" w:hAnsi="Inter" w:cs="Inter"/>
      <w:color w:val="5A6B7B"/>
      <w:sz w:val="16"/>
    </w:rPr>
  </w:style>
  <w:style w:type="paragraph" w:styleId="Heading1">
    <w:name w:val="heading 1"/>
    <w:basedOn w:val="Normal"/>
    <w:next w:val="Normal"/>
    <w:link w:val="Heading1Char"/>
    <w:uiPriority w:val="9"/>
    <w:qFormat/>
    <w:rsid w:val="00FC693F"/>
    <w:pPr>
      <w:keepNext/>
      <w:keepLines/>
      <w:pBdr>
        <w:bottom w:val="single" w:sz="8" w:space="2" w:color="9C3396"/>
      </w:pBdr>
      <w:spacing w:before="200" w:after="80"/>
      <w:outlineLvl w:val="0"/>
    </w:pPr>
    <w:rPr>
      <w:rFonts w:ascii="Inter" w:hAnsi="Inter" w:cs="Inter"/>
      <w:b/>
      <w:bCs/>
      <w:i w:val="0"/>
      <w:color w:val="23388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Inter" w:hAnsi="Inter" w:cs="Inter"/>
      <w:b/>
      <w:bCs/>
      <w:i w:val="0"/>
      <w:color w:val="7E44A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Inter" w:hAnsi="Inter" w:cs="Inter"/>
      <w:b/>
      <w:bCs/>
      <w:i w:val="0"/>
      <w:color w:val="23388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Inter" w:hAnsi="Inter" w:cs="Inter"/>
      <w:b/>
      <w:bCs/>
      <w:i w:val="0"/>
      <w:color w:val="233884"/>
      <w:sz w:val="28"/>
      <w:szCs w:val="28"/>
    </w:rPr>
  </w:style>
  <w:style w:type="character" w:customStyle="1" w:styleId="Heading2Char">
    <w:name w:val="Heading 2 Char"/>
    <w:basedOn w:val="DefaultParagraphFont"/>
    <w:link w:val="Heading2"/>
    <w:uiPriority w:val="9"/>
    <w:rsid w:val="00FC693F"/>
    <w:rPr>
      <w:rFonts w:ascii="Inter" w:hAnsi="Inter" w:cs="Inter"/>
      <w:b/>
      <w:bCs/>
      <w:i w:val="0"/>
      <w:color w:val="7E44A9"/>
      <w:sz w:val="23"/>
      <w:szCs w:val="26"/>
    </w:rPr>
  </w:style>
  <w:style w:type="character" w:customStyle="1" w:styleId="Heading3Char">
    <w:name w:val="Heading 3 Char"/>
    <w:basedOn w:val="DefaultParagraphFont"/>
    <w:link w:val="Heading3"/>
    <w:uiPriority w:val="9"/>
    <w:rsid w:val="00FC693F"/>
    <w:rPr>
      <w:rFonts w:ascii="Inter" w:hAnsi="Inter" w:cs="Inter"/>
      <w:b/>
      <w:bCs/>
      <w:i w:val="0"/>
      <w:color w:val="233884"/>
      <w:sz w:val="21"/>
    </w:rPr>
  </w:style>
  <w:style w:type="paragraph" w:styleId="Title">
    <w:name w:val="Title"/>
    <w:basedOn w:val="Normal"/>
    <w:next w:val="Normal"/>
    <w:link w:val="TitleChar"/>
    <w:uiPriority w:val="10"/>
    <w:qFormat/>
    <w:rsid w:val="00FC693F"/>
    <w:pPr>
      <w:spacing w:after="40" w:line="240" w:lineRule="auto"/>
      <w:contextualSpacing/>
    </w:pPr>
    <w:rPr>
      <w:rFonts w:ascii="Inter" w:hAnsi="Inter" w:cs="Inter"/>
      <w:b/>
      <w:color w:val="1A2766"/>
      <w:spacing w:val="5"/>
      <w:kern w:val="28"/>
      <w:sz w:val="44"/>
      <w:szCs w:val="52"/>
    </w:rPr>
  </w:style>
  <w:style w:type="character" w:customStyle="1" w:styleId="TitleChar">
    <w:name w:val="Title Char"/>
    <w:basedOn w:val="DefaultParagraphFont"/>
    <w:link w:val="Title"/>
    <w:uiPriority w:val="10"/>
    <w:rsid w:val="00FC693F"/>
    <w:rPr>
      <w:rFonts w:ascii="Inter" w:hAnsi="Inter" w:cs="Inter"/>
      <w:b/>
      <w:color w:val="1A2766"/>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Inter" w:hAnsi="Inter" w:cs="Inter"/>
      <w:color w:val="1B27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Page">
    <w:name w:val="Heading 1 Page"/>
    <w:basedOn w:val="Heading1"/>
    <w:next w:val="Normal"/>
    <w:qFormat/>
    <w:pPr>
      <w:pageBreakBefore/>
      <w:pBdr>
        <w:bottom w:val="single" w:sz="8" w:space="2" w:color="9C3396"/>
      </w:pBdr>
      <w:spacing w:before="0"/>
    </w:pPr>
  </w:style>
  <w:style w:type="paragraph" w:customStyle="1" w:styleId="Heading2Page">
    <w:name w:val="Heading 2 Page"/>
    <w:basedOn w:val="Heading2"/>
    <w:next w:val="Normal"/>
    <w:qFormat/>
    <w:pPr>
      <w:pageBreakBefore/>
      <w:spacing w:before="0"/>
    </w:pPr>
  </w:style>
  <w:style w:type="paragraph" w:customStyle="1" w:styleId="Hint">
    <w:name w:val="Hint"/>
    <w:basedOn w:val="Normal"/>
    <w:pPr>
      <w:spacing w:after="80"/>
    </w:pPr>
    <w:rPr>
      <w:rFonts w:ascii="Inter" w:hAnsi="Inter" w:cs="Inter"/>
      <w:i/>
      <w:color w:val="5A6B7B"/>
      <w:sz w:val="17"/>
    </w:rPr>
  </w:style>
  <w:style w:type="paragraph" w:customStyle="1" w:styleId="Cell">
    <w:name w:val="Cell"/>
    <w:basedOn w:val="Normal"/>
    <w:pPr>
      <w:spacing w:after="0" w:line="240" w:lineRule="auto"/>
    </w:pPr>
    <w:rPr>
      <w:rFonts w:ascii="Inter" w:hAnsi="Inter" w:cs="Int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Tabletop Exercise Kit: A Researcher Finds a Flaw</dc:title>
  <dc:subject>Facilitator kit for the FlowGuard researcher-report tabletop exercise</dc:subject>
  <dc:creator>Product Security in One Hour</dc:creator>
  <cp:keywords/>
  <dc:description>generated by python-docx</dc:description>
  <cp:lastModifiedBy/>
  <cp:revision>1</cp:revision>
  <dcterms:created xsi:type="dcterms:W3CDTF">2013-12-23T23:15:00Z</dcterms:created>
  <dcterms:modified xsi:type="dcterms:W3CDTF">2013-12-23T23:15:00Z</dcterms:modified>
  <cp:category/>
</cp:coreProperties>
</file>