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OpenClaw Agent Session 与 Langfuse Session 语义映射架构设计</w:t>
      </w:r>
    </w:p>
    <w:p>
      <w:r>
        <w:rPr/>
        <w:t xml:space="preserve">文档定位：定义 OpenClaw Agent 运行时会话如何映射为 Langfuse 的可读、稳定且隐私安全的 Session 聚合标识。</w:t>
      </w:r>
    </w:p>
    <w:p>
      <w:pPr>
        <w:pStyle w:val="Heading1"/>
      </w:pPr>
      <w:r>
        <w:rPr/>
        <w:t xml:space="preserve">1. 设计目标与结论</w:t>
      </w:r>
    </w:p>
    <w:p>
      <w:r>
        <w:rPr/>
        <w:t xml:space="preserve">OpenClaw 与 Langfuse 的 Session 不是同一层级的对象。OpenClaw Agent Session 用于运行时路由、上下文续接与会话生命周期管理；Langfuse Session 用于将多次模型调用按业务会话聚合展示。设计的核心不是复制 OpenClaw 的内部 UUID，而是从稳定的 usageFamilyKey 提炼会话语义后，生成适合 Langfuse 聚合与检索的 ID。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设计目标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对应方案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语义可读</w:t>
            </w:r>
          </w:p>
        </w:tc>
        <w:tc>
          <w:tcPr>
            <w:tcW w:w="4500" w:type="dxa"/>
          </w:tcPr>
          <w:p>
            <w:r>
              <w:rPr/>
              <w:t xml:space="preserve">ID 显式包含 agent、channel、chatType；WebChat 主会话直接使用 main。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聚合稳定</w:t>
            </w:r>
          </w:p>
        </w:tc>
        <w:tc>
          <w:tcPr>
            <w:tcW w:w="4500" w:type="dxa"/>
          </w:tcPr>
          <w:p>
            <w:r>
              <w:rPr/>
              <w:t xml:space="preserve">同一 usageFamilyKey 派生同一语义 Session；保留 usage-family 哈希作稳定关联。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隐私安全</w:t>
            </w:r>
          </w:p>
        </w:tc>
        <w:tc>
          <w:tcPr>
            <w:tcW w:w="4500" w:type="dxa"/>
          </w:tcPr>
          <w:p>
            <w:r>
              <w:rPr/>
              <w:t xml:space="preserve">渠道的原始 peer/group/user 标识仅本地哈希，不进入外发 ID 或 metadata。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兼容运行时</w:t>
            </w:r>
          </w:p>
        </w:tc>
        <w:tc>
          <w:tcPr>
            <w:tcW w:w="4500" w:type="dxa"/>
          </w:tcPr>
          <w:p>
            <w:r>
              <w:rPr/>
              <w:t xml:space="preserve">保留 OpenClaw 原始 sessionId 为 metadata；不修改 sessions.json 或历史 Langfuse 数据。</w:t>
            </w:r>
          </w:p>
        </w:tc>
      </w:tr>
    </w:tbl>
    <w:p>
      <w:pPr>
        <w:pStyle w:val="Heading1"/>
      </w:pPr>
      <w:r>
        <w:rPr/>
        <w:t xml:space="preserve">2. 领域模型与职责边界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对象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职责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稳定性 / 可见性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OpenClaw sessionId</w:t>
            </w:r>
          </w:p>
        </w:tc>
        <w:tc>
          <w:tcPr>
            <w:tcW w:w="3000" w:type="dxa"/>
          </w:tcPr>
          <w:p>
            <w:r>
              <w:rPr/>
              <w:t xml:space="preserve">单次运行时会话实例标识；可能随 compaction/续接轮换。</w:t>
            </w:r>
          </w:p>
        </w:tc>
        <w:tc>
          <w:tcPr>
            <w:tcW w:w="3000" w:type="dxa"/>
          </w:tcPr>
          <w:p>
            <w:r>
              <w:rPr/>
              <w:t xml:space="preserve">不作为 Langfuse 聚合主键；保留为 openclaw_session_id。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usageFamilyKey</w:t>
            </w:r>
          </w:p>
        </w:tc>
        <w:tc>
          <w:tcPr>
            <w:tcW w:w="3000" w:type="dxa"/>
          </w:tcPr>
          <w:p>
            <w:r>
              <w:rPr/>
              <w:t xml:space="preserve">OpenClaw 会话家族/业务归属键；关联同一逻辑会话的多个 sessionId。</w:t>
            </w:r>
          </w:p>
        </w:tc>
        <w:tc>
          <w:tcPr>
            <w:tcW w:w="3000" w:type="dxa"/>
          </w:tcPr>
          <w:p>
            <w:r>
              <w:rPr/>
              <w:t xml:space="preserve">作为语义映射的主要输入；原值不外发。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Langfuse session.id</w:t>
            </w:r>
          </w:p>
        </w:tc>
        <w:tc>
          <w:tcPr>
            <w:tcW w:w="3000" w:type="dxa"/>
          </w:tcPr>
          <w:p>
            <w:r>
              <w:rPr/>
              <w:t xml:space="preserve">Langfuse Sessions 页面中的 Trace 聚合主键。</w:t>
            </w:r>
          </w:p>
        </w:tc>
        <w:tc>
          <w:tcPr>
            <w:tcW w:w="3000" w:type="dxa"/>
          </w:tcPr>
          <w:p>
            <w:r>
              <w:rPr/>
              <w:t xml:space="preserve">由语义映射层生成，供外部观测使用。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辅助 metadata</w:t>
            </w:r>
          </w:p>
        </w:tc>
        <w:tc>
          <w:tcPr>
            <w:tcW w:w="3000" w:type="dxa"/>
          </w:tcPr>
          <w:p>
            <w:r>
              <w:rPr/>
              <w:t xml:space="preserve">用于筛选、关联和故障诊断。</w:t>
            </w:r>
          </w:p>
        </w:tc>
        <w:tc>
          <w:tcPr>
            <w:tcW w:w="3000" w:type="dxa"/>
          </w:tcPr>
          <w:p>
            <w:r>
              <w:rPr/>
              <w:t xml:space="preserve">保留脱敏语义字段与 usageFamilyKey 哈希。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3. 总体映射架构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041130" cy="5424678"/>
            <wp:docPr id="1" name="Agent Session 到 Langfuse Session 映射架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claw-agent-to-langfuse-session-mapping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041130" cy="54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/>
        <w:t xml:space="preserve">图 1　Agent Session 域、语义映射层与 Langfuse Session 域之间的责任分离和数据流。</w:t>
      </w:r>
    </w:p>
    <w:p>
      <w:r>
        <w:br w:type="page"/>
      </w:r>
    </w:p>
    <w:p>
      <w:pPr>
        <w:pStyle w:val="Heading1"/>
      </w:pPr>
      <w:r>
        <w:rPr/>
        <w:t xml:space="preserve">4. Session Key 解析与语义分层</w:t>
      </w:r>
    </w:p>
    <w:p>
      <w:r>
        <w:rPr/>
        <w:t xml:space="preserve">输入为本地会话记录中的 usageFamilyKey。解析目标不是把每一段原样透传，而是提取四个领域维度：agentId、channel、chatType 与 conversation。agentId、channel 和 chatType 是可读的低敏感维度；conversation 可能携带渠道侧的用户或群组对象，因此默认被视为敏感标识。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usageFamilyKey 形态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解析结果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agent:main:main</w:t>
            </w:r>
          </w:p>
        </w:tc>
        <w:tc>
          <w:tcPr>
            <w:tcW w:w="3000" w:type="dxa"/>
          </w:tcPr>
          <w:p>
            <w:r>
              <w:rPr/>
              <w:t xml:space="preserve">agent=main；channel=webchat；chatType=direct；conversation=main</w:t>
            </w:r>
          </w:p>
        </w:tc>
        <w:tc>
          <w:tcPr>
            <w:tcW w:w="3000" w:type="dxa"/>
          </w:tcPr>
          <w:p>
            <w:r>
              <w:rPr/>
              <w:t xml:space="preserve">“main” 是 OpenClaw 主会话的特殊语义，不哈希。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agent:main:feishu:group:oc_&lt;groupId&gt;</w:t>
            </w:r>
          </w:p>
        </w:tc>
        <w:tc>
          <w:tcPr>
            <w:tcW w:w="3000" w:type="dxa"/>
          </w:tcPr>
          <w:p>
            <w:r>
              <w:rPr/>
              <w:t xml:space="preserve">agent=main；channel=feishu；chatType=group；conversation=oc_&lt;groupId&gt;</w:t>
            </w:r>
          </w:p>
        </w:tc>
        <w:tc>
          <w:tcPr>
            <w:tcW w:w="3000" w:type="dxa"/>
          </w:tcPr>
          <w:p>
            <w:r>
              <w:rPr/>
              <w:t xml:space="preserve">conversation 仅参与短哈希。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agent:main:feishu:direct:ou_&lt;userId&gt;</w:t>
            </w:r>
          </w:p>
        </w:tc>
        <w:tc>
          <w:tcPr>
            <w:tcW w:w="3000" w:type="dxa"/>
          </w:tcPr>
          <w:p>
            <w:r>
              <w:rPr/>
              <w:t xml:space="preserve">agent=main；channel=feishu；chatType=direct；conversation=ou_&lt;userId&gt;</w:t>
            </w:r>
          </w:p>
        </w:tc>
        <w:tc>
          <w:tcPr>
            <w:tcW w:w="3000" w:type="dxa"/>
          </w:tcPr>
          <w:p>
            <w:r>
              <w:rPr/>
              <w:t xml:space="preserve">conversation 仅参与短哈希。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agent:{agent}:{channel}:{account}:direct:{peer}</w:t>
            </w:r>
          </w:p>
        </w:tc>
        <w:tc>
          <w:tcPr>
            <w:tcW w:w="3000" w:type="dxa"/>
          </w:tcPr>
          <w:p>
            <w:r>
              <w:rPr/>
              <w:t xml:space="preserve">从 key 中定位 direct/group 段，再取其后的 peer</w:t>
            </w:r>
          </w:p>
        </w:tc>
        <w:tc>
          <w:tcPr>
            <w:tcW w:w="3000" w:type="dxa"/>
          </w:tcPr>
          <w:p>
            <w:r>
              <w:rPr/>
              <w:t xml:space="preserve">兼容带 account 范围的渠道会话键。</w:t>
            </w:r>
          </w:p>
        </w:tc>
      </w:tr>
    </w:tbl>
    <w:p>
      <w:pPr>
        <w:pStyle w:val="Heading1"/>
      </w:pPr>
      <w:r>
        <w:rPr/>
        <w:t xml:space="preserve">5. 具体映射规则</w:t>
      </w:r>
    </w:p>
    <w:p>
      <w:r>
        <w:rPr>
          <w:rFonts w:ascii="Consolas" w:hAnsi="Consolas"/>
        </w:rPr>
        <w:t xml:space="preserve">目标格式：</w:t>
      </w:r>
    </w:p>
    <w:p>
      <w:r>
        <w:rPr>
          <w:rFonts w:ascii="Consolas" w:hAnsi="Consolas"/>
        </w:rPr>
        <w:t xml:space="preserve">openclaw/{agent}/{channel}/{chatType}/{conversationKey}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conversationKey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最终 session.id 示例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WebChat 主会话</w:t>
            </w:r>
          </w:p>
        </w:tc>
        <w:tc>
          <w:tcPr>
            <w:tcW w:w="3000" w:type="dxa"/>
          </w:tcPr>
          <w:p>
            <w:r>
              <w:rPr/>
              <w:t xml:space="preserve">main</w:t>
            </w:r>
          </w:p>
        </w:tc>
        <w:tc>
          <w:tcPr>
            <w:tcW w:w="3000" w:type="dxa"/>
          </w:tcPr>
          <w:p>
            <w:r>
              <w:rPr/>
              <w:t xml:space="preserve">openclaw/main/webchat/direct/main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飞书群聊</w:t>
            </w:r>
          </w:p>
        </w:tc>
        <w:tc>
          <w:tcPr>
            <w:tcW w:w="3000" w:type="dxa"/>
          </w:tcPr>
          <w:p>
            <w:r>
              <w:rPr/>
              <w:t xml:space="preserve">shortHash(oc_&lt;groupId&gt;)</w:t>
            </w:r>
          </w:p>
        </w:tc>
        <w:tc>
          <w:tcPr>
            <w:tcW w:w="3000" w:type="dxa"/>
          </w:tcPr>
          <w:p>
            <w:r>
              <w:rPr/>
              <w:t xml:space="preserve">openclaw/main/feishu/group/05d9f3879d6e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飞书私聊</w:t>
            </w:r>
          </w:p>
        </w:tc>
        <w:tc>
          <w:tcPr>
            <w:tcW w:w="3000" w:type="dxa"/>
          </w:tcPr>
          <w:p>
            <w:r>
              <w:rPr/>
              <w:t xml:space="preserve">shortHash(ou_&lt;userId&gt;)</w:t>
            </w:r>
          </w:p>
        </w:tc>
        <w:tc>
          <w:tcPr>
            <w:tcW w:w="3000" w:type="dxa"/>
          </w:tcPr>
          <w:p>
            <w:r>
              <w:rPr/>
              <w:t xml:space="preserve">openclaw/main/feishu/direct/ac69e038e2bb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未知/本地记录未命中</w:t>
            </w:r>
          </w:p>
        </w:tc>
        <w:tc>
          <w:tcPr>
            <w:tcW w:w="3000" w:type="dxa"/>
          </w:tcPr>
          <w:p>
            <w:r>
              <w:rPr/>
              <w:t xml:space="preserve">shortHash(runtime sessionId)</w:t>
            </w:r>
          </w:p>
        </w:tc>
        <w:tc>
          <w:tcPr>
            <w:tcW w:w="3000" w:type="dxa"/>
          </w:tcPr>
          <w:p>
            <w:r>
              <w:rPr/>
              <w:t xml:space="preserve">openclaw/unknown/unknown/unknown/&lt;shortHash&gt;</w:t>
            </w:r>
          </w:p>
        </w:tc>
      </w:tr>
    </w:tbl>
    <w:p>
      <w:pPr>
        <w:numPr>
          <w:ilvl w:val="0"/>
          <w:numId w:val="1"/>
        </w:numPr>
      </w:pPr>
      <w:r>
        <w:t>shortHash 使用 SHA-256 后截取 12 位十六进制字符：确定性、不可直接反推原始对象，且适合 Langfuse 页面展示。</w:t>
      </w:r>
    </w:p>
    <w:p>
      <w:pPr>
        <w:numPr>
          <w:ilvl w:val="0"/>
          <w:numId w:val="1"/>
        </w:numPr>
      </w:pPr>
      <w:r>
        <w:t>semanticSegment 仅用于可读维度，转为小写路径安全片段并限制长度；不对渠道对象做语义清洗后再哈希，避免破坏其稳定性。</w:t>
      </w:r>
    </w:p>
    <w:p>
      <w:pPr>
        <w:numPr>
          <w:ilvl w:val="0"/>
          <w:numId w:val="1"/>
        </w:numPr>
      </w:pPr>
      <w:r>
        <w:t>解析时定位 direct/group 段而非依赖固定索引，以兼容带 accountId 的会话键。</w:t>
      </w:r>
    </w:p>
    <w:p>
      <w:pPr>
        <w:pStyle w:val="Heading1"/>
      </w:pPr>
      <w:r>
        <w:rPr/>
        <w:t xml:space="preserve">6. 外发字段与隐私边界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是否外发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用途 / 约束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session.id</w:t>
            </w:r>
          </w:p>
        </w:tc>
        <w:tc>
          <w:tcPr>
            <w:tcW w:w="3000" w:type="dxa"/>
          </w:tcPr>
          <w:p>
            <w:r>
              <w:rPr/>
              <w:t xml:space="preserve">是</w:t>
            </w:r>
          </w:p>
        </w:tc>
        <w:tc>
          <w:tcPr>
            <w:tcW w:w="3000" w:type="dxa"/>
          </w:tcPr>
          <w:p>
            <w:r>
              <w:rPr/>
              <w:t xml:space="preserve">语义化 Langfuse Session 聚合 ID。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openclaw_semantic_session_id</w:t>
            </w:r>
          </w:p>
        </w:tc>
        <w:tc>
          <w:tcPr>
            <w:tcW w:w="3000" w:type="dxa"/>
          </w:tcPr>
          <w:p>
            <w:r>
              <w:rPr/>
              <w:t xml:space="preserve">是</w:t>
            </w:r>
          </w:p>
        </w:tc>
        <w:tc>
          <w:tcPr>
            <w:tcW w:w="3000" w:type="dxa"/>
          </w:tcPr>
          <w:p>
            <w:r>
              <w:rPr/>
              <w:t xml:space="preserve">与 session.id 相同，便于 metadata 查询。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openclaw_usage_family_key_hash</w:t>
            </w:r>
          </w:p>
        </w:tc>
        <w:tc>
          <w:tcPr>
            <w:tcW w:w="3000" w:type="dxa"/>
          </w:tcPr>
          <w:p>
            <w:r>
              <w:rPr/>
              <w:t xml:space="preserve">是</w:t>
            </w:r>
          </w:p>
        </w:tc>
        <w:tc>
          <w:tcPr>
            <w:tcW w:w="3000" w:type="dxa"/>
          </w:tcPr>
          <w:p>
            <w:r>
              <w:rPr/>
              <w:t xml:space="preserve">usageFamilyKey 的稳定 SHA-256 截断哈希，用于关联。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openclaw_session_id</w:t>
            </w:r>
          </w:p>
        </w:tc>
        <w:tc>
          <w:tcPr>
            <w:tcW w:w="3000" w:type="dxa"/>
          </w:tcPr>
          <w:p>
            <w:r>
              <w:rPr/>
              <w:t xml:space="preserve">是</w:t>
            </w:r>
          </w:p>
        </w:tc>
        <w:tc>
          <w:tcPr>
            <w:tcW w:w="3000" w:type="dxa"/>
          </w:tcPr>
          <w:p>
            <w:r>
              <w:rPr/>
              <w:t xml:space="preserve">运行时诊断关联；不是 Langfuse 聚合主键。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openclaw_agent_id / channel / chat_type</w:t>
            </w:r>
          </w:p>
        </w:tc>
        <w:tc>
          <w:tcPr>
            <w:tcW w:w="3000" w:type="dxa"/>
          </w:tcPr>
          <w:p>
            <w:r>
              <w:rPr/>
              <w:t xml:space="preserve">是</w:t>
            </w:r>
          </w:p>
        </w:tc>
        <w:tc>
          <w:tcPr>
            <w:tcW w:w="3000" w:type="dxa"/>
          </w:tcPr>
          <w:p>
            <w:r>
              <w:rPr/>
              <w:t xml:space="preserve">低敏感、可读的筛选维度。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原始 usageFamilyKey</w:t>
            </w:r>
          </w:p>
        </w:tc>
        <w:tc>
          <w:tcPr>
            <w:tcW w:w="3000" w:type="dxa"/>
          </w:tcPr>
          <w:p>
            <w:r>
              <w:rPr/>
              <w:t xml:space="preserve">否</w:t>
            </w:r>
          </w:p>
        </w:tc>
        <w:tc>
          <w:tcPr>
            <w:tcW w:w="3000" w:type="dxa"/>
          </w:tcPr>
          <w:p>
            <w:r>
              <w:rPr/>
              <w:t xml:space="preserve">可能含渠道对象标识。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origin.from / origin.to / origin.label</w:t>
            </w:r>
          </w:p>
        </w:tc>
        <w:tc>
          <w:tcPr>
            <w:tcW w:w="3000" w:type="dxa"/>
          </w:tcPr>
          <w:p>
            <w:r>
              <w:rPr/>
              <w:t xml:space="preserve">否</w:t>
            </w:r>
          </w:p>
        </w:tc>
        <w:tc>
          <w:tcPr>
            <w:tcW w:w="3000" w:type="dxa"/>
          </w:tcPr>
          <w:p>
            <w:r>
              <w:rPr/>
              <w:t xml:space="preserve">可能含通信对象或内容相关标识。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飞书 oc_… / ou_…</w:t>
            </w:r>
          </w:p>
        </w:tc>
        <w:tc>
          <w:tcPr>
            <w:tcW w:w="3000" w:type="dxa"/>
          </w:tcPr>
          <w:p>
            <w:r>
              <w:rPr/>
              <w:t xml:space="preserve">否</w:t>
            </w:r>
          </w:p>
        </w:tc>
        <w:tc>
          <w:tcPr>
            <w:tcW w:w="3000" w:type="dxa"/>
          </w:tcPr>
          <w:p>
            <w:r>
              <w:rPr/>
              <w:t xml:space="preserve">只能在本地参与 shortHash 计算。</w:t>
            </w:r>
          </w:p>
        </w:tc>
      </w:tr>
    </w:tbl>
    <w:p>
      <w:pPr>
        <w:pStyle w:val="Heading1"/>
      </w:pPr>
      <w:r>
        <w:rPr/>
        <w:t xml:space="preserve">7. Trace 命名与数据流</w:t>
      </w:r>
    </w:p>
    <w:p>
      <w:r>
        <w:rPr/>
        <w:t xml:space="preserve">每次 Anthropic 流式调用先通过 sessionId 查找本地 Session Record，然后构造 semantic session metadata。OTLP 导出时：session.id 使用语义化 ID；langfuse.trace.name 使用 openclaw-{channel}-{chatType}-anthropic，例如 openclaw-feishu-group-anthropic。这样 Langfuse 可同时按 Session 聚合，也可通过 Trace 名称区分调用来源。</w:t>
      </w:r>
    </w:p>
    <w:p>
      <w:r>
        <w:rPr/>
        <w:t xml:space="preserve">数据流：请求携带运行时 sessionId → 本地查找会话记录 → 解析 usageFamilyKey → 生成脱敏语义 Session ID 与 metadata → 写入 OTLP Trace → Langfuse 按 session.id 聚合。</w:t>
      </w:r>
    </w:p>
    <w:p>
      <w:pPr>
        <w:pStyle w:val="Heading1"/>
      </w:pPr>
      <w:r>
        <w:rPr/>
        <w:t xml:space="preserve">8. 兼容性、降级与验证</w:t>
      </w:r>
    </w:p>
    <w:p>
      <w:pPr>
        <w:numPr>
          <w:ilvl w:val="0"/>
          <w:numId w:val="1"/>
        </w:numPr>
      </w:pPr>
      <w:r>
        <w:t>不修改 OpenClaw sessions.json、运行时会话注册或 Langfuse 已存历史数据；仅影响后续新 Trace。</w:t>
      </w:r>
    </w:p>
    <w:p>
      <w:pPr>
        <w:numPr>
          <w:ilvl w:val="0"/>
          <w:numId w:val="1"/>
        </w:numPr>
      </w:pPr>
      <w:r>
        <w:t>usageFamilyKey 不存在或本地会话记录未命中时，使用 runtime sessionId 短哈希作为 conversationKey，确保不同未知会话不会错误合并。</w:t>
      </w:r>
    </w:p>
    <w:p>
      <w:pPr>
        <w:numPr>
          <w:ilvl w:val="0"/>
          <w:numId w:val="1"/>
        </w:numPr>
      </w:pPr>
      <w:r>
        <w:t>已验证语法检查、插件动态导入、WebChat 主会话、飞书群聊与飞书私聊的实际 metadata 输出。</w:t>
      </w:r>
    </w:p>
    <w:p>
      <w:pPr>
        <w:numPr>
          <w:ilvl w:val="0"/>
          <w:numId w:val="1"/>
        </w:numPr>
      </w:pPr>
      <w:r>
        <w:t>验证要点：session.id 符合 openclaw/… 结构；飞书原始 ID 未出现；usage-family 哈希仍在 record 含 usageFamilyKey 时输出。</w:t>
      </w:r>
    </w:p>
    <w:p>
      <w:pPr>
        <w:pStyle w:val="Heading1"/>
      </w:pPr>
      <w:r>
        <w:rPr/>
        <w:t xml:space="preserve">9. 后续扩展规则</w:t>
      </w:r>
    </w:p>
    <w:p>
      <w:r>
        <w:rPr/>
        <w:t xml:space="preserve">接入新渠道前，应先记录 usageFamilyKey 的真实形态，再明确哪些段是低敏感语义分类、哪些段是外部主体标识。低敏感分类可以进入路径；外部主体、群组、用户、电话号码或第三方资源 ID 必须只以稳定短哈希形式进入 conversationKey。</w:t>
      </w:r>
    </w:p>
    <w:sectPr>
      <w:pgSz w:w="16838" w:h="11906" w:orient="landscape"/>
      <w:pgMar w:top="900" w:right="900" w:bottom="900" w:left="9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PingFang SC"/>
      <w:sz w:val="22"/>
    </w:rPr>
  </w:style>
  <w:style w:type="paragraph" w:styleId="Title">
    <w:name w:val="Title"/>
    <w:basedOn w:val="Normal"/>
    <w:rPr>
      <w:b/>
      <w:sz w:val="36"/>
      <w:color w:val="1F4E79"/>
    </w:rPr>
  </w:style>
  <w:style w:type="paragraph" w:styleId="Heading1">
    <w:name w:val="heading 1"/>
    <w:basedOn w:val="Normal"/>
    <w:rPr>
      <w:b/>
      <w:sz w:val="28"/>
      <w:color w:val="1F4E79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/Relationships>
</file>