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OpenClaw Langfuse 语义化会话标识实施经验总结</w:t>
      </w:r>
    </w:p>
    <w:p>
      <w:r>
        <w:rPr/>
        <w:t xml:space="preserve">文档用途：将一次可复用的可观测性改造沉淀为工程经验，便于在 OpenClaw、Langfuse 和其他消息渠道接入中复用。</w:t>
      </w:r>
    </w:p>
    <w:p>
      <w:pPr>
        <w:pStyle w:val="Heading1"/>
      </w:pPr>
      <w:r>
        <w:rPr/>
        <w:t xml:space="preserve">一、执行结论</w:t>
      </w:r>
    </w:p>
    <w:p>
      <w:r>
        <w:rPr/>
        <w:t xml:space="preserve">已将 OpenClaw 的 Langfuse session.id 从难以阅读的稳定哈希，改为同时具备“来源语义 + 隐私保护 + 稳定关联”的标识。新产生的 Trace 可在 Langfuse Sessions 视图中按 agent、渠道、会话类型快速理解；历史数据和 OpenClaw 运行时会话注册表均未改动。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会话来源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语义化 session.id 示例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隐私处理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WebChat 主会话</w:t>
            </w:r>
          </w:p>
        </w:tc>
        <w:tc>
          <w:tcPr>
            <w:tcW w:w="3000" w:type="dxa"/>
          </w:tcPr>
          <w:p>
            <w:r>
              <w:rPr/>
              <w:t xml:space="preserve">openclaw/main/webchat/direct/main</w:t>
            </w:r>
          </w:p>
        </w:tc>
        <w:tc>
          <w:tcPr>
            <w:tcW w:w="3000" w:type="dxa"/>
          </w:tcPr>
          <w:p>
            <w:r>
              <w:rPr/>
              <w:t xml:space="preserve">固定 main，不暴露内部会话 UUID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飞书群聊</w:t>
            </w:r>
          </w:p>
        </w:tc>
        <w:tc>
          <w:tcPr>
            <w:tcW w:w="3000" w:type="dxa"/>
          </w:tcPr>
          <w:p>
            <w:r>
              <w:rPr/>
              <w:t xml:space="preserve">openclaw/main/feishu/group/&lt;shortHash&gt;</w:t>
            </w:r>
          </w:p>
        </w:tc>
        <w:tc>
          <w:tcPr>
            <w:tcW w:w="3000" w:type="dxa"/>
          </w:tcPr>
          <w:p>
            <w:r>
              <w:rPr/>
              <w:t xml:space="preserve">oc_ 群 ID 仅在本地参与哈希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飞书私聊</w:t>
            </w:r>
          </w:p>
        </w:tc>
        <w:tc>
          <w:tcPr>
            <w:tcW w:w="3000" w:type="dxa"/>
          </w:tcPr>
          <w:p>
            <w:r>
              <w:rPr/>
              <w:t xml:space="preserve">openclaw/main/feishu/direct/&lt;shortHash&gt;</w:t>
            </w:r>
          </w:p>
        </w:tc>
        <w:tc>
          <w:tcPr>
            <w:tcW w:w="3000" w:type="dxa"/>
          </w:tcPr>
          <w:p>
            <w:r>
              <w:rPr/>
              <w:t xml:space="preserve">ou_ 用户 ID 仅在本地参与哈希</w:t>
            </w:r>
          </w:p>
        </w:tc>
      </w:tr>
    </w:tbl>
    <w:p>
      <w:pPr>
        <w:pStyle w:val="Heading1"/>
      </w:pPr>
      <w:r>
        <w:rPr/>
        <w:t xml:space="preserve">二、总体流程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5143500"/>
            <wp:docPr id="1" name="语义化会话映射流程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claw-langfuse-semantic-session-flow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/>
        <w:t xml:space="preserve">图 1　OpenClaw 本地会话到 Langfuse 语义化会话的隐私安全映射。</w:t>
      </w:r>
    </w:p>
    <w:p>
      <w:pPr>
        <w:pStyle w:val="Heading1"/>
      </w:pPr>
      <w:r>
        <w:rPr/>
        <w:t xml:space="preserve">三、实施方法</w:t>
      </w:r>
    </w:p>
    <w:p>
      <w:pPr>
        <w:numPr>
          <w:ilvl w:val="0"/>
          <w:numId w:val="1"/>
        </w:numPr>
      </w:pPr>
      <w:r>
        <w:t>保持既有 hashUsageFamilyKey() 不变：继续生成 openclaw_usage_family_key_hash，确保历史关联方式可用。</w:t>
      </w:r>
    </w:p>
    <w:p>
      <w:pPr>
        <w:numPr>
          <w:ilvl w:val="0"/>
          <w:numId w:val="1"/>
        </w:numPr>
      </w:pPr>
      <w:r>
        <w:t>从本地 sessions.json 定位运行时会话记录，解析 agent、channel 和 chatType；WebChat 主会话明确映射到 webchat/direct/main。</w:t>
      </w:r>
    </w:p>
    <w:p>
      <w:pPr>
        <w:numPr>
          <w:ilvl w:val="0"/>
          <w:numId w:val="1"/>
        </w:numPr>
      </w:pPr>
      <w:r>
        <w:t>对飞书等外部会话对象使用 SHA-256 截断短哈希，拼接为 openclaw/{agent}/{channel}/{chatType}/{conversation}。</w:t>
      </w:r>
    </w:p>
    <w:p>
      <w:pPr>
        <w:numPr>
          <w:ilvl w:val="0"/>
          <w:numId w:val="1"/>
        </w:numPr>
      </w:pPr>
      <w:r>
        <w:t>在 metadata 中同时保存 openclaw_semantic_session_id、openclaw_agent_id、openclaw_channel、openclaw_chat_type 和稳定关联哈希。</w:t>
      </w:r>
    </w:p>
    <w:p>
      <w:pPr>
        <w:numPr>
          <w:ilvl w:val="0"/>
          <w:numId w:val="1"/>
        </w:numPr>
      </w:pPr>
      <w:r>
        <w:t>将 langfuse.trace.name 改为来源感知形式，如 openclaw-feishu-group-anthropic。</w:t>
      </w:r>
    </w:p>
    <w:p>
      <w:pPr>
        <w:pStyle w:val="Heading1"/>
      </w:pPr>
      <w:r>
        <w:rPr/>
        <w:t xml:space="preserve">四、关键实现约束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约束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处理原则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隐私</w:t>
            </w:r>
          </w:p>
        </w:tc>
        <w:tc>
          <w:tcPr>
            <w:tcW w:w="4500" w:type="dxa"/>
          </w:tcPr>
          <w:p>
            <w:r>
              <w:rPr/>
              <w:t xml:space="preserve">不得写出 raw usageFamilyKey、origin.from、origin.to、origin.label、飞书 oc_… 或 ou_…。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可读性</w:t>
            </w:r>
          </w:p>
        </w:tc>
        <w:tc>
          <w:tcPr>
            <w:tcW w:w="4500" w:type="dxa"/>
          </w:tcPr>
          <w:p>
            <w:r>
              <w:rPr/>
              <w:t xml:space="preserve">渠道与会话类型使用受控、路径安全的小写语义段；主 WebChat 会话使用 main。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稳定性</w:t>
            </w:r>
          </w:p>
        </w:tc>
        <w:tc>
          <w:tcPr>
            <w:tcW w:w="4500" w:type="dxa"/>
          </w:tcPr>
          <w:p>
            <w:r>
              <w:rPr/>
              <w:t xml:space="preserve">外部对象标识使用确定性 SHA-256 短哈希；同一会话持续落入同一 Langfuse Session。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兼容性</w:t>
            </w:r>
          </w:p>
        </w:tc>
        <w:tc>
          <w:tcPr>
            <w:tcW w:w="4500" w:type="dxa"/>
          </w:tcPr>
          <w:p>
            <w:r>
              <w:rPr/>
              <w:t xml:space="preserve">保留原始 openclaw_session_id 及 usage-family 哈希；不迁移、不重写历史 Trace。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健壮性</w:t>
            </w:r>
          </w:p>
        </w:tc>
        <w:tc>
          <w:tcPr>
            <w:tcW w:w="4500" w:type="dxa"/>
          </w:tcPr>
          <w:p>
            <w:r>
              <w:rPr/>
              <w:t xml:space="preserve">未知或记录缺失时，使用运行时 sessionId 的短哈希，避免多个未知会话聚合到同一个 Session。</w:t>
            </w:r>
          </w:p>
        </w:tc>
      </w:tr>
    </w:tbl>
    <w:p>
      <w:pPr>
        <w:pStyle w:val="Heading1"/>
      </w:pPr>
      <w:r>
        <w:rPr/>
        <w:t xml:space="preserve">五、验证记录</w:t>
      </w:r>
    </w:p>
    <w:p>
      <w:pPr>
        <w:numPr>
          <w:ilvl w:val="0"/>
          <w:numId w:val="1"/>
        </w:numPr>
      </w:pPr>
      <w:r>
        <w:t>通过 node --check 对插件 JavaScript 做语法检查。</w:t>
      </w:r>
    </w:p>
    <w:p>
      <w:pPr>
        <w:numPr>
          <w:ilvl w:val="0"/>
          <w:numId w:val="1"/>
        </w:numPr>
      </w:pPr>
      <w:r>
        <w:t>通过动态 import 校验默认导出存在且插件 ID 为 langfuse-session。</w:t>
      </w:r>
    </w:p>
    <w:p>
      <w:pPr>
        <w:numPr>
          <w:ilvl w:val="0"/>
          <w:numId w:val="1"/>
        </w:numPr>
      </w:pPr>
      <w:r>
        <w:t>使用三个真实会话类型的本地记录进行运行时 metadata 检查：WebChat 主会话、飞书群聊、飞书私聊。</w:t>
      </w:r>
    </w:p>
    <w:p>
      <w:pPr>
        <w:numPr>
          <w:ilvl w:val="0"/>
          <w:numId w:val="1"/>
        </w:numPr>
      </w:pPr>
      <w:r>
        <w:t>人工确认 session.id 和新增 metadata 不包含飞书原始 oc_/ou_ 标识；usage-family 哈希仍在 usageFamilyKey 存在时输出。</w:t>
      </w:r>
    </w:p>
    <w:p>
      <w:pPr>
        <w:pStyle w:val="Heading1"/>
      </w:pPr>
      <w:r>
        <w:rPr/>
        <w:t xml:space="preserve">六、运行与维护说明</w:t>
      </w:r>
    </w:p>
    <w:p>
      <w:r>
        <w:rPr>
          <w:rFonts w:ascii="Consolas" w:hAnsi="Consolas"/>
        </w:rPr>
        <w:t xml:space="preserve">目标插件：/Users/mjhorse/.openclaw/extensions/openclaw-langfuse-session/index.js</w:t>
      </w:r>
    </w:p>
    <w:p>
      <w:r>
        <w:rPr>
          <w:rFonts w:ascii="Consolas" w:hAnsi="Consolas"/>
        </w:rPr>
        <w:t xml:space="preserve">会话记录来源：/Users/mjhorse/.openclaw/agents/main/sessions/sessions.json</w:t>
      </w:r>
    </w:p>
    <w:p>
      <w:r>
        <w:rPr/>
        <w:t xml:space="preserve">变更对运行中的 OpenClaw 会话无侵入：插件只在新请求产生 Trace 时读取本地记录并组装外发 OTLP 属性。若未来增加新渠道，应补充渠道/会话类型的结构化解析规则，继续遵循“语义段白名单 + 外部对象哈希”的模式。</w:t>
      </w:r>
    </w:p>
    <w:p>
      <w:pPr>
        <w:pStyle w:val="Heading1"/>
      </w:pPr>
      <w:r>
        <w:rPr/>
        <w:t xml:space="preserve">七、风险与后续动作</w:t>
      </w:r>
    </w:p>
    <w:tbl>
      <w:tblPr>
        <w:tblW w:w="9000" w:type="dxa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</w:tblPr>
      <w:tblGrid>
        <w:gridCol w:w="3000"/>
        <w:gridCol w:w="30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结论 / 建议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历史数据</w:t>
            </w:r>
          </w:p>
        </w:tc>
        <w:tc>
          <w:tcPr>
            <w:tcW w:w="4500" w:type="dxa"/>
          </w:tcPr>
          <w:p>
            <w:r>
              <w:rPr/>
              <w:t xml:space="preserve">不回填；Langfuse 中已有历史 Session 仍保留原有命名。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哈希碰撞</w:t>
            </w:r>
          </w:p>
        </w:tc>
        <w:tc>
          <w:tcPr>
            <w:tcW w:w="4500" w:type="dxa"/>
          </w:tcPr>
          <w:p>
            <w:r>
              <w:rPr/>
              <w:t xml:space="preserve">12 位十六进制短哈希适用于当前规模；如会话规模显著增长，可评估增加长度。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新渠道接入</w:t>
            </w:r>
          </w:p>
        </w:tc>
        <w:tc>
          <w:tcPr>
            <w:tcW w:w="4500" w:type="dxa"/>
          </w:tcPr>
          <w:p>
            <w:r>
              <w:rPr/>
              <w:t xml:space="preserve">先验证 usageFamilyKey 的实际结构，再定义可读的 channel/chatType 与需哈希的 conversation 部分。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观测检查</w:t>
            </w:r>
          </w:p>
        </w:tc>
        <w:tc>
          <w:tcPr>
            <w:tcW w:w="4500" w:type="dxa"/>
          </w:tcPr>
          <w:p>
            <w:r>
              <w:rPr/>
              <w:t xml:space="preserve">在 Langfuse Sessions 按 openclaw_semantic_session_id 或 openclaw_channel 过滤，确认命名和聚合符合预期。</w:t>
            </w:r>
          </w:p>
        </w:tc>
      </w:tr>
    </w:tbl>
    <w:p>
      <w:pPr>
        <w:pStyle w:val="Heading1"/>
      </w:pPr>
      <w:r>
        <w:rPr/>
        <w:t xml:space="preserve">八、可复用经验</w:t>
      </w:r>
    </w:p>
    <w:p>
      <w:r>
        <w:rPr/>
        <w:t xml:space="preserve">可观测性系统中的 session 标识不应只追求唯一性，也应为运营排障提供最小必要的上下文。推荐将“可解释的非敏感维度”直接结构化展示，将“外部主体或用户标识”替换为稳定哈希，并保留单独的关联哈希字段以支持跨版本核对。这样可在可读性、隐私和诊断能力之间取得平衡。</w:t>
      </w:r>
    </w:p>
    <w:sectPr>
      <w:pgSz w:w="16838" w:h="11906" w:orient="landscape"/>
      <w:pgMar w:top="900" w:right="900" w:bottom="900" w:left="9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eastAsia="PingFang SC"/>
      <w:sz w:val="22"/>
    </w:rPr>
  </w:style>
  <w:style w:type="paragraph" w:styleId="Title">
    <w:name w:val="Title"/>
    <w:basedOn w:val="Normal"/>
    <w:rPr>
      <w:b/>
      <w:sz w:val="36"/>
      <w:color w:val="1F4E79"/>
    </w:rPr>
  </w:style>
  <w:style w:type="paragraph" w:styleId="Heading1">
    <w:name w:val="heading 1"/>
    <w:basedOn w:val="Normal"/>
    <w:rPr>
      <w:b/>
      <w:sz w:val="28"/>
      <w:color w:val="1F4E7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/Relationships>
</file>