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6A7E41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</w:t>
            </w:r>
            <w:r w:rsidR="002E7162">
              <w:t>31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C90B3A">
              <w:t>1</w:t>
            </w:r>
            <w:r w:rsidR="002F6F08">
              <w:t>/</w:t>
            </w:r>
            <w:r w:rsidR="002E7162">
              <w:t>30</w:t>
            </w:r>
            <w:r w:rsidR="005E3384">
              <w:t>/</w:t>
            </w:r>
            <w:r>
              <w:t>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 xml:space="preserve">, Zhang, Ye, Chawla. “Multimodal network representation learning: Methods and Applications,”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bookmarkStart w:id="0" w:name="_GoBack"/>
            <w:bookmarkEnd w:id="0"/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 xml:space="preserve">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B125A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683D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38</cp:revision>
  <cp:lastPrinted>2020-08-26T03:27:00Z</cp:lastPrinted>
  <dcterms:created xsi:type="dcterms:W3CDTF">2020-08-26T03:27:00Z</dcterms:created>
  <dcterms:modified xsi:type="dcterms:W3CDTF">2020-12-02T13:58:00Z</dcterms:modified>
</cp:coreProperties>
</file>