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C979642" w:rsidR="000412D9" w:rsidRDefault="004A2114">
            <w:r>
              <w:t xml:space="preserve">Citations: </w:t>
            </w:r>
            <w:r w:rsidR="00020C24">
              <w:t>40</w:t>
            </w:r>
            <w:r w:rsidR="00731D18">
              <w:t>91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020C24">
              <w:t>1</w:t>
            </w:r>
            <w:r w:rsidR="00977220">
              <w:t xml:space="preserve">; i10-index: </w:t>
            </w:r>
            <w:r w:rsidR="00C4141A">
              <w:t>6</w:t>
            </w:r>
            <w:r w:rsidR="00020C24">
              <w:t>5</w:t>
            </w:r>
          </w:p>
        </w:tc>
        <w:tc>
          <w:tcPr>
            <w:tcW w:w="1435" w:type="dxa"/>
          </w:tcPr>
          <w:p w14:paraId="3AA02FDA" w14:textId="19FF2360" w:rsidR="000412D9" w:rsidRDefault="004A2114">
            <w:r>
              <w:t>(</w:t>
            </w:r>
            <w:r w:rsidR="00965F63">
              <w:t>0</w:t>
            </w:r>
            <w:r w:rsidR="00681A4F">
              <w:t>9/26</w:t>
            </w:r>
            <w:r w:rsidR="00E00EAC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2D3DE587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134B2B">
              <w:rPr>
                <w:b/>
              </w:rPr>
              <w:t>1</w:t>
            </w:r>
            <w:r w:rsidR="00CF7234">
              <w:t xml:space="preserve"> 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010473CB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AD7AFD" w:rsidRPr="000103F3">
              <w:rPr>
                <w:b/>
                <w:color w:val="000000" w:themeColor="text1"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KDD/WWW/ICDM/ACL/EMNLP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5BE182EB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7B588D">
        <w:rPr>
          <w:bCs/>
        </w:rPr>
        <w:t>15 graduates</w:t>
      </w:r>
    </w:p>
    <w:p w14:paraId="55A92C89" w14:textId="46742ED6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>Knowledge Augmented Methods for NLP</w:t>
      </w:r>
      <w:r w:rsidR="006D652D" w:rsidRPr="006D652D">
        <w:rPr>
          <w:bCs/>
        </w:rPr>
        <w:t xml:space="preserve"> </w:t>
      </w:r>
      <w:r w:rsidRPr="00E72621">
        <w:rPr>
          <w:bCs/>
        </w:rPr>
        <w:t>(</w:t>
      </w:r>
      <w:r w:rsidR="006D652D">
        <w:rPr>
          <w:b/>
        </w:rPr>
        <w:t>KnowledgeNLP</w:t>
      </w:r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7573FFD2" w14:textId="77777777" w:rsidR="00A94F66" w:rsidRPr="00A94F66" w:rsidRDefault="00A94F66" w:rsidP="00A94F66">
      <w:pPr>
        <w:rPr>
          <w:b/>
        </w:rPr>
      </w:pPr>
    </w:p>
    <w:sectPr w:rsidR="00A94F66" w:rsidRPr="00A94F66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EB7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581"/>
    <w:rsid w:val="00014B8E"/>
    <w:rsid w:val="00016843"/>
    <w:rsid w:val="00020C24"/>
    <w:rsid w:val="00024552"/>
    <w:rsid w:val="00024A4F"/>
    <w:rsid w:val="0003394B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7A32"/>
    <w:rsid w:val="00111955"/>
    <w:rsid w:val="00134B2B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E25C5"/>
    <w:rsid w:val="001F7F50"/>
    <w:rsid w:val="00223CFD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2C76"/>
    <w:rsid w:val="002E57D0"/>
    <w:rsid w:val="002E7162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9401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06F7"/>
    <w:rsid w:val="00E72621"/>
    <w:rsid w:val="00E77A04"/>
    <w:rsid w:val="00E82281"/>
    <w:rsid w:val="00E936EA"/>
    <w:rsid w:val="00EB12C1"/>
    <w:rsid w:val="00ED2463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221</cp:revision>
  <cp:lastPrinted>2020-08-26T03:27:00Z</cp:lastPrinted>
  <dcterms:created xsi:type="dcterms:W3CDTF">2020-08-26T03:27:00Z</dcterms:created>
  <dcterms:modified xsi:type="dcterms:W3CDTF">2022-09-26T19:07:00Z</dcterms:modified>
</cp:coreProperties>
</file>