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</w:t>
      </w:r>
    </w:p>
    <w:p>
      <w:pPr>
        <w:pStyle w:val="Heading1"/>
      </w:pPr>
      <w:r>
        <w:t xml:space="preserve">Karthick </w:t>
      </w:r>
    </w:p>
    <w:p>
      <w:pPr>
        <w:pStyle w:val="Heading2"/>
      </w:pPr>
      <w:r>
        <w:t>EXECUTIVE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 xml:space="preserve">Karthick </w:t>
            </w:r>
          </w:p>
        </w:tc>
      </w:tr>
      <w:tr>
        <w:tc>
          <w:tcPr>
            <w:tcW w:type="dxa" w:w="4320"/>
          </w:tcPr>
          <w:p>
            <w:r>
              <w:t>Sector</w:t>
            </w:r>
          </w:p>
        </w:tc>
        <w:tc>
          <w:tcPr>
            <w:tcW w:type="dxa" w:w="4320"/>
          </w:tcPr>
          <w:p>
            <w:r>
              <w:t>Manufacturing</w:t>
            </w:r>
          </w:p>
        </w:tc>
      </w:tr>
      <w:tr>
        <w:tc>
          <w:tcPr>
            <w:tcW w:type="dxa" w:w="4320"/>
          </w:tcPr>
          <w:p>
            <w:r>
              <w:t>Credit Decision</w:t>
            </w:r>
          </w:p>
        </w:tc>
        <w:tc>
          <w:tcPr>
            <w:tcW w:type="dxa" w:w="4320"/>
          </w:tcPr>
          <w:p>
            <w:r>
              <w:t>REJECTED</w:t>
            </w:r>
          </w:p>
        </w:tc>
      </w:tr>
      <w:tr>
        <w:tc>
          <w:tcPr>
            <w:tcW w:type="dxa" w:w="4320"/>
          </w:tcPr>
          <w:p>
            <w:r>
              <w:t>Credit Score</w:t>
            </w:r>
          </w:p>
        </w:tc>
        <w:tc>
          <w:tcPr>
            <w:tcW w:type="dxa" w:w="4320"/>
          </w:tcPr>
          <w:p>
            <w:r>
              <w:t>570 (B)</w:t>
            </w:r>
          </w:p>
        </w:tc>
      </w:tr>
      <w:tr>
        <w:tc>
          <w:tcPr>
            <w:tcW w:type="dxa" w:w="4320"/>
          </w:tcPr>
          <w:p>
            <w:r>
              <w:t>Recommended Amount</w:t>
            </w:r>
          </w:p>
        </w:tc>
        <w:tc>
          <w:tcPr>
            <w:tcW w:type="dxa" w:w="4320"/>
          </w:tcPr>
          <w:p>
            <w:r>
              <w:t>₹ 0.00 Cr</w:t>
            </w:r>
          </w:p>
        </w:tc>
      </w:tr>
      <w:tr>
        <w:tc>
          <w:tcPr>
            <w:tcW w:type="dxa" w:w="4320"/>
          </w:tcPr>
          <w:p>
            <w:r>
              <w:t>Recommended Rate</w:t>
            </w:r>
          </w:p>
        </w:tc>
        <w:tc>
          <w:tcPr>
            <w:tcW w:type="dxa" w:w="4320"/>
          </w:tcPr>
          <w:p>
            <w:r>
              <w:t>0.00%</w:t>
            </w:r>
          </w:p>
        </w:tc>
      </w:tr>
    </w:tbl>
    <w:p>
      <w:pPr>
        <w:pStyle w:val="Heading2"/>
      </w:pPr>
      <w:r>
        <w:t>CREDIT RECOMMENDATION</w:t>
      </w:r>
    </w:p>
    <w:p>
      <w:r>
        <w:rPr>
          <w:b/>
          <w:color w:val="FF0000"/>
          <w:sz w:val="28"/>
        </w:rPr>
        <w:t>DECISION: REJECTED</w:t>
      </w:r>
    </w:p>
    <w:p/>
    <w:p>
      <w:r>
        <w:t>Credit Decision: REJECTED</w:t>
        <w:br/>
        <w:t>Credit Score: 570 (Rating: B)</w:t>
        <w:br/>
        <w:br/>
        <w:t>Key Factors:</w:t>
        <w:br/>
        <w:t>- Capacity concerns (Score: 20/100)</w:t>
        <w:br/>
        <w:t>- Capital structure concerns (Score: 10/100)</w:t>
      </w:r>
    </w:p>
    <w:p>
      <w:pPr>
        <w:pStyle w:val="Heading2"/>
      </w:pPr>
      <w:r>
        <w:t>FIVE Cs OF CREDIT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Criteria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Assessment</w:t>
            </w:r>
          </w:p>
        </w:tc>
      </w:tr>
      <w:tr>
        <w:tc>
          <w:tcPr>
            <w:tcW w:type="dxa" w:w="2880"/>
          </w:tcPr>
          <w:p>
            <w:r>
              <w:t>Character</w:t>
            </w:r>
          </w:p>
        </w:tc>
        <w:tc>
          <w:tcPr>
            <w:tcW w:type="dxa" w:w="2880"/>
          </w:tcPr>
          <w:p>
            <w:r>
              <w:t>100/100</w:t>
            </w:r>
          </w:p>
        </w:tc>
        <w:tc>
          <w:tcPr>
            <w:tcW w:type="dxa" w:w="2880"/>
          </w:tcPr>
          <w:p>
            <w:r>
              <w:t>Excellent</w:t>
            </w:r>
          </w:p>
        </w:tc>
      </w:tr>
      <w:tr>
        <w:tc>
          <w:tcPr>
            <w:tcW w:type="dxa" w:w="2880"/>
          </w:tcPr>
          <w:p>
            <w:r>
              <w:t>Capacity</w:t>
            </w:r>
          </w:p>
        </w:tc>
        <w:tc>
          <w:tcPr>
            <w:tcW w:type="dxa" w:w="2880"/>
          </w:tcPr>
          <w:p>
            <w:r>
              <w:t>20/100</w:t>
            </w:r>
          </w:p>
        </w:tc>
        <w:tc>
          <w:tcPr>
            <w:tcW w:type="dxa" w:w="2880"/>
          </w:tcPr>
          <w:p>
            <w:r>
              <w:t>Poor</w:t>
            </w:r>
          </w:p>
        </w:tc>
      </w:tr>
      <w:tr>
        <w:tc>
          <w:tcPr>
            <w:tcW w:type="dxa" w:w="2880"/>
          </w:tcPr>
          <w:p>
            <w:r>
              <w:t>Capital</w:t>
            </w:r>
          </w:p>
        </w:tc>
        <w:tc>
          <w:tcPr>
            <w:tcW w:type="dxa" w:w="2880"/>
          </w:tcPr>
          <w:p>
            <w:r>
              <w:t>10/100</w:t>
            </w:r>
          </w:p>
        </w:tc>
        <w:tc>
          <w:tcPr>
            <w:tcW w:type="dxa" w:w="2880"/>
          </w:tcPr>
          <w:p>
            <w:r>
              <w:t>Poor</w:t>
            </w:r>
          </w:p>
        </w:tc>
      </w:tr>
      <w:tr>
        <w:tc>
          <w:tcPr>
            <w:tcW w:type="dxa" w:w="2880"/>
          </w:tcPr>
          <w:p>
            <w:r>
              <w:t>Collateral</w:t>
            </w:r>
          </w:p>
        </w:tc>
        <w:tc>
          <w:tcPr>
            <w:tcW w:type="dxa" w:w="2880"/>
          </w:tcPr>
          <w:p>
            <w:r>
              <w:t>90/100</w:t>
            </w:r>
          </w:p>
        </w:tc>
        <w:tc>
          <w:tcPr>
            <w:tcW w:type="dxa" w:w="2880"/>
          </w:tcPr>
          <w:p>
            <w:r>
              <w:t>Excellent</w:t>
            </w:r>
          </w:p>
        </w:tc>
      </w:tr>
      <w:tr>
        <w:tc>
          <w:tcPr>
            <w:tcW w:type="dxa" w:w="2880"/>
          </w:tcPr>
          <w:p>
            <w:r>
              <w:t>Conditions</w:t>
            </w:r>
          </w:p>
        </w:tc>
        <w:tc>
          <w:tcPr>
            <w:tcW w:type="dxa" w:w="2880"/>
          </w:tcPr>
          <w:p>
            <w:r>
              <w:t>100/100</w:t>
            </w:r>
          </w:p>
        </w:tc>
        <w:tc>
          <w:tcPr>
            <w:tcW w:type="dxa" w:w="2880"/>
          </w:tcPr>
          <w:p>
            <w:r>
              <w:t>Excellent</w:t>
            </w:r>
          </w:p>
        </w:tc>
      </w:tr>
    </w:tbl>
    <w:p>
      <w:pPr>
        <w:pStyle w:val="Heading2"/>
      </w:pPr>
      <w:r>
        <w:t>COMPANY OVERVIEW</w:t>
      </w:r>
    </w:p>
    <w:p>
      <w:r>
        <w:t>Industry: Manufacturing</w:t>
      </w:r>
    </w:p>
    <w:p>
      <w:r>
        <w:t>Incorporation Year: 2015</w:t>
      </w:r>
    </w:p>
    <w:p>
      <w:r>
        <w:t>CIN: N/A</w:t>
      </w:r>
    </w:p>
    <w:p>
      <w:r>
        <w:t>GSTIN: None</w:t>
      </w:r>
    </w:p>
    <w:p>
      <w:r>
        <w:t>Key Promoters:</w:t>
      </w:r>
    </w:p>
    <w:p>
      <w:pPr>
        <w:pStyle w:val="ListBullet"/>
      </w:pPr>
      <w:r>
        <w:t xml:space="preserve">  • jai</w:t>
      </w:r>
    </w:p>
    <w:p>
      <w:pPr>
        <w:pStyle w:val="Heading2"/>
      </w:pPr>
      <w:r>
        <w:t>FINANCIAL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₹ 0.00 Cr</w:t>
            </w:r>
          </w:p>
        </w:tc>
      </w:tr>
      <w:tr>
        <w:tc>
          <w:tcPr>
            <w:tcW w:type="dxa" w:w="4320"/>
          </w:tcPr>
          <w:p>
            <w:r>
              <w:t>EBITDA</w:t>
            </w:r>
          </w:p>
        </w:tc>
        <w:tc>
          <w:tcPr>
            <w:tcW w:type="dxa" w:w="4320"/>
          </w:tcPr>
          <w:p>
            <w:r>
              <w:t>₹ 0.00 Cr</w:t>
            </w:r>
          </w:p>
        </w:tc>
      </w:tr>
      <w:tr>
        <w:tc>
          <w:tcPr>
            <w:tcW w:type="dxa" w:w="4320"/>
          </w:tcPr>
          <w:p>
            <w:r>
              <w:t>Net Profit</w:t>
            </w:r>
          </w:p>
        </w:tc>
        <w:tc>
          <w:tcPr>
            <w:tcW w:type="dxa" w:w="4320"/>
          </w:tcPr>
          <w:p>
            <w:r>
              <w:t>₹ 0.00 Cr</w:t>
            </w:r>
          </w:p>
        </w:tc>
      </w:tr>
      <w:tr>
        <w:tc>
          <w:tcPr>
            <w:tcW w:type="dxa" w:w="4320"/>
          </w:tcPr>
          <w:p>
            <w:r>
              <w:t>Total Debt</w:t>
            </w:r>
          </w:p>
        </w:tc>
        <w:tc>
          <w:tcPr>
            <w:tcW w:type="dxa" w:w="4320"/>
          </w:tcPr>
          <w:p>
            <w:r>
              <w:t>₹ 0.00 Cr</w:t>
            </w:r>
          </w:p>
        </w:tc>
      </w:tr>
      <w:tr>
        <w:tc>
          <w:tcPr>
            <w:tcW w:type="dxa" w:w="4320"/>
          </w:tcPr>
          <w:p>
            <w:r>
              <w:t>Net Worth</w:t>
            </w:r>
          </w:p>
        </w:tc>
        <w:tc>
          <w:tcPr>
            <w:tcW w:type="dxa" w:w="4320"/>
          </w:tcPr>
          <w:p>
            <w:r>
              <w:t>₹ 0.00 Cr</w:t>
            </w:r>
          </w:p>
        </w:tc>
      </w:tr>
      <w:tr>
        <w:tc>
          <w:tcPr>
            <w:tcW w:type="dxa" w:w="4320"/>
          </w:tcPr>
          <w:p>
            <w:r>
              <w:t>EBITDA Margin</w:t>
            </w:r>
          </w:p>
        </w:tc>
        <w:tc>
          <w:tcPr>
            <w:tcW w:type="dxa" w:w="4320"/>
          </w:tcPr>
          <w:p>
            <w:r>
              <w:t>0.00%</w:t>
            </w:r>
          </w:p>
        </w:tc>
      </w:tr>
      <w:tr>
        <w:tc>
          <w:tcPr>
            <w:tcW w:type="dxa" w:w="4320"/>
          </w:tcPr>
          <w:p>
            <w:r>
              <w:t>Debt/EBITDA</w:t>
            </w:r>
          </w:p>
        </w:tc>
        <w:tc>
          <w:tcPr>
            <w:tcW w:type="dxa" w:w="4320"/>
          </w:tcPr>
          <w:p>
            <w:r>
              <w:t>0.00x</w:t>
            </w:r>
          </w:p>
        </w:tc>
      </w:tr>
      <w:tr>
        <w:tc>
          <w:tcPr>
            <w:tcW w:type="dxa" w:w="4320"/>
          </w:tcPr>
          <w:p>
            <w:r>
              <w:t>Debt/Equity</w:t>
            </w:r>
          </w:p>
        </w:tc>
        <w:tc>
          <w:tcPr>
            <w:tcW w:type="dxa" w:w="4320"/>
          </w:tcPr>
          <w:p>
            <w:r>
              <w:t>0.00x</w:t>
            </w:r>
          </w:p>
        </w:tc>
      </w:tr>
    </w:tbl>
    <w:p>
      <w:pPr>
        <w:pStyle w:val="Heading2"/>
      </w:pPr>
      <w:r>
        <w:t>GST &amp; BANKING ANALYSIS</w:t>
      </w:r>
    </w:p>
    <w:p>
      <w:pPr>
        <w:pStyle w:val="Heading3"/>
      </w:pPr>
      <w:r>
        <w:t>GST Analysis</w:t>
      </w:r>
    </w:p>
    <w:p>
      <w:r>
        <w:t>Total Turnover (GST): ₹ 0.00 Cr</w:t>
      </w:r>
    </w:p>
    <w:p>
      <w:r>
        <w:t>Filing Regularity: 0 months</w:t>
      </w:r>
    </w:p>
    <w:p>
      <w:pPr>
        <w:pStyle w:val="Heading3"/>
      </w:pPr>
      <w:r>
        <w:t>Banking Analysis</w:t>
      </w:r>
    </w:p>
    <w:p>
      <w:r>
        <w:t>Average Bank Balance: ₹ 0.00 Lakhs</w:t>
      </w:r>
    </w:p>
    <w:p>
      <w:r>
        <w:t>Total Credits: ₹ 0.00 Lakhs</w:t>
      </w:r>
    </w:p>
    <w:p>
      <w:r>
        <w:t>Bounce Rate: 0.00%</w:t>
      </w:r>
    </w:p>
    <w:p>
      <w:pPr>
        <w:pStyle w:val="Heading2"/>
      </w:pPr>
      <w:r>
        <w:t>SECONDARY RESEARCH FINDINGS</w:t>
      </w:r>
    </w:p>
    <w:p>
      <w:r>
        <w:t>Total News Articles Analyzed: 20</w:t>
      </w:r>
    </w:p>
    <w:p>
      <w:r>
        <w:t>Negative News Count: 0</w:t>
      </w:r>
    </w:p>
    <w:p>
      <w:r>
        <w:t>Litigation Cases: 0</w:t>
      </w:r>
    </w:p>
    <w:p>
      <w:pPr>
        <w:pStyle w:val="Heading2"/>
      </w:pPr>
      <w:r>
        <w:t>PRIMARY DUE DILIGENCE</w:t>
      </w:r>
    </w:p>
    <w:p>
      <w:r>
        <w:t>Capacity Utilization: 75%</w:t>
      </w:r>
    </w:p>
    <w:p>
      <w:r>
        <w:t>Management Quality Score: 7/10</w:t>
      </w:r>
    </w:p>
    <w:p>
      <w:r>
        <w:t>Site Visit Score: 7/10</w:t>
      </w:r>
    </w:p>
    <w:p>
      <w:r>
        <w:t>Site Visit Observations:</w:t>
      </w:r>
    </w:p>
    <w:p>
      <w:r>
        <w:t>Good factory</w:t>
      </w:r>
    </w:p>
    <w:p>
      <w:r>
        <w:t>Management Interview Notes:</w:t>
      </w:r>
    </w:p>
    <w:p>
      <w:r>
        <w:t>Competent management</w:t>
      </w:r>
    </w:p>
    <w:p>
      <w:pPr>
        <w:pStyle w:val="Heading2"/>
      </w:pPr>
      <w:r>
        <w:t>RISK ASSESSMENT</w:t>
      </w:r>
    </w:p>
    <w:p>
      <w:pPr>
        <w:pStyle w:val="Heading3"/>
      </w:pPr>
      <w:r>
        <w:t>Strengths</w:t>
      </w:r>
    </w:p>
    <w:p>
      <w:pPr>
        <w:pStyle w:val="ListBullet"/>
      </w:pPr>
      <w:r>
        <w:t xml:space="preserve">  • Conservative leverage (D/E: 0.00x)</w:t>
      </w:r>
    </w:p>
    <w:p>
      <w:pPr>
        <w:pStyle w:val="ListBullet"/>
      </w:pPr>
      <w:r>
        <w:t xml:space="preserve">  • High revenue consistency across sources</w:t>
      </w:r>
    </w:p>
    <w:p>
      <w:pPr>
        <w:pStyle w:val="ListBullet"/>
      </w:pPr>
      <w:r>
        <w:t xml:space="preserve">  • Good capacity utilization (75%)</w:t>
      </w:r>
    </w:p>
    <w:p>
      <w:pPr>
        <w:pStyle w:val="Heading2"/>
      </w:pPr>
      <w:r>
        <w:t>PROPOSED TERMS &amp; CONDITIONS</w:t>
      </w:r>
    </w:p>
    <w:p>
      <w:r>
        <w:t>Credit facility not recommended at this time.</w:t>
      </w:r>
    </w:p>
    <w:p>
      <w:r>
        <w:t>Reasons outlined in the Risk Assessment section above.</w:t>
      </w:r>
    </w:p>
    <w:p/>
    <w:p>
      <w:pPr>
        <w:jc w:val="right"/>
      </w:pPr>
      <w:r>
        <w:t>Generated on: 11-Mar-2026 22:40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