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45CDD" w14:textId="5B5B7E4A" w:rsidR="006308B4" w:rsidRPr="00FE485C" w:rsidRDefault="006308B4" w:rsidP="00FE485C">
      <w:pPr>
        <w:pStyle w:val="Heading2"/>
        <w:numPr>
          <w:ilvl w:val="0"/>
          <w:numId w:val="4"/>
        </w:numPr>
        <w:rPr>
          <w:rFonts w:eastAsia="Times New Roman"/>
        </w:rPr>
      </w:pPr>
      <w:r w:rsidRPr="00FE485C">
        <w:rPr>
          <w:rFonts w:eastAsia="Times New Roman"/>
        </w:rPr>
        <w:t>API Gateway Demonstration Narrative</w:t>
      </w:r>
      <w:r w:rsidRPr="00FE485C">
        <w:rPr>
          <w:rFonts w:eastAsia="Times New Roman"/>
        </w:rPr>
        <w:t xml:space="preserve"> (3-min)</w:t>
      </w:r>
    </w:p>
    <w:p w14:paraId="25C7DE71" w14:textId="77777777" w:rsidR="001364BF" w:rsidRDefault="001364BF" w:rsidP="001364BF">
      <w:pPr>
        <w:pStyle w:val="isselectedend"/>
      </w:pPr>
      <w:r>
        <w:t xml:space="preserve">“An API Gateway provides a common control point for accessing many different types of enterprise services. In this demonstration, we are also showing how APIs can be created using different levels of development effort: </w:t>
      </w:r>
      <w:r>
        <w:rPr>
          <w:rStyle w:val="Strong"/>
        </w:rPr>
        <w:t xml:space="preserve">no-code with </w:t>
      </w:r>
      <w:proofErr w:type="spellStart"/>
      <w:r>
        <w:rPr>
          <w:rStyle w:val="Strong"/>
        </w:rPr>
        <w:t>DreamFactory</w:t>
      </w:r>
      <w:proofErr w:type="spellEnd"/>
      <w:r>
        <w:rPr>
          <w:rStyle w:val="Strong"/>
        </w:rPr>
        <w:t xml:space="preserve">, low-code with </w:t>
      </w:r>
      <w:proofErr w:type="spellStart"/>
      <w:r>
        <w:rPr>
          <w:rStyle w:val="Strong"/>
        </w:rPr>
        <w:t>FastAPI</w:t>
      </w:r>
      <w:proofErr w:type="spellEnd"/>
      <w:r>
        <w:rPr>
          <w:rStyle w:val="Strong"/>
        </w:rPr>
        <w:t>, and traditional enterprise services such as REST, SOAP, ESBs, events, and message queues</w:t>
      </w:r>
      <w:r>
        <w:t xml:space="preserve">. Kong provides the common API Gateway layer that sits in front of these services and applies security, routing, transformation, monitoring, and </w:t>
      </w:r>
      <w:proofErr w:type="gramStart"/>
      <w:r>
        <w:t>governance.”</w:t>
      </w:r>
      <w:proofErr w:type="gramEnd"/>
    </w:p>
    <w:p w14:paraId="7FAD5902" w14:textId="77777777" w:rsidR="001364BF" w:rsidRDefault="001364BF" w:rsidP="001364BF">
      <w:pPr>
        <w:pStyle w:val="isselectedend"/>
      </w:pPr>
      <w:r>
        <w:t xml:space="preserve">“Starting with the </w:t>
      </w:r>
      <w:r>
        <w:rPr>
          <w:rStyle w:val="Strong"/>
        </w:rPr>
        <w:t>no-code approach</w:t>
      </w:r>
      <w:r>
        <w:t xml:space="preserve">, </w:t>
      </w:r>
      <w:proofErr w:type="spellStart"/>
      <w:r>
        <w:t>DreamFactory</w:t>
      </w:r>
      <w:proofErr w:type="spellEnd"/>
      <w:r>
        <w:t xml:space="preserve"> can automatically expose data sources such as SQL databases through REST APIs without requiring developers to write the API implementation themselves. For example, we can connect </w:t>
      </w:r>
      <w:proofErr w:type="spellStart"/>
      <w:r>
        <w:t>DreamFactory</w:t>
      </w:r>
      <w:proofErr w:type="spellEnd"/>
      <w:r>
        <w:t xml:space="preserve"> to an enterprise database and expose selected tables or stored procedures as REST endpoints. The resulting API is then published through Kong, allowing Kong to provide authentication, authorization, rate limiting, logging, and other gateway policies without modifying the underlying database or </w:t>
      </w:r>
      <w:proofErr w:type="spellStart"/>
      <w:r>
        <w:t>DreamFactory</w:t>
      </w:r>
      <w:proofErr w:type="spellEnd"/>
      <w:r>
        <w:t xml:space="preserve"> implementation.”</w:t>
      </w:r>
    </w:p>
    <w:p w14:paraId="383C9844" w14:textId="77777777" w:rsidR="001364BF" w:rsidRDefault="001364BF" w:rsidP="001364BF">
      <w:pPr>
        <w:pStyle w:val="isselectedend"/>
      </w:pPr>
      <w:r>
        <w:t xml:space="preserve">“Next is the </w:t>
      </w:r>
      <w:r>
        <w:rPr>
          <w:rStyle w:val="Strong"/>
        </w:rPr>
        <w:t xml:space="preserve">low-code approach using </w:t>
      </w:r>
      <w:proofErr w:type="spellStart"/>
      <w:r>
        <w:rPr>
          <w:rStyle w:val="Strong"/>
        </w:rPr>
        <w:t>FastAPI</w:t>
      </w:r>
      <w:proofErr w:type="spellEnd"/>
      <w:r>
        <w:t xml:space="preserve">. </w:t>
      </w:r>
      <w:proofErr w:type="spellStart"/>
      <w:r>
        <w:t>FastAPI</w:t>
      </w:r>
      <w:proofErr w:type="spellEnd"/>
      <w:r>
        <w:t xml:space="preserve"> allows a developer to quickly create a lightweight REST API with relatively little code. For example, we can create an API that combines information from multiple sources, performs a calculation, or implements business logic that would not be appropriate to expose directly through a no-code platform. </w:t>
      </w:r>
      <w:proofErr w:type="spellStart"/>
      <w:r>
        <w:t>FastAPI</w:t>
      </w:r>
      <w:proofErr w:type="spellEnd"/>
      <w:r>
        <w:t xml:space="preserve"> runs as a containerized service, and Kong sits in front of it. The consumer sees the Kong API endpoint rather than having to know where the </w:t>
      </w:r>
      <w:proofErr w:type="spellStart"/>
      <w:r>
        <w:t>FastAPI</w:t>
      </w:r>
      <w:proofErr w:type="spellEnd"/>
      <w:r>
        <w:t xml:space="preserve"> application is running.”</w:t>
      </w:r>
    </w:p>
    <w:p w14:paraId="07AA29F8" w14:textId="77777777" w:rsidR="001364BF" w:rsidRDefault="001364BF" w:rsidP="001364BF">
      <w:pPr>
        <w:pStyle w:val="isselectedend"/>
      </w:pPr>
      <w:r>
        <w:t xml:space="preserve">“This gives us an important distinction: </w:t>
      </w:r>
      <w:proofErr w:type="spellStart"/>
      <w:r>
        <w:rPr>
          <w:rStyle w:val="Strong"/>
        </w:rPr>
        <w:t>DreamFactory</w:t>
      </w:r>
      <w:proofErr w:type="spellEnd"/>
      <w:r>
        <w:rPr>
          <w:rStyle w:val="Strong"/>
        </w:rPr>
        <w:t xml:space="preserve"> minimizes development by automatically generating APIs, while </w:t>
      </w:r>
      <w:proofErr w:type="spellStart"/>
      <w:r>
        <w:rPr>
          <w:rStyle w:val="Strong"/>
        </w:rPr>
        <w:t>FastAPI</w:t>
      </w:r>
      <w:proofErr w:type="spellEnd"/>
      <w:r>
        <w:rPr>
          <w:rStyle w:val="Strong"/>
        </w:rPr>
        <w:t xml:space="preserve"> provides a lightweight development framework when custom business logic is required</w:t>
      </w:r>
      <w:r>
        <w:t>. Both can be managed consistently through the same API Gateway. This provides a practical crawl-walk-run approach: start with no-code API generation, move to low-code services when customization is needed, and use fully developed enterprise services when more complex capabilities are required.”</w:t>
      </w:r>
    </w:p>
    <w:p w14:paraId="2618CA97" w14:textId="77777777" w:rsidR="001364BF" w:rsidRDefault="001364BF" w:rsidP="001364BF">
      <w:pPr>
        <w:pStyle w:val="isselectedend"/>
      </w:pPr>
      <w:r>
        <w:t xml:space="preserve">“Moving to </w:t>
      </w:r>
      <w:r>
        <w:rPr>
          <w:rStyle w:val="Strong"/>
        </w:rPr>
        <w:t>traditional REST services</w:t>
      </w:r>
      <w:r>
        <w:t>, the client sends an HTTPS request to Kong. Kong authenticates the consumer, applies policies such as access control and rate limiting, and routes the request to a REST service running on a container, serverless function, or traditional application. Kong can also transform headers, payloads, and responses so that consumers don't have to understand the details of the backend implementation.”</w:t>
      </w:r>
    </w:p>
    <w:p w14:paraId="2020BEE0" w14:textId="77777777" w:rsidR="001364BF" w:rsidRDefault="001364BF" w:rsidP="001364BF">
      <w:pPr>
        <w:pStyle w:val="isselectedend"/>
      </w:pPr>
      <w:r>
        <w:t xml:space="preserve">“For </w:t>
      </w:r>
      <w:r>
        <w:rPr>
          <w:rStyle w:val="Strong"/>
        </w:rPr>
        <w:t>legacy SOAP services</w:t>
      </w:r>
      <w:r>
        <w:t>, the consumer can be presented with a modern REST interface while the backend continues to use SOAP and XML. The REST request can be routed through Kong to an integration layer such as WSO2, which performs the REST-to-SOAP transformation. The SOAP response is then converted back to JSON for the consumer. This allows the organization to modernize service consumption without immediately replacing the legacy application.”</w:t>
      </w:r>
    </w:p>
    <w:p w14:paraId="23475DCF" w14:textId="77777777" w:rsidR="001364BF" w:rsidRDefault="001364BF" w:rsidP="001364BF">
      <w:pPr>
        <w:pStyle w:val="isselectedend"/>
      </w:pPr>
      <w:r>
        <w:t xml:space="preserve">“The same architecture can extend to an </w:t>
      </w:r>
      <w:r>
        <w:rPr>
          <w:rStyle w:val="Strong"/>
        </w:rPr>
        <w:t>Enterprise Service Bus</w:t>
      </w:r>
      <w:r>
        <w:t xml:space="preserve">. Kong does not have to replace the ESB. Instead, Kong can provide the controlled northbound interface into the ESB, handling </w:t>
      </w:r>
      <w:r>
        <w:lastRenderedPageBreak/>
        <w:t>authentication, authorization, throttling, and API governance while the ESB continues to perform routing, orchestration, protocol mediation, and legacy system integration.”</w:t>
      </w:r>
    </w:p>
    <w:p w14:paraId="03E69E27" w14:textId="77777777" w:rsidR="001364BF" w:rsidRDefault="001364BF" w:rsidP="001364BF">
      <w:pPr>
        <w:pStyle w:val="isselectedend"/>
      </w:pPr>
      <w:r>
        <w:t xml:space="preserve">“For </w:t>
      </w:r>
      <w:r>
        <w:rPr>
          <w:rStyle w:val="Strong"/>
        </w:rPr>
        <w:t>event-driven architectures, message queues, and publish/subscribe</w:t>
      </w:r>
      <w:r>
        <w:t>, Kong can provide controlled API interfaces into messaging infrastructure. A REST request could publish an event, place a message on a queue, or provide controlled access to an authorized event topic. This creates decoupling between consumers and backend systems while providing buffering, asynchronous processing, and resilience.”</w:t>
      </w:r>
    </w:p>
    <w:p w14:paraId="414DEA60" w14:textId="77777777" w:rsidR="001364BF" w:rsidRDefault="001364BF" w:rsidP="001364BF">
      <w:pPr>
        <w:pStyle w:val="isselectedend"/>
      </w:pPr>
      <w:r>
        <w:t xml:space="preserve">“Finally, this model can extend to </w:t>
      </w:r>
      <w:r>
        <w:rPr>
          <w:rStyle w:val="Strong"/>
        </w:rPr>
        <w:t>AI and agentic services</w:t>
      </w:r>
      <w:r>
        <w:t>, including MCP-based services. Kong can provide a governed entry point for AI agents and MCP servers to access enterprise tools and data rather than allowing those agents to directly connect to databases or internal applications. Authentication, authorization, logging, rate limiting, and other policies can be enforced before the request reaches the AI service or enterprise backend.”</w:t>
      </w:r>
    </w:p>
    <w:p w14:paraId="65254528" w14:textId="77777777" w:rsidR="001364BF" w:rsidRDefault="001364BF" w:rsidP="001364BF">
      <w:pPr>
        <w:pStyle w:val="NormalWeb"/>
      </w:pPr>
      <w:r>
        <w:t xml:space="preserve">“The key takeaway is that the </w:t>
      </w:r>
      <w:r>
        <w:rPr>
          <w:rStyle w:val="Strong"/>
        </w:rPr>
        <w:t>API Gateway becomes the common enterprise access layer</w:t>
      </w:r>
      <w:r>
        <w:t xml:space="preserve">, regardless of how the API was created. In our demonstration, </w:t>
      </w:r>
      <w:proofErr w:type="spellStart"/>
      <w:r>
        <w:t>DreamFactory</w:t>
      </w:r>
      <w:proofErr w:type="spellEnd"/>
      <w:r>
        <w:t xml:space="preserve"> represents </w:t>
      </w:r>
      <w:r>
        <w:rPr>
          <w:rStyle w:val="Strong"/>
        </w:rPr>
        <w:t>no-code API generation</w:t>
      </w:r>
      <w:r>
        <w:t xml:space="preserve">, </w:t>
      </w:r>
      <w:proofErr w:type="spellStart"/>
      <w:r>
        <w:t>FastAPI</w:t>
      </w:r>
      <w:proofErr w:type="spellEnd"/>
      <w:r>
        <w:t xml:space="preserve"> represents </w:t>
      </w:r>
      <w:r>
        <w:rPr>
          <w:rStyle w:val="Strong"/>
        </w:rPr>
        <w:t>low-code API development</w:t>
      </w:r>
      <w:r>
        <w:t xml:space="preserve">, and Kong provides the </w:t>
      </w:r>
      <w:r>
        <w:rPr>
          <w:rStyle w:val="Strong"/>
        </w:rPr>
        <w:t>security, governance, routing, transformation, and monitoring layer</w:t>
      </w:r>
      <w:r>
        <w:t xml:space="preserve"> in front of them. The same architecture can then extend to REST, SOAP, ESBs, events, queues, publish/subscribe, and AI services. This supports a crawl-walk-run modernization strategy: rapidly </w:t>
      </w:r>
      <w:proofErr w:type="gramStart"/>
      <w:r>
        <w:t>expose</w:t>
      </w:r>
      <w:proofErr w:type="gramEnd"/>
      <w:r>
        <w:t xml:space="preserve"> existing data with no-code, </w:t>
      </w:r>
      <w:proofErr w:type="gramStart"/>
      <w:r>
        <w:t>add</w:t>
      </w:r>
      <w:proofErr w:type="gramEnd"/>
      <w:r>
        <w:t xml:space="preserve"> custom business logic with low-code, and progressively integrate more complex enterprise and AI capabilities without requiring immediate replacement of the underlying </w:t>
      </w:r>
      <w:proofErr w:type="gramStart"/>
      <w:r>
        <w:t>systems.”</w:t>
      </w:r>
      <w:proofErr w:type="gramEnd"/>
    </w:p>
    <w:p w14:paraId="5202E1FE" w14:textId="5DAED2EE" w:rsidR="006308B4" w:rsidRPr="00FE485C" w:rsidRDefault="006308B4" w:rsidP="00FE485C">
      <w:pPr>
        <w:pStyle w:val="Heading2"/>
        <w:numPr>
          <w:ilvl w:val="0"/>
          <w:numId w:val="4"/>
        </w:numPr>
        <w:rPr>
          <w:rFonts w:eastAsia="Times New Roman"/>
        </w:rPr>
      </w:pPr>
      <w:r w:rsidRPr="00FE485C">
        <w:rPr>
          <w:rFonts w:eastAsia="Times New Roman"/>
        </w:rPr>
        <w:t>Kong Field Translation Demonstration</w:t>
      </w:r>
      <w:r w:rsidRPr="00FE485C">
        <w:rPr>
          <w:rFonts w:eastAsia="Times New Roman"/>
        </w:rPr>
        <w:t xml:space="preserve"> (3-min)</w:t>
      </w:r>
    </w:p>
    <w:p w14:paraId="53A4BD37" w14:textId="77777777" w:rsidR="006308B4" w:rsidRPr="00FE485C" w:rsidRDefault="006308B4"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 xml:space="preserve">“In this demonstration, I’m going to show how Kong can perform a simple field translation on an API response using the Response Transformer plugin. The important point is that the backend service does not need to change. Kong sits between the consumer and the service and modifies the response as it passes through the </w:t>
      </w:r>
      <w:proofErr w:type="gramStart"/>
      <w:r w:rsidRPr="00FE485C">
        <w:rPr>
          <w:rFonts w:ascii="Times New Roman" w:eastAsia="Times New Roman" w:hAnsi="Times New Roman" w:cs="Times New Roman"/>
          <w:kern w:val="0"/>
          <w:sz w:val="28"/>
          <w:szCs w:val="28"/>
          <w14:ligatures w14:val="none"/>
        </w:rPr>
        <w:t>gateway.”</w:t>
      </w:r>
      <w:proofErr w:type="gramEnd"/>
    </w:p>
    <w:p w14:paraId="71FBCF0E" w14:textId="77777777" w:rsidR="006308B4" w:rsidRPr="00FE485C" w:rsidRDefault="006308B4"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 xml:space="preserve">“Let’s start with a simple REST API. Suppose the backend returns a response like </w:t>
      </w:r>
      <w:proofErr w:type="gramStart"/>
      <w:r w:rsidRPr="00FE485C">
        <w:rPr>
          <w:rFonts w:ascii="Times New Roman" w:eastAsia="Times New Roman" w:hAnsi="Times New Roman" w:cs="Times New Roman"/>
          <w:kern w:val="0"/>
          <w:sz w:val="28"/>
          <w:szCs w:val="28"/>
          <w14:ligatures w14:val="none"/>
        </w:rPr>
        <w:t xml:space="preserve">this: </w:t>
      </w:r>
      <w:r w:rsidRPr="00FE485C">
        <w:rPr>
          <w:rFonts w:ascii="Courier New" w:eastAsia="Times New Roman" w:hAnsi="Courier New" w:cs="Courier New"/>
          <w:kern w:val="0"/>
          <w:sz w:val="22"/>
          <w:szCs w:val="22"/>
          <w14:ligatures w14:val="none"/>
        </w:rPr>
        <w:t>{</w:t>
      </w:r>
      <w:proofErr w:type="gramEnd"/>
      <w:r w:rsidRPr="00FE485C">
        <w:rPr>
          <w:rFonts w:ascii="Courier New" w:eastAsia="Times New Roman" w:hAnsi="Courier New" w:cs="Courier New"/>
          <w:kern w:val="0"/>
          <w:sz w:val="22"/>
          <w:szCs w:val="22"/>
          <w14:ligatures w14:val="none"/>
        </w:rPr>
        <w:t>"firstName":"John","lastName":"Smith","employeeId":"</w:t>
      </w:r>
      <w:proofErr w:type="gramStart"/>
      <w:r w:rsidRPr="00FE485C">
        <w:rPr>
          <w:rFonts w:ascii="Courier New" w:eastAsia="Times New Roman" w:hAnsi="Courier New" w:cs="Courier New"/>
          <w:kern w:val="0"/>
          <w:sz w:val="22"/>
          <w:szCs w:val="22"/>
          <w14:ligatures w14:val="none"/>
        </w:rPr>
        <w:t>12345"}</w:t>
      </w:r>
      <w:proofErr w:type="gramEnd"/>
      <w:r w:rsidRPr="00FE485C">
        <w:rPr>
          <w:rFonts w:ascii="Times New Roman" w:eastAsia="Times New Roman" w:hAnsi="Times New Roman" w:cs="Times New Roman"/>
          <w:kern w:val="0"/>
          <w:sz w:val="28"/>
          <w:szCs w:val="28"/>
          <w14:ligatures w14:val="none"/>
        </w:rPr>
        <w:t xml:space="preserve">. However, our API standard requires different field </w:t>
      </w:r>
      <w:proofErr w:type="gramStart"/>
      <w:r w:rsidRPr="00FE485C">
        <w:rPr>
          <w:rFonts w:ascii="Times New Roman" w:eastAsia="Times New Roman" w:hAnsi="Times New Roman" w:cs="Times New Roman"/>
          <w:kern w:val="0"/>
          <w:sz w:val="28"/>
          <w:szCs w:val="28"/>
          <w14:ligatures w14:val="none"/>
        </w:rPr>
        <w:t>names—</w:t>
      </w:r>
      <w:proofErr w:type="gramEnd"/>
      <w:r w:rsidRPr="00FE485C">
        <w:rPr>
          <w:rFonts w:ascii="Times New Roman" w:eastAsia="Times New Roman" w:hAnsi="Times New Roman" w:cs="Times New Roman"/>
          <w:kern w:val="0"/>
          <w:sz w:val="28"/>
          <w:szCs w:val="28"/>
          <w14:ligatures w14:val="none"/>
        </w:rPr>
        <w:t xml:space="preserve">perhaps </w:t>
      </w:r>
      <w:proofErr w:type="spellStart"/>
      <w:proofErr w:type="gramStart"/>
      <w:r w:rsidRPr="00FE485C">
        <w:rPr>
          <w:rFonts w:ascii="Courier New" w:eastAsia="Times New Roman" w:hAnsi="Courier New" w:cs="Courier New"/>
          <w:kern w:val="0"/>
          <w:sz w:val="22"/>
          <w:szCs w:val="22"/>
          <w14:ligatures w14:val="none"/>
        </w:rPr>
        <w:t>givenName</w:t>
      </w:r>
      <w:proofErr w:type="spellEnd"/>
      <w:proofErr w:type="gramEnd"/>
      <w:r w:rsidRPr="00FE485C">
        <w:rPr>
          <w:rFonts w:ascii="Times New Roman" w:eastAsia="Times New Roman" w:hAnsi="Times New Roman" w:cs="Times New Roman"/>
          <w:kern w:val="0"/>
          <w:sz w:val="28"/>
          <w:szCs w:val="28"/>
          <w14:ligatures w14:val="none"/>
        </w:rPr>
        <w:t xml:space="preserve">, </w:t>
      </w:r>
      <w:proofErr w:type="spellStart"/>
      <w:proofErr w:type="gramStart"/>
      <w:r w:rsidRPr="00FE485C">
        <w:rPr>
          <w:rFonts w:ascii="Courier New" w:eastAsia="Times New Roman" w:hAnsi="Courier New" w:cs="Courier New"/>
          <w:kern w:val="0"/>
          <w:sz w:val="22"/>
          <w:szCs w:val="22"/>
          <w14:ligatures w14:val="none"/>
        </w:rPr>
        <w:t>familyName</w:t>
      </w:r>
      <w:proofErr w:type="spellEnd"/>
      <w:proofErr w:type="gramEnd"/>
      <w:r w:rsidRPr="00FE485C">
        <w:rPr>
          <w:rFonts w:ascii="Times New Roman" w:eastAsia="Times New Roman" w:hAnsi="Times New Roman" w:cs="Times New Roman"/>
          <w:kern w:val="0"/>
          <w:sz w:val="28"/>
          <w:szCs w:val="28"/>
          <w14:ligatures w14:val="none"/>
        </w:rPr>
        <w:t xml:space="preserve">, and </w:t>
      </w:r>
      <w:r w:rsidRPr="00FE485C">
        <w:rPr>
          <w:rFonts w:ascii="Courier New" w:eastAsia="Times New Roman" w:hAnsi="Courier New" w:cs="Courier New"/>
          <w:kern w:val="0"/>
          <w:sz w:val="22"/>
          <w:szCs w:val="22"/>
          <w14:ligatures w14:val="none"/>
        </w:rPr>
        <w:t>id</w:t>
      </w:r>
      <w:r w:rsidRPr="00FE485C">
        <w:rPr>
          <w:rFonts w:ascii="Times New Roman" w:eastAsia="Times New Roman" w:hAnsi="Times New Roman" w:cs="Times New Roman"/>
          <w:kern w:val="0"/>
          <w:sz w:val="28"/>
          <w:szCs w:val="28"/>
          <w14:ligatures w14:val="none"/>
        </w:rPr>
        <w:t>. Rather than modifying the legacy application, we can use Kong to transform the response.”</w:t>
      </w:r>
    </w:p>
    <w:p w14:paraId="64433163" w14:textId="77777777" w:rsidR="006308B4" w:rsidRPr="00FE485C" w:rsidRDefault="006308B4"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“In Kong Manager, I select the API Service and add the Response Transformer plugin. The plugin allows us to manipulate portions of the HTTP response before it is returned to the client. For example, we can remove an existing field and add a replacement field. We can also modify headers and other response characteristics.”</w:t>
      </w:r>
    </w:p>
    <w:p w14:paraId="00CA92FD" w14:textId="77777777" w:rsidR="006308B4" w:rsidRPr="00FE485C" w:rsidRDefault="006308B4"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lastRenderedPageBreak/>
        <w:t xml:space="preserve">“For a simple demonstration, imagine the backend returns </w:t>
      </w:r>
      <w:proofErr w:type="spellStart"/>
      <w:r w:rsidRPr="00FE485C">
        <w:rPr>
          <w:rFonts w:ascii="Courier New" w:eastAsia="Times New Roman" w:hAnsi="Courier New" w:cs="Courier New"/>
          <w:kern w:val="0"/>
          <w:sz w:val="22"/>
          <w:szCs w:val="22"/>
          <w14:ligatures w14:val="none"/>
        </w:rPr>
        <w:t>firstName</w:t>
      </w:r>
      <w:proofErr w:type="spellEnd"/>
      <w:r w:rsidRPr="00FE485C">
        <w:rPr>
          <w:rFonts w:ascii="Times New Roman" w:eastAsia="Times New Roman" w:hAnsi="Times New Roman" w:cs="Times New Roman"/>
          <w:kern w:val="0"/>
          <w:sz w:val="28"/>
          <w:szCs w:val="28"/>
          <w14:ligatures w14:val="none"/>
        </w:rPr>
        <w:t xml:space="preserve">. We configure the response transformation so that the consumer receives the standardized field name </w:t>
      </w:r>
      <w:proofErr w:type="spellStart"/>
      <w:r w:rsidRPr="00FE485C">
        <w:rPr>
          <w:rFonts w:ascii="Courier New" w:eastAsia="Times New Roman" w:hAnsi="Courier New" w:cs="Courier New"/>
          <w:kern w:val="0"/>
          <w:sz w:val="22"/>
          <w:szCs w:val="22"/>
          <w14:ligatures w14:val="none"/>
        </w:rPr>
        <w:t>givenName</w:t>
      </w:r>
      <w:proofErr w:type="spellEnd"/>
      <w:r w:rsidRPr="00FE485C">
        <w:rPr>
          <w:rFonts w:ascii="Times New Roman" w:eastAsia="Times New Roman" w:hAnsi="Times New Roman" w:cs="Times New Roman"/>
          <w:kern w:val="0"/>
          <w:sz w:val="28"/>
          <w:szCs w:val="28"/>
          <w14:ligatures w14:val="none"/>
        </w:rPr>
        <w:t xml:space="preserve">. Similarly, </w:t>
      </w:r>
      <w:proofErr w:type="spellStart"/>
      <w:r w:rsidRPr="00FE485C">
        <w:rPr>
          <w:rFonts w:ascii="Courier New" w:eastAsia="Times New Roman" w:hAnsi="Courier New" w:cs="Courier New"/>
          <w:kern w:val="0"/>
          <w:sz w:val="22"/>
          <w:szCs w:val="22"/>
          <w14:ligatures w14:val="none"/>
        </w:rPr>
        <w:t>lastName</w:t>
      </w:r>
      <w:proofErr w:type="spellEnd"/>
      <w:r w:rsidRPr="00FE485C">
        <w:rPr>
          <w:rFonts w:ascii="Times New Roman" w:eastAsia="Times New Roman" w:hAnsi="Times New Roman" w:cs="Times New Roman"/>
          <w:kern w:val="0"/>
          <w:sz w:val="28"/>
          <w:szCs w:val="28"/>
          <w14:ligatures w14:val="none"/>
        </w:rPr>
        <w:t xml:space="preserve"> can become </w:t>
      </w:r>
      <w:proofErr w:type="spellStart"/>
      <w:r w:rsidRPr="00FE485C">
        <w:rPr>
          <w:rFonts w:ascii="Courier New" w:eastAsia="Times New Roman" w:hAnsi="Courier New" w:cs="Courier New"/>
          <w:kern w:val="0"/>
          <w:sz w:val="22"/>
          <w:szCs w:val="22"/>
          <w14:ligatures w14:val="none"/>
        </w:rPr>
        <w:t>familyName</w:t>
      </w:r>
      <w:proofErr w:type="spellEnd"/>
      <w:r w:rsidRPr="00FE485C">
        <w:rPr>
          <w:rFonts w:ascii="Times New Roman" w:eastAsia="Times New Roman" w:hAnsi="Times New Roman" w:cs="Times New Roman"/>
          <w:kern w:val="0"/>
          <w:sz w:val="28"/>
          <w:szCs w:val="28"/>
          <w14:ligatures w14:val="none"/>
        </w:rPr>
        <w:t>. The backend continues to operate exactly as it did before, but the consumer sees the contract that Kong exposes.”</w:t>
      </w:r>
    </w:p>
    <w:p w14:paraId="76759639" w14:textId="77777777" w:rsidR="006308B4" w:rsidRPr="00FE485C" w:rsidRDefault="006308B4"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“Now I'll call the API through Kong rather than directly against the backend. The request goes into Kong, Kong routes it to the upstream service, receives the response, applies the Response Transformer policy, and then sends the transformed response back to the consumer. If I compare the backend response with the Kong response, you can see that the field names have changed even though the underlying service hasn't.”</w:t>
      </w:r>
    </w:p>
    <w:p w14:paraId="18111042" w14:textId="77777777" w:rsidR="006308B4" w:rsidRPr="00FE485C" w:rsidRDefault="006308B4"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“This is useful when integrating systems that use different data standards. For example, an Air Force or DoD environment may have a legacy application using one naming convention while a newer cloud application follows a different API standard. Kong can provide a controlled translation layer without requiring every legacy application to be rewritten.”</w:t>
      </w:r>
    </w:p>
    <w:p w14:paraId="61A96341" w14:textId="77777777" w:rsidR="006308B4" w:rsidRPr="00FE485C" w:rsidRDefault="006308B4"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“There is an important limitation, however. Kong's Response Transformer is best suited for relatively straightforward response modifications. If we need complex mappings—for example, deeply nested JSON transformations, XML-to-JSON conversion, SOAP-to-REST mediation, aggregation of multiple services, or significant business logic—we would typically introduce an integration service, such as an ESB or dedicated transformation service, rather than trying to put all of that logic into the gateway.”</w:t>
      </w:r>
    </w:p>
    <w:p w14:paraId="3A51A60E" w14:textId="77777777" w:rsidR="006308B4" w:rsidRPr="00FE485C" w:rsidRDefault="006308B4"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w:t>
      </w:r>
      <w:proofErr w:type="gramStart"/>
      <w:r w:rsidRPr="00FE485C">
        <w:rPr>
          <w:rFonts w:ascii="Times New Roman" w:eastAsia="Times New Roman" w:hAnsi="Times New Roman" w:cs="Times New Roman"/>
          <w:kern w:val="0"/>
          <w:sz w:val="28"/>
          <w:szCs w:val="28"/>
          <w14:ligatures w14:val="none"/>
        </w:rPr>
        <w:t>So</w:t>
      </w:r>
      <w:proofErr w:type="gramEnd"/>
      <w:r w:rsidRPr="00FE485C">
        <w:rPr>
          <w:rFonts w:ascii="Times New Roman" w:eastAsia="Times New Roman" w:hAnsi="Times New Roman" w:cs="Times New Roman"/>
          <w:kern w:val="0"/>
          <w:sz w:val="28"/>
          <w:szCs w:val="28"/>
          <w14:ligatures w14:val="none"/>
        </w:rPr>
        <w:t xml:space="preserve"> the key takeaway </w:t>
      </w:r>
      <w:proofErr w:type="gramStart"/>
      <w:r w:rsidRPr="00FE485C">
        <w:rPr>
          <w:rFonts w:ascii="Times New Roman" w:eastAsia="Times New Roman" w:hAnsi="Times New Roman" w:cs="Times New Roman"/>
          <w:kern w:val="0"/>
          <w:sz w:val="28"/>
          <w:szCs w:val="28"/>
          <w14:ligatures w14:val="none"/>
        </w:rPr>
        <w:t>is:</w:t>
      </w:r>
      <w:proofErr w:type="gramEnd"/>
      <w:r w:rsidRPr="00FE485C">
        <w:rPr>
          <w:rFonts w:ascii="Times New Roman" w:eastAsia="Times New Roman" w:hAnsi="Times New Roman" w:cs="Times New Roman"/>
          <w:kern w:val="0"/>
          <w:sz w:val="28"/>
          <w:szCs w:val="28"/>
          <w14:ligatures w14:val="none"/>
        </w:rPr>
        <w:t xml:space="preserve"> Kong can act as a lightweight API mediation layer. The backend owns the original data contract, while Kong can expose a standardized contract to consumers. This gives us a practical way to modernize and normalize APIs incrementally while minimizing changes to legacy systems.”</w:t>
      </w:r>
    </w:p>
    <w:p w14:paraId="7F1E34CD" w14:textId="77777777" w:rsidR="00FE485C" w:rsidRDefault="00FE485C" w:rsidP="00FE485C">
      <w:pPr>
        <w:rPr>
          <w:sz w:val="28"/>
          <w:szCs w:val="28"/>
        </w:rPr>
      </w:pPr>
    </w:p>
    <w:p w14:paraId="25B8D657" w14:textId="123425E7" w:rsidR="00FE485C" w:rsidRPr="00FE485C" w:rsidRDefault="00FE485C" w:rsidP="00FE485C">
      <w:pPr>
        <w:pStyle w:val="Heading2"/>
        <w:numPr>
          <w:ilvl w:val="0"/>
          <w:numId w:val="4"/>
        </w:numPr>
        <w:rPr>
          <w:rFonts w:eastAsia="Times New Roman"/>
        </w:rPr>
      </w:pPr>
      <w:r w:rsidRPr="00FE485C">
        <w:rPr>
          <w:rFonts w:eastAsia="Times New Roman"/>
        </w:rPr>
        <w:t>WSO2 SOAP to REST (3-min)</w:t>
      </w:r>
    </w:p>
    <w:p w14:paraId="76DD4E97" w14:textId="77777777" w:rsidR="00FE485C" w:rsidRPr="00FE485C" w:rsidRDefault="00FE485C"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“Next, I’ll demonstrate how we can use WSO2 API Manager 4.3 to modernize a legacy SOAP service by exposing it as a REST API.”</w:t>
      </w:r>
    </w:p>
    <w:p w14:paraId="231CE4ED" w14:textId="77777777" w:rsidR="00FE485C" w:rsidRPr="00FE485C" w:rsidRDefault="00FE485C"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lastRenderedPageBreak/>
        <w:t xml:space="preserve">“The key point is that WSO2 can perform this conversion directly through the API Publisher. We start by importing the SOAP service’s WSDL, and instead of selecting Pass Through, we select Generate REST APIs. WSO2 reads the WSDL and automatically creates REST resources based on the SOAP </w:t>
      </w:r>
      <w:proofErr w:type="gramStart"/>
      <w:r w:rsidRPr="00FE485C">
        <w:rPr>
          <w:rFonts w:ascii="Times New Roman" w:eastAsia="Times New Roman" w:hAnsi="Times New Roman" w:cs="Times New Roman"/>
          <w:kern w:val="0"/>
          <w:sz w:val="28"/>
          <w:szCs w:val="28"/>
          <w14:ligatures w14:val="none"/>
        </w:rPr>
        <w:t>operations.”</w:t>
      </w:r>
      <w:proofErr w:type="gramEnd"/>
    </w:p>
    <w:p w14:paraId="26872B7F" w14:textId="77777777" w:rsidR="00FE485C" w:rsidRPr="00FE485C" w:rsidRDefault="00FE485C"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 xml:space="preserve">“For this demonstration, we're using the CDYNE Phone Verification SOAP service. Once the WSDL is imported, we define the API—in this case, </w:t>
      </w:r>
      <w:proofErr w:type="spellStart"/>
      <w:r w:rsidRPr="00FE485C">
        <w:rPr>
          <w:rFonts w:ascii="Times New Roman" w:eastAsia="Times New Roman" w:hAnsi="Times New Roman" w:cs="Times New Roman"/>
          <w:kern w:val="0"/>
          <w:sz w:val="28"/>
          <w:szCs w:val="28"/>
          <w14:ligatures w14:val="none"/>
        </w:rPr>
        <w:t>PhoneVerification</w:t>
      </w:r>
      <w:proofErr w:type="spellEnd"/>
      <w:r w:rsidRPr="00FE485C">
        <w:rPr>
          <w:rFonts w:ascii="Times New Roman" w:eastAsia="Times New Roman" w:hAnsi="Times New Roman" w:cs="Times New Roman"/>
          <w:kern w:val="0"/>
          <w:sz w:val="28"/>
          <w:szCs w:val="28"/>
          <w14:ligatures w14:val="none"/>
        </w:rPr>
        <w:t>—and WSO2 generates a REST-oriented API definition. The consumer now sees something like POST /</w:t>
      </w:r>
      <w:proofErr w:type="spellStart"/>
      <w:r w:rsidRPr="00FE485C">
        <w:rPr>
          <w:rFonts w:ascii="Times New Roman" w:eastAsia="Times New Roman" w:hAnsi="Times New Roman" w:cs="Times New Roman"/>
          <w:kern w:val="0"/>
          <w:sz w:val="28"/>
          <w:szCs w:val="28"/>
          <w14:ligatures w14:val="none"/>
        </w:rPr>
        <w:t>phoneverify</w:t>
      </w:r>
      <w:proofErr w:type="spellEnd"/>
      <w:r w:rsidRPr="00FE485C">
        <w:rPr>
          <w:rFonts w:ascii="Times New Roman" w:eastAsia="Times New Roman" w:hAnsi="Times New Roman" w:cs="Times New Roman"/>
          <w:kern w:val="0"/>
          <w:sz w:val="28"/>
          <w:szCs w:val="28"/>
          <w14:ligatures w14:val="none"/>
        </w:rPr>
        <w:t>/</w:t>
      </w:r>
      <w:proofErr w:type="spellStart"/>
      <w:r w:rsidRPr="00FE485C">
        <w:rPr>
          <w:rFonts w:ascii="Times New Roman" w:eastAsia="Times New Roman" w:hAnsi="Times New Roman" w:cs="Times New Roman"/>
          <w:kern w:val="0"/>
          <w:sz w:val="28"/>
          <w:szCs w:val="28"/>
          <w14:ligatures w14:val="none"/>
        </w:rPr>
        <w:t>CheckPhoneNumber</w:t>
      </w:r>
      <w:proofErr w:type="spellEnd"/>
      <w:r w:rsidRPr="00FE485C">
        <w:rPr>
          <w:rFonts w:ascii="Times New Roman" w:eastAsia="Times New Roman" w:hAnsi="Times New Roman" w:cs="Times New Roman"/>
          <w:kern w:val="0"/>
          <w:sz w:val="28"/>
          <w:szCs w:val="28"/>
          <w14:ligatures w14:val="none"/>
        </w:rPr>
        <w:t xml:space="preserve"> and sends JSON, even though the actual backend is still a SOAP service.”</w:t>
      </w:r>
      <w:r w:rsidRPr="00FE485C">
        <w:rPr>
          <w:rFonts w:ascii="Times New Roman" w:eastAsia="Times New Roman" w:hAnsi="Times New Roman" w:cs="Times New Roman"/>
          <w:kern w:val="0"/>
          <w:sz w:val="28"/>
          <w:szCs w:val="28"/>
          <w14:ligatures w14:val="none"/>
        </w:rPr>
        <w:br/>
        <w:t xml:space="preserve">“The important part of the demonstration is what happens behind the scenes. WSO2 automatically generates mediation logic from </w:t>
      </w:r>
      <w:proofErr w:type="gramStart"/>
      <w:r w:rsidRPr="00FE485C">
        <w:rPr>
          <w:rFonts w:ascii="Times New Roman" w:eastAsia="Times New Roman" w:hAnsi="Times New Roman" w:cs="Times New Roman"/>
          <w:kern w:val="0"/>
          <w:sz w:val="28"/>
          <w:szCs w:val="28"/>
          <w14:ligatures w14:val="none"/>
        </w:rPr>
        <w:t>the WSDL</w:t>
      </w:r>
      <w:proofErr w:type="gramEnd"/>
      <w:r w:rsidRPr="00FE485C">
        <w:rPr>
          <w:rFonts w:ascii="Times New Roman" w:eastAsia="Times New Roman" w:hAnsi="Times New Roman" w:cs="Times New Roman"/>
          <w:kern w:val="0"/>
          <w:sz w:val="28"/>
          <w:szCs w:val="28"/>
          <w14:ligatures w14:val="none"/>
        </w:rPr>
        <w:t xml:space="preserve">. It extracts values from the incoming JSON request, sets the appropriate SOAP action, and uses a </w:t>
      </w:r>
      <w:proofErr w:type="spellStart"/>
      <w:r w:rsidRPr="00FE485C">
        <w:rPr>
          <w:rFonts w:ascii="Times New Roman" w:eastAsia="Times New Roman" w:hAnsi="Times New Roman" w:cs="Times New Roman"/>
          <w:kern w:val="0"/>
          <w:sz w:val="28"/>
          <w:szCs w:val="28"/>
          <w14:ligatures w14:val="none"/>
        </w:rPr>
        <w:t>PayloadFactory</w:t>
      </w:r>
      <w:proofErr w:type="spellEnd"/>
      <w:r w:rsidRPr="00FE485C">
        <w:rPr>
          <w:rFonts w:ascii="Times New Roman" w:eastAsia="Times New Roman" w:hAnsi="Times New Roman" w:cs="Times New Roman"/>
          <w:kern w:val="0"/>
          <w:sz w:val="28"/>
          <w:szCs w:val="28"/>
          <w14:ligatures w14:val="none"/>
        </w:rPr>
        <w:t xml:space="preserve"> to construct the SOAP XML envelope. </w:t>
      </w:r>
      <w:proofErr w:type="gramStart"/>
      <w:r w:rsidRPr="00FE485C">
        <w:rPr>
          <w:rFonts w:ascii="Times New Roman" w:eastAsia="Times New Roman" w:hAnsi="Times New Roman" w:cs="Times New Roman"/>
          <w:kern w:val="0"/>
          <w:sz w:val="28"/>
          <w:szCs w:val="28"/>
          <w14:ligatures w14:val="none"/>
        </w:rPr>
        <w:t>So</w:t>
      </w:r>
      <w:proofErr w:type="gramEnd"/>
      <w:r w:rsidRPr="00FE485C">
        <w:rPr>
          <w:rFonts w:ascii="Times New Roman" w:eastAsia="Times New Roman" w:hAnsi="Times New Roman" w:cs="Times New Roman"/>
          <w:kern w:val="0"/>
          <w:sz w:val="28"/>
          <w:szCs w:val="28"/>
          <w14:ligatures w14:val="none"/>
        </w:rPr>
        <w:t xml:space="preserve"> we're not manually writing the SOAP transformation—the API Manager generates the mediation from the WSDL.”</w:t>
      </w:r>
    </w:p>
    <w:p w14:paraId="2A9C60FC" w14:textId="77777777" w:rsidR="00FE485C" w:rsidRPr="00FE485C" w:rsidRDefault="00FE485C"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 xml:space="preserve">“We then publish the API and deploy it to the Gateway. Through the Developer Portal, we </w:t>
      </w:r>
      <w:proofErr w:type="gramStart"/>
      <w:r w:rsidRPr="00FE485C">
        <w:rPr>
          <w:rFonts w:ascii="Times New Roman" w:eastAsia="Times New Roman" w:hAnsi="Times New Roman" w:cs="Times New Roman"/>
          <w:kern w:val="0"/>
          <w:sz w:val="28"/>
          <w:szCs w:val="28"/>
          <w14:ligatures w14:val="none"/>
        </w:rPr>
        <w:t>subscribe</w:t>
      </w:r>
      <w:proofErr w:type="gramEnd"/>
      <w:r w:rsidRPr="00FE485C">
        <w:rPr>
          <w:rFonts w:ascii="Times New Roman" w:eastAsia="Times New Roman" w:hAnsi="Times New Roman" w:cs="Times New Roman"/>
          <w:kern w:val="0"/>
          <w:sz w:val="28"/>
          <w:szCs w:val="28"/>
          <w14:ligatures w14:val="none"/>
        </w:rPr>
        <w:t xml:space="preserve"> an application and generate an OAuth2 access token. The client can now invoke the API using a standard REST/JSON request.”</w:t>
      </w:r>
    </w:p>
    <w:p w14:paraId="4C415FB7" w14:textId="77777777" w:rsidR="00FE485C" w:rsidRPr="00FE485C" w:rsidRDefault="00FE485C"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 xml:space="preserve">“When I send the request from Postman, the client sends JSON to WSO2. WSO2's Gateway processes that request, performs the JSON-to-SOAP transformation, and sends a SOAP/XML request to the legacy service. The SOAP service processes the request and returns XML. WSO2 then processes that response and presents the REST representation back to the </w:t>
      </w:r>
      <w:proofErr w:type="gramStart"/>
      <w:r w:rsidRPr="00FE485C">
        <w:rPr>
          <w:rFonts w:ascii="Times New Roman" w:eastAsia="Times New Roman" w:hAnsi="Times New Roman" w:cs="Times New Roman"/>
          <w:kern w:val="0"/>
          <w:sz w:val="28"/>
          <w:szCs w:val="28"/>
          <w14:ligatures w14:val="none"/>
        </w:rPr>
        <w:t>client.”</w:t>
      </w:r>
      <w:proofErr w:type="gramEnd"/>
    </w:p>
    <w:p w14:paraId="0301C3DB" w14:textId="77777777" w:rsidR="00FE485C" w:rsidRPr="00FE485C" w:rsidRDefault="00FE485C"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“This is different from simply proxying a SOAP service. With Pass Through, the client still communicates using SOAP. With Generate REST APIs, the client communicates using REST and JSON while WSO2 handles the SOAP protocol and message transformation behind the scenes. That's what makes this a useful modernization pattern for legacy enterprise services.”</w:t>
      </w:r>
    </w:p>
    <w:p w14:paraId="75C349E6" w14:textId="77777777" w:rsidR="00FE485C" w:rsidRPr="00FE485C" w:rsidRDefault="00FE485C"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 xml:space="preserve">“This also complements our Kong demonstration. Kong can serve as the enterprise API governance and security layer—providing authentication, ACLs, rate limiting, routing, and observability—while WSO2 handles the WSDL import, REST API generation, and SOAP mediation. Together, the pattern allows us to govern the </w:t>
      </w:r>
      <w:r w:rsidRPr="00FE485C">
        <w:rPr>
          <w:rFonts w:ascii="Times New Roman" w:eastAsia="Times New Roman" w:hAnsi="Times New Roman" w:cs="Times New Roman"/>
          <w:kern w:val="0"/>
          <w:sz w:val="28"/>
          <w:szCs w:val="28"/>
          <w14:ligatures w14:val="none"/>
        </w:rPr>
        <w:lastRenderedPageBreak/>
        <w:t xml:space="preserve">API at the gateway while progressively modernizing legacy SOAP interfaces without immediately replacing the underlying </w:t>
      </w:r>
      <w:proofErr w:type="gramStart"/>
      <w:r w:rsidRPr="00FE485C">
        <w:rPr>
          <w:rFonts w:ascii="Times New Roman" w:eastAsia="Times New Roman" w:hAnsi="Times New Roman" w:cs="Times New Roman"/>
          <w:kern w:val="0"/>
          <w:sz w:val="28"/>
          <w:szCs w:val="28"/>
          <w14:ligatures w14:val="none"/>
        </w:rPr>
        <w:t>systems.”</w:t>
      </w:r>
      <w:proofErr w:type="gramEnd"/>
    </w:p>
    <w:p w14:paraId="5FF6F63D" w14:textId="77777777" w:rsidR="00FE485C" w:rsidRPr="00FE485C" w:rsidRDefault="00FE485C"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 xml:space="preserve">“The overall flow is therefore simple: REST client, Kong API Gateway, WSO2 API Manager, legacy SOAP service, and then the response follows the reverse path. The consumer gets a modern REST interface while the existing SOAP service remains operational behind the </w:t>
      </w:r>
      <w:proofErr w:type="gramStart"/>
      <w:r w:rsidRPr="00FE485C">
        <w:rPr>
          <w:rFonts w:ascii="Times New Roman" w:eastAsia="Times New Roman" w:hAnsi="Times New Roman" w:cs="Times New Roman"/>
          <w:kern w:val="0"/>
          <w:sz w:val="28"/>
          <w:szCs w:val="28"/>
          <w14:ligatures w14:val="none"/>
        </w:rPr>
        <w:t>scenes.”</w:t>
      </w:r>
      <w:proofErr w:type="gramEnd"/>
    </w:p>
    <w:p w14:paraId="00A5A624" w14:textId="2016C015" w:rsidR="00FE485C" w:rsidRPr="00FE485C" w:rsidRDefault="00FE485C" w:rsidP="00FE485C">
      <w:pPr>
        <w:pStyle w:val="Heading2"/>
        <w:numPr>
          <w:ilvl w:val="0"/>
          <w:numId w:val="4"/>
        </w:numPr>
        <w:rPr>
          <w:rFonts w:eastAsia="Times New Roman"/>
        </w:rPr>
      </w:pPr>
      <w:r w:rsidRPr="00FE485C">
        <w:rPr>
          <w:rFonts w:eastAsia="Times New Roman"/>
        </w:rPr>
        <w:t>Kong Prometheus + Grafana Demonstration (3-min)</w:t>
      </w:r>
    </w:p>
    <w:p w14:paraId="6DE3685A" w14:textId="77777777" w:rsidR="00FE485C" w:rsidRPr="00FE485C" w:rsidRDefault="00FE485C"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“Next, I’ll demonstrate how Kong provides API monitoring using the Prometheus plugin and Grafana. The goal is to move from simply exposing APIs to being able to understand how those APIs are performing in real time.”</w:t>
      </w:r>
    </w:p>
    <w:p w14:paraId="48272428" w14:textId="77777777" w:rsidR="00FE485C" w:rsidRPr="00FE485C" w:rsidRDefault="00FE485C"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“First, Kong's Prometheus plugin exposes operational metrics from the gateway. Instead of collecting information from individual applications, we can collect metrics directly from Kong as the common API access layer. These metrics can include things such as the number of requests, request and response status codes, latency, bandwidth, and other gateway-level information.”</w:t>
      </w:r>
    </w:p>
    <w:p w14:paraId="20A2E148" w14:textId="77777777" w:rsidR="00FE485C" w:rsidRPr="00FE485C" w:rsidRDefault="00FE485C"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 xml:space="preserve">“I enable the Prometheus plugin on Kong. Once enabled, Kong exposes a metrics endpoint that a Prometheus server can scrape. Prometheus periodically polls that endpoint and stores the metrics as time-series data. This gives us a historical view rather than just seeing what is happening with an API at this </w:t>
      </w:r>
      <w:proofErr w:type="gramStart"/>
      <w:r w:rsidRPr="00FE485C">
        <w:rPr>
          <w:rFonts w:ascii="Times New Roman" w:eastAsia="Times New Roman" w:hAnsi="Times New Roman" w:cs="Times New Roman"/>
          <w:kern w:val="0"/>
          <w:sz w:val="28"/>
          <w:szCs w:val="28"/>
          <w14:ligatures w14:val="none"/>
        </w:rPr>
        <w:t>particular moment</w:t>
      </w:r>
      <w:proofErr w:type="gramEnd"/>
      <w:r w:rsidRPr="00FE485C">
        <w:rPr>
          <w:rFonts w:ascii="Times New Roman" w:eastAsia="Times New Roman" w:hAnsi="Times New Roman" w:cs="Times New Roman"/>
          <w:kern w:val="0"/>
          <w:sz w:val="28"/>
          <w:szCs w:val="28"/>
          <w14:ligatures w14:val="none"/>
        </w:rPr>
        <w:t>.”</w:t>
      </w:r>
    </w:p>
    <w:p w14:paraId="23A95D53" w14:textId="77777777" w:rsidR="00FE485C" w:rsidRPr="00FE485C" w:rsidRDefault="00FE485C"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“Now let's look at Grafana. Grafana connects to Prometheus as a data source and provides the visualization layer. Kong provides a pre-built Grafana dashboard that allows us to visualize the metrics collected from the gateway. Instead of looking at raw Prometheus metrics, we can see dashboards showing traffic, response codes, latency, and other operational indicators.”</w:t>
      </w:r>
    </w:p>
    <w:p w14:paraId="336E0EA6" w14:textId="77777777" w:rsidR="00FE485C" w:rsidRPr="00FE485C" w:rsidRDefault="00FE485C"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 xml:space="preserve">“For example, I can look at the request rate to understand how heavily the API Gateway is being used. I can look at HTTP response codes to identify increases in 4xx or 5xx errors. I can also look at latency to determine whether requests are taking longer than expected. If latency suddenly increases while the error rate also increases, that could indicate a problem with an upstream service rather than Kong </w:t>
      </w:r>
      <w:proofErr w:type="gramStart"/>
      <w:r w:rsidRPr="00FE485C">
        <w:rPr>
          <w:rFonts w:ascii="Times New Roman" w:eastAsia="Times New Roman" w:hAnsi="Times New Roman" w:cs="Times New Roman"/>
          <w:kern w:val="0"/>
          <w:sz w:val="28"/>
          <w:szCs w:val="28"/>
          <w14:ligatures w14:val="none"/>
        </w:rPr>
        <w:t>itself.”</w:t>
      </w:r>
      <w:proofErr w:type="gramEnd"/>
    </w:p>
    <w:p w14:paraId="2034B373" w14:textId="77777777" w:rsidR="00FE485C" w:rsidRPr="00FE485C" w:rsidRDefault="00FE485C"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lastRenderedPageBreak/>
        <w:t xml:space="preserve">“The real value comes when we exercise the API. I'll generate several API requests through Kong. As those requests occur, Kong generates the metrics, Prometheus collects them, and Grafana updates the dashboard. We can see the traffic increase, observe the corresponding response codes, and see the latency associated with those </w:t>
      </w:r>
      <w:proofErr w:type="gramStart"/>
      <w:r w:rsidRPr="00FE485C">
        <w:rPr>
          <w:rFonts w:ascii="Times New Roman" w:eastAsia="Times New Roman" w:hAnsi="Times New Roman" w:cs="Times New Roman"/>
          <w:kern w:val="0"/>
          <w:sz w:val="28"/>
          <w:szCs w:val="28"/>
          <w14:ligatures w14:val="none"/>
        </w:rPr>
        <w:t>requests.”</w:t>
      </w:r>
      <w:proofErr w:type="gramEnd"/>
    </w:p>
    <w:p w14:paraId="20D4FEA6" w14:textId="77777777" w:rsidR="00FE485C" w:rsidRPr="00FE485C" w:rsidRDefault="00FE485C"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“This also gives us a foundation for operational monitoring and security. For example, an unusual increase in request volume could indicate an application problem or potentially abusive traffic. A spike in authentication failures or HTTP errors could indicate an issue that warrants investigation. These metrics can also support alerting when predefined thresholds are exceeded.”</w:t>
      </w:r>
    </w:p>
    <w:p w14:paraId="2639DECD" w14:textId="77777777" w:rsidR="00FE485C" w:rsidRPr="00FE485C" w:rsidRDefault="00FE485C"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“In an enterprise or DoD environment, I would view this as part of a broader monitoring architecture. Kong provides the API-level telemetry, Prometheus provides time-series metric collection, and Grafana provides visualization and dashboards. We can combine that with centralized logging, such as ELK, to answer two different questions: Prometheus and Grafana tell us what is happening and how the gateway is performing, while ELK helps us investigate the detailed events and logs behind it.”</w:t>
      </w:r>
    </w:p>
    <w:p w14:paraId="152536AB" w14:textId="77777777" w:rsidR="00FE485C" w:rsidRPr="00FE485C" w:rsidRDefault="00FE485C"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w:t>
      </w:r>
      <w:proofErr w:type="gramStart"/>
      <w:r w:rsidRPr="00FE485C">
        <w:rPr>
          <w:rFonts w:ascii="Times New Roman" w:eastAsia="Times New Roman" w:hAnsi="Times New Roman" w:cs="Times New Roman"/>
          <w:kern w:val="0"/>
          <w:sz w:val="28"/>
          <w:szCs w:val="28"/>
          <w14:ligatures w14:val="none"/>
        </w:rPr>
        <w:t>So</w:t>
      </w:r>
      <w:proofErr w:type="gramEnd"/>
      <w:r w:rsidRPr="00FE485C">
        <w:rPr>
          <w:rFonts w:ascii="Times New Roman" w:eastAsia="Times New Roman" w:hAnsi="Times New Roman" w:cs="Times New Roman"/>
          <w:kern w:val="0"/>
          <w:sz w:val="28"/>
          <w:szCs w:val="28"/>
          <w14:ligatures w14:val="none"/>
        </w:rPr>
        <w:t xml:space="preserve"> the key takeaway is that Kong isn't just an API routing point. With Prometheus and Grafana, it becomes an observable API platform where we can measure traffic, performance, errors, and availability across our services and use that information to operate and govern the API environment.”</w:t>
      </w:r>
    </w:p>
    <w:p w14:paraId="08E82901" w14:textId="77777777" w:rsidR="00FE485C" w:rsidRPr="00FE485C" w:rsidRDefault="00FE485C" w:rsidP="00FE485C">
      <w:pPr>
        <w:rPr>
          <w:rFonts w:ascii="Times New Roman" w:eastAsia="Times New Roman" w:hAnsi="Times New Roman" w:cs="Times New Roman"/>
          <w:kern w:val="0"/>
          <w:sz w:val="28"/>
          <w:szCs w:val="28"/>
          <w14:ligatures w14:val="none"/>
        </w:rPr>
      </w:pPr>
    </w:p>
    <w:p w14:paraId="0C11FF88" w14:textId="77777777" w:rsidR="00FE485C" w:rsidRDefault="00FE485C" w:rsidP="00FE485C">
      <w:pPr>
        <w:rPr>
          <w:sz w:val="28"/>
          <w:szCs w:val="28"/>
        </w:rPr>
      </w:pPr>
    </w:p>
    <w:p w14:paraId="61A0C104" w14:textId="77777777" w:rsidR="00FE485C" w:rsidRDefault="00FE485C" w:rsidP="00FE485C">
      <w:pPr>
        <w:rPr>
          <w:sz w:val="28"/>
          <w:szCs w:val="28"/>
        </w:rPr>
      </w:pPr>
    </w:p>
    <w:p w14:paraId="456D8023" w14:textId="77777777" w:rsidR="00FE485C" w:rsidRDefault="00FE485C" w:rsidP="00FE485C">
      <w:pPr>
        <w:rPr>
          <w:sz w:val="28"/>
          <w:szCs w:val="28"/>
        </w:rPr>
      </w:pPr>
    </w:p>
    <w:p w14:paraId="7D2B3552" w14:textId="77777777" w:rsidR="00FE485C" w:rsidRDefault="00FE485C" w:rsidP="00FE485C">
      <w:pPr>
        <w:rPr>
          <w:sz w:val="28"/>
          <w:szCs w:val="28"/>
        </w:rPr>
      </w:pPr>
    </w:p>
    <w:p w14:paraId="6B09D23E" w14:textId="77777777" w:rsidR="00FE485C" w:rsidRDefault="00FE485C" w:rsidP="00FE485C">
      <w:pPr>
        <w:rPr>
          <w:sz w:val="28"/>
          <w:szCs w:val="28"/>
        </w:rPr>
      </w:pPr>
    </w:p>
    <w:p w14:paraId="4920CDB6" w14:textId="7B780A5E" w:rsidR="006308B4" w:rsidRPr="00FE485C" w:rsidRDefault="006308B4" w:rsidP="00FE485C">
      <w:pPr>
        <w:pStyle w:val="Heading2"/>
        <w:numPr>
          <w:ilvl w:val="0"/>
          <w:numId w:val="4"/>
        </w:numPr>
        <w:rPr>
          <w:rFonts w:eastAsia="Times New Roman"/>
        </w:rPr>
      </w:pPr>
      <w:r w:rsidRPr="00FE485C">
        <w:rPr>
          <w:rFonts w:eastAsia="Times New Roman"/>
        </w:rPr>
        <w:lastRenderedPageBreak/>
        <w:t>Kong Role-Based Access Demonstration</w:t>
      </w:r>
    </w:p>
    <w:p w14:paraId="0A808AB9" w14:textId="77777777" w:rsidR="006308B4" w:rsidRPr="00FE485C" w:rsidRDefault="006308B4"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 xml:space="preserve">“Next, I’ll demonstrate how Kong can provide role-based access control using Basic Authentication together with Kong's Consumer and ACL capabilities. The important concept is that authentication and authorization are separate steps: Basic Authentication establishes </w:t>
      </w:r>
      <w:r w:rsidRPr="00FE485C">
        <w:rPr>
          <w:rFonts w:ascii="Times New Roman" w:eastAsia="Times New Roman" w:hAnsi="Times New Roman" w:cs="Times New Roman"/>
          <w:i/>
          <w:iCs/>
          <w:kern w:val="0"/>
          <w:sz w:val="28"/>
          <w:szCs w:val="28"/>
          <w14:ligatures w14:val="none"/>
        </w:rPr>
        <w:t>who the consumer is</w:t>
      </w:r>
      <w:r w:rsidRPr="00FE485C">
        <w:rPr>
          <w:rFonts w:ascii="Times New Roman" w:eastAsia="Times New Roman" w:hAnsi="Times New Roman" w:cs="Times New Roman"/>
          <w:kern w:val="0"/>
          <w:sz w:val="28"/>
          <w:szCs w:val="28"/>
          <w14:ligatures w14:val="none"/>
        </w:rPr>
        <w:t xml:space="preserve">, while ACLs determine </w:t>
      </w:r>
      <w:r w:rsidRPr="00FE485C">
        <w:rPr>
          <w:rFonts w:ascii="Times New Roman" w:eastAsia="Times New Roman" w:hAnsi="Times New Roman" w:cs="Times New Roman"/>
          <w:i/>
          <w:iCs/>
          <w:kern w:val="0"/>
          <w:sz w:val="28"/>
          <w:szCs w:val="28"/>
          <w14:ligatures w14:val="none"/>
        </w:rPr>
        <w:t>what that consumer is allowed to access</w:t>
      </w:r>
      <w:r w:rsidRPr="00FE485C">
        <w:rPr>
          <w:rFonts w:ascii="Times New Roman" w:eastAsia="Times New Roman" w:hAnsi="Times New Roman" w:cs="Times New Roman"/>
          <w:kern w:val="0"/>
          <w:sz w:val="28"/>
          <w:szCs w:val="28"/>
          <w14:ligatures w14:val="none"/>
        </w:rPr>
        <w:t>.”</w:t>
      </w:r>
    </w:p>
    <w:p w14:paraId="00569940" w14:textId="77777777" w:rsidR="006308B4" w:rsidRPr="00FE485C" w:rsidRDefault="006308B4"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 xml:space="preserve">“First, I create consumers in Kong representing different users or applications. For example, we might have an </w:t>
      </w:r>
      <w:r w:rsidRPr="00FE485C">
        <w:rPr>
          <w:rFonts w:ascii="Courier New" w:eastAsia="Times New Roman" w:hAnsi="Courier New" w:cs="Courier New"/>
          <w:kern w:val="0"/>
          <w:sz w:val="22"/>
          <w:szCs w:val="22"/>
          <w14:ligatures w14:val="none"/>
        </w:rPr>
        <w:t>Admin</w:t>
      </w:r>
      <w:r w:rsidRPr="00FE485C">
        <w:rPr>
          <w:rFonts w:ascii="Times New Roman" w:eastAsia="Times New Roman" w:hAnsi="Times New Roman" w:cs="Times New Roman"/>
          <w:kern w:val="0"/>
          <w:sz w:val="28"/>
          <w:szCs w:val="28"/>
          <w14:ligatures w14:val="none"/>
        </w:rPr>
        <w:t xml:space="preserve"> consumer, an </w:t>
      </w:r>
      <w:r w:rsidRPr="00FE485C">
        <w:rPr>
          <w:rFonts w:ascii="Courier New" w:eastAsia="Times New Roman" w:hAnsi="Courier New" w:cs="Courier New"/>
          <w:kern w:val="0"/>
          <w:sz w:val="22"/>
          <w:szCs w:val="22"/>
          <w14:ligatures w14:val="none"/>
        </w:rPr>
        <w:t>Analyst</w:t>
      </w:r>
      <w:r w:rsidRPr="00FE485C">
        <w:rPr>
          <w:rFonts w:ascii="Times New Roman" w:eastAsia="Times New Roman" w:hAnsi="Times New Roman" w:cs="Times New Roman"/>
          <w:kern w:val="0"/>
          <w:sz w:val="28"/>
          <w:szCs w:val="28"/>
          <w14:ligatures w14:val="none"/>
        </w:rPr>
        <w:t xml:space="preserve"> consumer, and a </w:t>
      </w:r>
      <w:proofErr w:type="spellStart"/>
      <w:r w:rsidRPr="00FE485C">
        <w:rPr>
          <w:rFonts w:ascii="Courier New" w:eastAsia="Times New Roman" w:hAnsi="Courier New" w:cs="Courier New"/>
          <w:kern w:val="0"/>
          <w:sz w:val="22"/>
          <w:szCs w:val="22"/>
          <w14:ligatures w14:val="none"/>
        </w:rPr>
        <w:t>ReadOnly</w:t>
      </w:r>
      <w:proofErr w:type="spellEnd"/>
      <w:r w:rsidRPr="00FE485C">
        <w:rPr>
          <w:rFonts w:ascii="Times New Roman" w:eastAsia="Times New Roman" w:hAnsi="Times New Roman" w:cs="Times New Roman"/>
          <w:kern w:val="0"/>
          <w:sz w:val="28"/>
          <w:szCs w:val="28"/>
          <w14:ligatures w14:val="none"/>
        </w:rPr>
        <w:t xml:space="preserve"> consumer. For each consumer, I configure credentials using Kong's Basic Authentication plugin. When a client calls the API, it provides its username and password, and Kong validates those credentials before allowing the request to </w:t>
      </w:r>
      <w:proofErr w:type="gramStart"/>
      <w:r w:rsidRPr="00FE485C">
        <w:rPr>
          <w:rFonts w:ascii="Times New Roman" w:eastAsia="Times New Roman" w:hAnsi="Times New Roman" w:cs="Times New Roman"/>
          <w:kern w:val="0"/>
          <w:sz w:val="28"/>
          <w:szCs w:val="28"/>
          <w14:ligatures w14:val="none"/>
        </w:rPr>
        <w:t>proceed.”</w:t>
      </w:r>
      <w:proofErr w:type="gramEnd"/>
    </w:p>
    <w:p w14:paraId="1541EF04" w14:textId="77777777" w:rsidR="006308B4" w:rsidRPr="00FE485C" w:rsidRDefault="006308B4"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 xml:space="preserve">“Now we add authorization. I can associate consumers with ACL groups such as </w:t>
      </w:r>
      <w:r w:rsidRPr="00FE485C">
        <w:rPr>
          <w:rFonts w:ascii="Courier New" w:eastAsia="Times New Roman" w:hAnsi="Courier New" w:cs="Courier New"/>
          <w:kern w:val="0"/>
          <w:sz w:val="22"/>
          <w:szCs w:val="22"/>
          <w14:ligatures w14:val="none"/>
        </w:rPr>
        <w:t>admin</w:t>
      </w:r>
      <w:r w:rsidRPr="00FE485C">
        <w:rPr>
          <w:rFonts w:ascii="Times New Roman" w:eastAsia="Times New Roman" w:hAnsi="Times New Roman" w:cs="Times New Roman"/>
          <w:kern w:val="0"/>
          <w:sz w:val="28"/>
          <w:szCs w:val="28"/>
          <w14:ligatures w14:val="none"/>
        </w:rPr>
        <w:t xml:space="preserve">, </w:t>
      </w:r>
      <w:r w:rsidRPr="00FE485C">
        <w:rPr>
          <w:rFonts w:ascii="Courier New" w:eastAsia="Times New Roman" w:hAnsi="Courier New" w:cs="Courier New"/>
          <w:kern w:val="0"/>
          <w:sz w:val="22"/>
          <w:szCs w:val="22"/>
          <w14:ligatures w14:val="none"/>
        </w:rPr>
        <w:t>analyst</w:t>
      </w:r>
      <w:r w:rsidRPr="00FE485C">
        <w:rPr>
          <w:rFonts w:ascii="Times New Roman" w:eastAsia="Times New Roman" w:hAnsi="Times New Roman" w:cs="Times New Roman"/>
          <w:kern w:val="0"/>
          <w:sz w:val="28"/>
          <w:szCs w:val="28"/>
          <w14:ligatures w14:val="none"/>
        </w:rPr>
        <w:t xml:space="preserve">, or </w:t>
      </w:r>
      <w:proofErr w:type="spellStart"/>
      <w:r w:rsidRPr="00FE485C">
        <w:rPr>
          <w:rFonts w:ascii="Courier New" w:eastAsia="Times New Roman" w:hAnsi="Courier New" w:cs="Courier New"/>
          <w:kern w:val="0"/>
          <w:sz w:val="22"/>
          <w:szCs w:val="22"/>
          <w14:ligatures w14:val="none"/>
        </w:rPr>
        <w:t>readonly</w:t>
      </w:r>
      <w:proofErr w:type="spellEnd"/>
      <w:r w:rsidRPr="00FE485C">
        <w:rPr>
          <w:rFonts w:ascii="Times New Roman" w:eastAsia="Times New Roman" w:hAnsi="Times New Roman" w:cs="Times New Roman"/>
          <w:kern w:val="0"/>
          <w:sz w:val="28"/>
          <w:szCs w:val="28"/>
          <w14:ligatures w14:val="none"/>
        </w:rPr>
        <w:t>. Then, on a particular API Service or Route, I enable the ACL plugin and specify which groups are permitted. This means authentication happens first, and then Kong evaluates the consumer's group membership to determine whether that consumer is authorized to use that API.”</w:t>
      </w:r>
    </w:p>
    <w:p w14:paraId="1D7B19DD" w14:textId="77777777" w:rsidR="006308B4" w:rsidRPr="00FE485C" w:rsidRDefault="006308B4"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 xml:space="preserve">“Let's demonstrate this. I'll first call the API using our Admin credentials. Kong authenticates the consumer, identifies that the consumer belongs to the </w:t>
      </w:r>
      <w:proofErr w:type="gramStart"/>
      <w:r w:rsidRPr="00FE485C">
        <w:rPr>
          <w:rFonts w:ascii="Times New Roman" w:eastAsia="Times New Roman" w:hAnsi="Times New Roman" w:cs="Times New Roman"/>
          <w:kern w:val="0"/>
          <w:sz w:val="28"/>
          <w:szCs w:val="28"/>
          <w14:ligatures w14:val="none"/>
        </w:rPr>
        <w:t>Admin</w:t>
      </w:r>
      <w:proofErr w:type="gramEnd"/>
      <w:r w:rsidRPr="00FE485C">
        <w:rPr>
          <w:rFonts w:ascii="Times New Roman" w:eastAsia="Times New Roman" w:hAnsi="Times New Roman" w:cs="Times New Roman"/>
          <w:kern w:val="0"/>
          <w:sz w:val="28"/>
          <w:szCs w:val="28"/>
          <w14:ligatures w14:val="none"/>
        </w:rPr>
        <w:t xml:space="preserve"> group, and allows the request through to the upstream service. Now I'll make the same request using </w:t>
      </w:r>
      <w:proofErr w:type="gramStart"/>
      <w:r w:rsidRPr="00FE485C">
        <w:rPr>
          <w:rFonts w:ascii="Times New Roman" w:eastAsia="Times New Roman" w:hAnsi="Times New Roman" w:cs="Times New Roman"/>
          <w:kern w:val="0"/>
          <w:sz w:val="28"/>
          <w:szCs w:val="28"/>
          <w14:ligatures w14:val="none"/>
        </w:rPr>
        <w:t xml:space="preserve">the </w:t>
      </w:r>
      <w:proofErr w:type="spellStart"/>
      <w:r w:rsidRPr="00FE485C">
        <w:rPr>
          <w:rFonts w:ascii="Times New Roman" w:eastAsia="Times New Roman" w:hAnsi="Times New Roman" w:cs="Times New Roman"/>
          <w:kern w:val="0"/>
          <w:sz w:val="28"/>
          <w:szCs w:val="28"/>
          <w14:ligatures w14:val="none"/>
        </w:rPr>
        <w:t>ReadOnly</w:t>
      </w:r>
      <w:proofErr w:type="spellEnd"/>
      <w:proofErr w:type="gramEnd"/>
      <w:r w:rsidRPr="00FE485C">
        <w:rPr>
          <w:rFonts w:ascii="Times New Roman" w:eastAsia="Times New Roman" w:hAnsi="Times New Roman" w:cs="Times New Roman"/>
          <w:kern w:val="0"/>
          <w:sz w:val="28"/>
          <w:szCs w:val="28"/>
          <w14:ligatures w14:val="none"/>
        </w:rPr>
        <w:t xml:space="preserve"> consumer. If that consumer isn't authorized for the </w:t>
      </w:r>
      <w:proofErr w:type="gramStart"/>
      <w:r w:rsidRPr="00FE485C">
        <w:rPr>
          <w:rFonts w:ascii="Times New Roman" w:eastAsia="Times New Roman" w:hAnsi="Times New Roman" w:cs="Times New Roman"/>
          <w:kern w:val="0"/>
          <w:sz w:val="28"/>
          <w:szCs w:val="28"/>
          <w14:ligatures w14:val="none"/>
        </w:rPr>
        <w:t>particular Route</w:t>
      </w:r>
      <w:proofErr w:type="gramEnd"/>
      <w:r w:rsidRPr="00FE485C">
        <w:rPr>
          <w:rFonts w:ascii="Times New Roman" w:eastAsia="Times New Roman" w:hAnsi="Times New Roman" w:cs="Times New Roman"/>
          <w:kern w:val="0"/>
          <w:sz w:val="28"/>
          <w:szCs w:val="28"/>
          <w14:ligatures w14:val="none"/>
        </w:rPr>
        <w:t>, Kong rejects the request before it reaches the backend.”</w:t>
      </w:r>
    </w:p>
    <w:p w14:paraId="169BF7FB" w14:textId="77777777" w:rsidR="006308B4" w:rsidRPr="00FE485C" w:rsidRDefault="006308B4"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 xml:space="preserve">“This becomes particularly useful when we have different levels of access across an enterprise API environment. For example, an administrative API might only be available to the </w:t>
      </w:r>
      <w:r w:rsidRPr="00FE485C">
        <w:rPr>
          <w:rFonts w:ascii="Courier New" w:eastAsia="Times New Roman" w:hAnsi="Courier New" w:cs="Courier New"/>
          <w:kern w:val="0"/>
          <w:sz w:val="22"/>
          <w:szCs w:val="22"/>
          <w14:ligatures w14:val="none"/>
        </w:rPr>
        <w:t>admin</w:t>
      </w:r>
      <w:r w:rsidRPr="00FE485C">
        <w:rPr>
          <w:rFonts w:ascii="Times New Roman" w:eastAsia="Times New Roman" w:hAnsi="Times New Roman" w:cs="Times New Roman"/>
          <w:kern w:val="0"/>
          <w:sz w:val="28"/>
          <w:szCs w:val="28"/>
          <w14:ligatures w14:val="none"/>
        </w:rPr>
        <w:t xml:space="preserve"> group, analytical APIs might be available to </w:t>
      </w:r>
      <w:r w:rsidRPr="00FE485C">
        <w:rPr>
          <w:rFonts w:ascii="Courier New" w:eastAsia="Times New Roman" w:hAnsi="Courier New" w:cs="Courier New"/>
          <w:kern w:val="0"/>
          <w:sz w:val="22"/>
          <w:szCs w:val="22"/>
          <w14:ligatures w14:val="none"/>
        </w:rPr>
        <w:t>admin</w:t>
      </w:r>
      <w:r w:rsidRPr="00FE485C">
        <w:rPr>
          <w:rFonts w:ascii="Times New Roman" w:eastAsia="Times New Roman" w:hAnsi="Times New Roman" w:cs="Times New Roman"/>
          <w:kern w:val="0"/>
          <w:sz w:val="28"/>
          <w:szCs w:val="28"/>
          <w14:ligatures w14:val="none"/>
        </w:rPr>
        <w:t xml:space="preserve"> and </w:t>
      </w:r>
      <w:r w:rsidRPr="00FE485C">
        <w:rPr>
          <w:rFonts w:ascii="Courier New" w:eastAsia="Times New Roman" w:hAnsi="Courier New" w:cs="Courier New"/>
          <w:kern w:val="0"/>
          <w:sz w:val="22"/>
          <w:szCs w:val="22"/>
          <w14:ligatures w14:val="none"/>
        </w:rPr>
        <w:t>analyst</w:t>
      </w:r>
      <w:r w:rsidRPr="00FE485C">
        <w:rPr>
          <w:rFonts w:ascii="Times New Roman" w:eastAsia="Times New Roman" w:hAnsi="Times New Roman" w:cs="Times New Roman"/>
          <w:kern w:val="0"/>
          <w:sz w:val="28"/>
          <w:szCs w:val="28"/>
          <w14:ligatures w14:val="none"/>
        </w:rPr>
        <w:t xml:space="preserve">, while reference APIs might be available to </w:t>
      </w:r>
      <w:proofErr w:type="spellStart"/>
      <w:r w:rsidRPr="00FE485C">
        <w:rPr>
          <w:rFonts w:ascii="Courier New" w:eastAsia="Times New Roman" w:hAnsi="Courier New" w:cs="Courier New"/>
          <w:kern w:val="0"/>
          <w:sz w:val="22"/>
          <w:szCs w:val="22"/>
          <w14:ligatures w14:val="none"/>
        </w:rPr>
        <w:t>readonly</w:t>
      </w:r>
      <w:proofErr w:type="spellEnd"/>
      <w:r w:rsidRPr="00FE485C">
        <w:rPr>
          <w:rFonts w:ascii="Times New Roman" w:eastAsia="Times New Roman" w:hAnsi="Times New Roman" w:cs="Times New Roman"/>
          <w:kern w:val="0"/>
          <w:sz w:val="28"/>
          <w:szCs w:val="28"/>
          <w14:ligatures w14:val="none"/>
        </w:rPr>
        <w:t>. We can therefore enforce authorization consistently at the gateway instead of implementing separate access-control logic inside every backend application.”</w:t>
      </w:r>
    </w:p>
    <w:p w14:paraId="788502D1" w14:textId="77777777" w:rsidR="006308B4" w:rsidRPr="00FE485C" w:rsidRDefault="006308B4"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 xml:space="preserve">“There is also an important architectural distinction. Basic Authentication is useful for demonstrating or supporting relatively simple environments, but for an enterprise or DoD environment, I would generally integrate Kong with the organization's existing identity and access-management infrastructure using </w:t>
      </w:r>
      <w:r w:rsidRPr="00FE485C">
        <w:rPr>
          <w:rFonts w:ascii="Times New Roman" w:eastAsia="Times New Roman" w:hAnsi="Times New Roman" w:cs="Times New Roman"/>
          <w:kern w:val="0"/>
          <w:sz w:val="28"/>
          <w:szCs w:val="28"/>
          <w14:ligatures w14:val="none"/>
        </w:rPr>
        <w:lastRenderedPageBreak/>
        <w:t>standards such as OAuth 2.0 or OpenID Connect. That allows Kong to leverage centrally managed identities, roles, groups, tokens, and policies rather than maintaining individual usernames and passwords in the gateway.”</w:t>
      </w:r>
    </w:p>
    <w:p w14:paraId="21C9F354" w14:textId="77777777" w:rsidR="006308B4" w:rsidRPr="00FE485C" w:rsidRDefault="006308B4" w:rsidP="00FE485C">
      <w:pPr>
        <w:rPr>
          <w:rFonts w:ascii="Times New Roman" w:eastAsia="Times New Roman" w:hAnsi="Times New Roman" w:cs="Times New Roman"/>
          <w:kern w:val="0"/>
          <w:sz w:val="28"/>
          <w:szCs w:val="28"/>
          <w14:ligatures w14:val="none"/>
        </w:rPr>
      </w:pPr>
      <w:r w:rsidRPr="00FE485C">
        <w:rPr>
          <w:rFonts w:ascii="Times New Roman" w:eastAsia="Times New Roman" w:hAnsi="Times New Roman" w:cs="Times New Roman"/>
          <w:kern w:val="0"/>
          <w:sz w:val="28"/>
          <w:szCs w:val="28"/>
          <w14:ligatures w14:val="none"/>
        </w:rPr>
        <w:t>“</w:t>
      </w:r>
      <w:proofErr w:type="gramStart"/>
      <w:r w:rsidRPr="00FE485C">
        <w:rPr>
          <w:rFonts w:ascii="Times New Roman" w:eastAsia="Times New Roman" w:hAnsi="Times New Roman" w:cs="Times New Roman"/>
          <w:kern w:val="0"/>
          <w:sz w:val="28"/>
          <w:szCs w:val="28"/>
          <w14:ligatures w14:val="none"/>
        </w:rPr>
        <w:t>So</w:t>
      </w:r>
      <w:proofErr w:type="gramEnd"/>
      <w:r w:rsidRPr="00FE485C">
        <w:rPr>
          <w:rFonts w:ascii="Times New Roman" w:eastAsia="Times New Roman" w:hAnsi="Times New Roman" w:cs="Times New Roman"/>
          <w:kern w:val="0"/>
          <w:sz w:val="28"/>
          <w:szCs w:val="28"/>
          <w14:ligatures w14:val="none"/>
        </w:rPr>
        <w:t xml:space="preserve"> the key takeaway is that Kong gives us a policy enforcement point in front of our APIs. Basic Authentication demonstrates the identity side, Consumers represent the applications or users, and ACL groups provide the authorization layer. This allows us to control API access by role and enforce those policies consistently across REST APIs and other services exposed through the gateway.”</w:t>
      </w:r>
    </w:p>
    <w:p w14:paraId="07151F6D" w14:textId="77777777" w:rsidR="006308B4" w:rsidRPr="00FE485C" w:rsidRDefault="006308B4" w:rsidP="00FE485C">
      <w:pPr>
        <w:rPr>
          <w:sz w:val="28"/>
          <w:szCs w:val="28"/>
        </w:rPr>
      </w:pPr>
    </w:p>
    <w:sectPr w:rsidR="006308B4" w:rsidRPr="00FE4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D7524"/>
    <w:multiLevelType w:val="hybridMultilevel"/>
    <w:tmpl w:val="D10C5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FF5872"/>
    <w:multiLevelType w:val="hybridMultilevel"/>
    <w:tmpl w:val="37ECBAA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8E637F"/>
    <w:multiLevelType w:val="hybridMultilevel"/>
    <w:tmpl w:val="6C80ED7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B86C07"/>
    <w:multiLevelType w:val="hybridMultilevel"/>
    <w:tmpl w:val="8A94E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1674026">
    <w:abstractNumId w:val="3"/>
  </w:num>
  <w:num w:numId="2" w16cid:durableId="709643767">
    <w:abstractNumId w:val="2"/>
  </w:num>
  <w:num w:numId="3" w16cid:durableId="1857839437">
    <w:abstractNumId w:val="1"/>
  </w:num>
  <w:num w:numId="4" w16cid:durableId="48648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8B4"/>
    <w:rsid w:val="001364BF"/>
    <w:rsid w:val="0022586E"/>
    <w:rsid w:val="006308B4"/>
    <w:rsid w:val="00FE4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4CDEF"/>
  <w15:chartTrackingRefBased/>
  <w15:docId w15:val="{3B1B5427-A34A-4885-B503-6821EF8F8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85C"/>
  </w:style>
  <w:style w:type="paragraph" w:styleId="Heading1">
    <w:name w:val="heading 1"/>
    <w:basedOn w:val="Normal"/>
    <w:next w:val="Normal"/>
    <w:link w:val="Heading1Char"/>
    <w:uiPriority w:val="9"/>
    <w:qFormat/>
    <w:rsid w:val="00630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0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08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8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8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8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08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08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8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8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8B4"/>
    <w:rPr>
      <w:rFonts w:eastAsiaTheme="majorEastAsia" w:cstheme="majorBidi"/>
      <w:color w:val="272727" w:themeColor="text1" w:themeTint="D8"/>
    </w:rPr>
  </w:style>
  <w:style w:type="paragraph" w:styleId="Title">
    <w:name w:val="Title"/>
    <w:basedOn w:val="Normal"/>
    <w:next w:val="Normal"/>
    <w:link w:val="TitleChar"/>
    <w:uiPriority w:val="10"/>
    <w:qFormat/>
    <w:rsid w:val="00630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8B4"/>
    <w:pPr>
      <w:spacing w:before="160"/>
      <w:jc w:val="center"/>
    </w:pPr>
    <w:rPr>
      <w:i/>
      <w:iCs/>
      <w:color w:val="404040" w:themeColor="text1" w:themeTint="BF"/>
    </w:rPr>
  </w:style>
  <w:style w:type="character" w:customStyle="1" w:styleId="QuoteChar">
    <w:name w:val="Quote Char"/>
    <w:basedOn w:val="DefaultParagraphFont"/>
    <w:link w:val="Quote"/>
    <w:uiPriority w:val="29"/>
    <w:rsid w:val="006308B4"/>
    <w:rPr>
      <w:i/>
      <w:iCs/>
      <w:color w:val="404040" w:themeColor="text1" w:themeTint="BF"/>
    </w:rPr>
  </w:style>
  <w:style w:type="paragraph" w:styleId="ListParagraph">
    <w:name w:val="List Paragraph"/>
    <w:basedOn w:val="Normal"/>
    <w:uiPriority w:val="34"/>
    <w:qFormat/>
    <w:rsid w:val="006308B4"/>
    <w:pPr>
      <w:ind w:left="720"/>
      <w:contextualSpacing/>
    </w:pPr>
  </w:style>
  <w:style w:type="character" w:styleId="IntenseEmphasis">
    <w:name w:val="Intense Emphasis"/>
    <w:basedOn w:val="DefaultParagraphFont"/>
    <w:uiPriority w:val="21"/>
    <w:qFormat/>
    <w:rsid w:val="006308B4"/>
    <w:rPr>
      <w:i/>
      <w:iCs/>
      <w:color w:val="0F4761" w:themeColor="accent1" w:themeShade="BF"/>
    </w:rPr>
  </w:style>
  <w:style w:type="paragraph" w:styleId="IntenseQuote">
    <w:name w:val="Intense Quote"/>
    <w:basedOn w:val="Normal"/>
    <w:next w:val="Normal"/>
    <w:link w:val="IntenseQuoteChar"/>
    <w:uiPriority w:val="30"/>
    <w:qFormat/>
    <w:rsid w:val="00630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8B4"/>
    <w:rPr>
      <w:i/>
      <w:iCs/>
      <w:color w:val="0F4761" w:themeColor="accent1" w:themeShade="BF"/>
    </w:rPr>
  </w:style>
  <w:style w:type="character" w:styleId="IntenseReference">
    <w:name w:val="Intense Reference"/>
    <w:basedOn w:val="DefaultParagraphFont"/>
    <w:uiPriority w:val="32"/>
    <w:qFormat/>
    <w:rsid w:val="006308B4"/>
    <w:rPr>
      <w:b/>
      <w:bCs/>
      <w:smallCaps/>
      <w:color w:val="0F4761" w:themeColor="accent1" w:themeShade="BF"/>
      <w:spacing w:val="5"/>
    </w:rPr>
  </w:style>
  <w:style w:type="paragraph" w:customStyle="1" w:styleId="isselectedend">
    <w:name w:val="isselectedend"/>
    <w:basedOn w:val="Normal"/>
    <w:rsid w:val="001364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364BF"/>
    <w:rPr>
      <w:b/>
      <w:bCs/>
    </w:rPr>
  </w:style>
  <w:style w:type="paragraph" w:styleId="NormalWeb">
    <w:name w:val="Normal (Web)"/>
    <w:basedOn w:val="Normal"/>
    <w:uiPriority w:val="99"/>
    <w:semiHidden/>
    <w:unhideWhenUsed/>
    <w:rsid w:val="001364B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2535</Words>
  <Characters>14452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Wilson</dc:creator>
  <cp:keywords/>
  <dc:description/>
  <cp:lastModifiedBy>Michael Wilson</cp:lastModifiedBy>
  <cp:revision>2</cp:revision>
  <dcterms:created xsi:type="dcterms:W3CDTF">2026-09-14T11:52:00Z</dcterms:created>
  <dcterms:modified xsi:type="dcterms:W3CDTF">2026-09-14T12:19:00Z</dcterms:modified>
</cp:coreProperties>
</file>