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p>
    <w:bookmarkStart w:id="23" w:name="auslesen-von-sensordaten"/>
    <w:p>
      <w:pPr>
        <w:pStyle w:val="Heading1"/>
      </w:pPr>
      <w:r>
        <w:t xml:space="preserve">Auslesen von Sensordaten</w:t>
      </w:r>
    </w:p>
    <w:p>
      <w:pPr>
        <w:pStyle w:val="FirstParagraph"/>
      </w:pPr>
      <w:r>
        <w:t xml:space="preserve">Um die Daten eines Sensors auszulesen und auch zu speichern muss zuallererst die Application, in dem sich der jeweilige Sensor befindet, geöffnet werden und der Sensor dessen Daten benötigt werden angeklickt werden.</w:t>
      </w:r>
      <w:r>
        <w:t xml:space="preserve"> </w:t>
      </w:r>
      <w:r>
        <w:t xml:space="preserve">[[Screenshot 2022-02-14 at 13.03.44.png]]</w:t>
      </w:r>
      <w:r>
        <w:t xml:space="preserve"> </w:t>
      </w:r>
      <w:r>
        <w:t xml:space="preserve">Daraufhin sind über den Reiter</w:t>
      </w:r>
      <w:r>
        <w:t xml:space="preserve"> </w:t>
      </w:r>
      <w:r>
        <w:t xml:space="preserve">“</w:t>
      </w:r>
      <w:r>
        <w:t xml:space="preserve">Device Data</w:t>
      </w:r>
      <w:r>
        <w:t xml:space="preserve">”</w:t>
      </w:r>
      <w:r>
        <w:t xml:space="preserve"> </w:t>
      </w:r>
      <w:r>
        <w:t xml:space="preserve">die jeweiligen Daten abzulesen</w:t>
      </w:r>
    </w:p>
    <w:bookmarkStart w:id="20" w:name="erläuterungen"/>
    <w:p>
      <w:pPr>
        <w:pStyle w:val="Heading2"/>
      </w:pPr>
      <w:r>
        <w:t xml:space="preserve">Erläuterungen</w:t>
      </w:r>
    </w:p>
    <w:p>
      <w:pPr>
        <w:pStyle w:val="FirstParagraph"/>
      </w:pPr>
      <w:r>
        <w:t xml:space="preserve">[[Screenshot 2022-02-14 at 13.04.19.png]]</w:t>
      </w:r>
      <w:r>
        <w:t xml:space="preserve"> </w:t>
      </w:r>
      <w:r>
        <w:t xml:space="preserve">Jede Zeile, die sich unter</w:t>
      </w:r>
      <w:r>
        <w:t xml:space="preserve"> </w:t>
      </w:r>
      <w:r>
        <w:t xml:space="preserve">“</w:t>
      </w:r>
      <w:r>
        <w:t xml:space="preserve">Device Data</w:t>
      </w:r>
      <w:r>
        <w:t xml:space="preserve">”</w:t>
      </w:r>
      <w:r>
        <w:t xml:space="preserve"> </w:t>
      </w:r>
      <w:r>
        <w:t xml:space="preserve">befindet entspricht einem LoRaWAN-Paket. Die Informationen die auf den jeweiligen Zeilen stehen haben folgende Bedeutungen:</w:t>
      </w:r>
    </w:p>
    <w:p>
      <w:pPr>
        <w:pStyle w:val="BodyText"/>
      </w:pPr>
      <w:r>
        <w:t xml:space="preserve">An erster Stelle steht das Datum und die Uhrzeit zu welcher das jeweilige Paket vom Gateway empfangen wurde.</w:t>
      </w:r>
    </w:p>
    <w:p>
      <w:pPr>
        <w:pStyle w:val="BodyText"/>
      </w:pPr>
      <w:r>
        <w:t xml:space="preserve">Danach kommt</w:t>
      </w:r>
      <w:r>
        <w:t xml:space="preserve"> </w:t>
      </w:r>
      <w:r>
        <w:t xml:space="preserve">“</w:t>
      </w:r>
      <w:r>
        <w:t xml:space="preserve">up</w:t>
      </w:r>
      <w:r>
        <w:t xml:space="preserve">”</w:t>
      </w:r>
      <w:r>
        <w:t xml:space="preserve"> </w:t>
      </w:r>
      <w:r>
        <w:t xml:space="preserve">oder</w:t>
      </w:r>
      <w:r>
        <w:t xml:space="preserve"> </w:t>
      </w:r>
      <w:r>
        <w:t xml:space="preserve">“</w:t>
      </w:r>
      <w:r>
        <w:t xml:space="preserve">down</w:t>
      </w:r>
      <w:r>
        <w:t xml:space="preserve">”</w:t>
      </w:r>
      <w:r>
        <w:t xml:space="preserve"> </w:t>
      </w:r>
      <w:r>
        <w:t xml:space="preserve">— bei</w:t>
      </w:r>
      <w:r>
        <w:t xml:space="preserve"> </w:t>
      </w:r>
      <w:r>
        <w:t xml:space="preserve">“</w:t>
      </w:r>
      <w:r>
        <w:t xml:space="preserve">up</w:t>
      </w:r>
      <w:r>
        <w:t xml:space="preserve">”</w:t>
      </w:r>
      <w:r>
        <w:t xml:space="preserve"> </w:t>
      </w:r>
      <w:r>
        <w:t xml:space="preserve">handelt es sich um ein Uplink-Paket, das der Sensor selbst geschickt hat; bei</w:t>
      </w:r>
      <w:r>
        <w:t xml:space="preserve"> </w:t>
      </w:r>
      <w:r>
        <w:t xml:space="preserve">“</w:t>
      </w:r>
      <w:r>
        <w:t xml:space="preserve">down</w:t>
      </w:r>
      <w:r>
        <w:t xml:space="preserve">”</w:t>
      </w:r>
      <w:r>
        <w:t xml:space="preserve"> </w:t>
      </w:r>
      <w:r>
        <w:t xml:space="preserve">würde es sich um ein Paket handeln, das der Gateway an den Sensor geschickt hat.</w:t>
      </w:r>
    </w:p>
    <w:p>
      <w:pPr>
        <w:pStyle w:val="BodyText"/>
      </w:pPr>
      <w:r>
        <w:t xml:space="preserve">Die nächsten Informationen zeigen an, auf welcher Frequenz das Paket beim Gateway ankam.</w:t>
      </w:r>
      <w:r>
        <w:t xml:space="preserve"> </w:t>
      </w:r>
      <w:r>
        <w:rPr>
          <w:rStyle w:val="VerbatimChar"/>
        </w:rPr>
        <w:t xml:space="preserve">SF</w:t>
      </w:r>
      <w:r>
        <w:t xml:space="preserve"> </w:t>
      </w:r>
      <w:r>
        <w:t xml:space="preserve">steht für den sogenannten</w:t>
      </w:r>
      <w:r>
        <w:t xml:space="preserve"> </w:t>
      </w:r>
      <w:r>
        <w:rPr>
          <w:iCs/>
          <w:i/>
        </w:rPr>
        <w:t xml:space="preserve">Spreading Factor</w:t>
      </w:r>
      <w:r>
        <w:t xml:space="preserve">.</w:t>
      </w:r>
      <w:r>
        <w:t xml:space="preserve"> </w:t>
      </w:r>
      <w:r>
        <w:rPr>
          <w:rStyle w:val="VerbatimChar"/>
        </w:rPr>
        <w:t xml:space="preserve">BW125</w:t>
      </w:r>
      <w:r>
        <w:t xml:space="preserve"> </w:t>
      </w:r>
      <w:r>
        <w:t xml:space="preserve">steht für die Bandbreite (125 kHz).</w:t>
      </w:r>
      <w:r>
        <w:t xml:space="preserve"> </w:t>
      </w:r>
      <w:r>
        <w:rPr>
          <w:rStyle w:val="VerbatimChar"/>
        </w:rPr>
        <w:t xml:space="preserve">FCnt: num</w:t>
      </w:r>
      <w:r>
        <w:t xml:space="preserve"> </w:t>
      </w:r>
      <w:r>
        <w:t xml:space="preserve">steht für den</w:t>
      </w:r>
      <w:r>
        <w:t xml:space="preserve"> </w:t>
      </w:r>
      <w:r>
        <w:rPr>
          <w:iCs/>
          <w:i/>
        </w:rPr>
        <w:t xml:space="preserve">Frame-Count</w:t>
      </w:r>
      <w:r>
        <w:t xml:space="preserve">, also das wievielte LoRaWAN-Paket vom Node geschickt wurde.</w:t>
      </w:r>
      <w:r>
        <w:t xml:space="preserve"> </w:t>
      </w:r>
      <w:r>
        <w:rPr>
          <w:rStyle w:val="VerbatimChar"/>
        </w:rPr>
        <w:t xml:space="preserve">FPort</w:t>
      </w:r>
      <w:r>
        <w:t xml:space="preserve"> </w:t>
      </w:r>
      <w:r>
        <w:t xml:space="preserve">ist der Frame-Port. Als letztes steht die Art des Up- bzw. Downlink-Pakets:</w:t>
      </w:r>
      <w:r>
        <w:t xml:space="preserve"> </w:t>
      </w:r>
      <w:r>
        <w:rPr>
          <w:rStyle w:val="VerbatimChar"/>
        </w:rPr>
        <w:t xml:space="preserve">Unconfirmed</w:t>
      </w:r>
      <w:r>
        <w:t xml:space="preserve"> </w:t>
      </w:r>
      <w:r>
        <w:t xml:space="preserve">bedeutet, dass der Sensor keine Antwort vom LoRaWAN-Gateway erwartet;</w:t>
      </w:r>
      <w:r>
        <w:t xml:space="preserve"> </w:t>
      </w:r>
      <w:r>
        <w:rPr>
          <w:rStyle w:val="VerbatimChar"/>
        </w:rPr>
        <w:t xml:space="preserve">Confirmed</w:t>
      </w:r>
      <w:r>
        <w:t xml:space="preserve"> </w:t>
      </w:r>
      <w:r>
        <w:t xml:space="preserve">bedeutet, dass der Sensor auf eine Antwort wartet (passiert beispielsweise bei</w:t>
      </w:r>
      <w:r>
        <w:t xml:space="preserve"> </w:t>
      </w:r>
      <w:r>
        <w:rPr>
          <w:rStyle w:val="VerbatimChar"/>
        </w:rPr>
        <w:t xml:space="preserve">JoinRequest</w:t>
      </w:r>
      <w:r>
        <w:t xml:space="preserve">-Paketen).</w:t>
      </w:r>
    </w:p>
    <w:bookmarkEnd w:id="20"/>
    <w:bookmarkStart w:id="22" w:name="öffnen-eines-lorawan-paketes"/>
    <w:p>
      <w:pPr>
        <w:pStyle w:val="Heading2"/>
      </w:pPr>
      <w:r>
        <w:t xml:space="preserve">Öffnen eines LoRaWAN-Paketes</w:t>
      </w:r>
    </w:p>
    <w:p>
      <w:pPr>
        <w:pStyle w:val="FirstParagraph"/>
      </w:pPr>
      <w:r>
        <w:t xml:space="preserve">[[Screenshot 2022-02-14 at 13.28.48.png]]</w:t>
      </w:r>
      <w:r>
        <w:t xml:space="preserve"> </w:t>
      </w:r>
      <w:r>
        <w:t xml:space="preserve">Um ein bestimmtes LoRaWAN-Paket zu öffnen wird dieses einfach angeklickt. Es öffnet sich nun das Paket mit allerlei Daten. Eine Datei mit einer Handvoll Beispielpaketen liegt in dem Ordner</w:t>
      </w:r>
      <w:r>
        <w:t xml:space="preserve"> </w:t>
      </w:r>
      <w:r>
        <w:rPr>
          <w:rStyle w:val="VerbatimChar"/>
        </w:rPr>
        <w:t xml:space="preserve">Dateien/LoRaWAN-Paketbeispiele</w:t>
      </w:r>
      <w:r>
        <w:t xml:space="preserve"> </w:t>
      </w:r>
      <w:r>
        <w:t xml:space="preserve">(enthält auch dekodierte Daten).</w:t>
      </w:r>
    </w:p>
    <w:bookmarkStart w:id="21" w:name="json-daten-erläuterungen"/>
    <w:p>
      <w:pPr>
        <w:pStyle w:val="Heading3"/>
      </w:pPr>
      <w:r>
        <w:t xml:space="preserve">JSON-Daten-Erläuterungen</w:t>
      </w:r>
    </w:p>
    <w:p>
      <w:pPr>
        <w:numPr>
          <w:ilvl w:val="0"/>
          <w:numId w:val="1001"/>
        </w:numPr>
        <w:pStyle w:val="Compact"/>
      </w:pPr>
      <w:r>
        <w:rPr>
          <w:bCs/>
          <w:b/>
        </w:rPr>
        <w:t xml:space="preserve">General</w:t>
      </w:r>
    </w:p>
    <w:p>
      <w:pPr>
        <w:numPr>
          <w:ilvl w:val="1"/>
          <w:numId w:val="1002"/>
        </w:numPr>
        <w:pStyle w:val="Compact"/>
      </w:pPr>
      <w:r>
        <w:rPr>
          <w:rStyle w:val="VerbatimChar"/>
        </w:rPr>
        <w:t xml:space="preserve">applicationID</w:t>
      </w:r>
    </w:p>
    <w:p>
      <w:pPr>
        <w:numPr>
          <w:ilvl w:val="2"/>
          <w:numId w:val="1003"/>
        </w:numPr>
        <w:pStyle w:val="Compact"/>
      </w:pPr>
      <w:r>
        <w:t xml:space="preserve">Die ID der Application (wird automatisch angelegt vom Server)</w:t>
      </w:r>
    </w:p>
    <w:p>
      <w:pPr>
        <w:numPr>
          <w:ilvl w:val="1"/>
          <w:numId w:val="1002"/>
        </w:numPr>
        <w:pStyle w:val="Compact"/>
      </w:pPr>
      <w:r>
        <w:rPr>
          <w:rStyle w:val="VerbatimChar"/>
        </w:rPr>
        <w:t xml:space="preserve">applicationName</w:t>
      </w:r>
    </w:p>
    <w:p>
      <w:pPr>
        <w:numPr>
          <w:ilvl w:val="2"/>
          <w:numId w:val="1004"/>
        </w:numPr>
        <w:pStyle w:val="Compact"/>
      </w:pPr>
      <w:r>
        <w:t xml:space="preserve">Der vom Anwender vergebene Application-Name</w:t>
      </w:r>
    </w:p>
    <w:p>
      <w:pPr>
        <w:numPr>
          <w:ilvl w:val="1"/>
          <w:numId w:val="1002"/>
        </w:numPr>
        <w:pStyle w:val="Compact"/>
      </w:pPr>
      <w:r>
        <w:rPr>
          <w:rStyle w:val="VerbatimChar"/>
        </w:rPr>
        <w:t xml:space="preserve">deviceName</w:t>
      </w:r>
    </w:p>
    <w:p>
      <w:pPr>
        <w:numPr>
          <w:ilvl w:val="2"/>
          <w:numId w:val="1005"/>
        </w:numPr>
        <w:pStyle w:val="Compact"/>
      </w:pPr>
      <w:r>
        <w:t xml:space="preserve">Der vom Anwender vergebene Gerätename</w:t>
      </w:r>
    </w:p>
    <w:p>
      <w:pPr>
        <w:numPr>
          <w:ilvl w:val="1"/>
          <w:numId w:val="1002"/>
        </w:numPr>
        <w:pStyle w:val="Compact"/>
      </w:pPr>
      <w:r>
        <w:rPr>
          <w:rStyle w:val="VerbatimChar"/>
        </w:rPr>
        <w:t xml:space="preserve">devEUI</w:t>
      </w:r>
    </w:p>
    <w:p>
      <w:pPr>
        <w:numPr>
          <w:ilvl w:val="2"/>
          <w:numId w:val="1006"/>
        </w:numPr>
        <w:pStyle w:val="Compact"/>
      </w:pPr>
      <w:r>
        <w:t xml:space="preserve">Die EUI der Node von welcher die Daten stammen</w:t>
      </w:r>
    </w:p>
    <w:p>
      <w:pPr>
        <w:numPr>
          <w:ilvl w:val="1"/>
          <w:numId w:val="1002"/>
        </w:numPr>
        <w:pStyle w:val="Compact"/>
      </w:pPr>
      <w:r>
        <w:rPr>
          <w:rStyle w:val="VerbatimChar"/>
        </w:rPr>
        <w:t xml:space="preserve">adr</w:t>
      </w:r>
    </w:p>
    <w:p>
      <w:pPr>
        <w:numPr>
          <w:ilvl w:val="2"/>
          <w:numId w:val="1007"/>
        </w:numPr>
        <w:pStyle w:val="Compact"/>
      </w:pPr>
      <w:r>
        <w:t xml:space="preserve">?</w:t>
      </w:r>
    </w:p>
    <w:p>
      <w:pPr>
        <w:numPr>
          <w:ilvl w:val="1"/>
          <w:numId w:val="1002"/>
        </w:numPr>
        <w:pStyle w:val="Compact"/>
      </w:pPr>
      <w:r>
        <w:rPr>
          <w:rStyle w:val="VerbatimChar"/>
        </w:rPr>
        <w:t xml:space="preserve">dr</w:t>
      </w:r>
    </w:p>
    <w:p>
      <w:pPr>
        <w:numPr>
          <w:ilvl w:val="2"/>
          <w:numId w:val="1008"/>
        </w:numPr>
        <w:pStyle w:val="Compact"/>
      </w:pPr>
      <w:r>
        <w:t xml:space="preserve">?</w:t>
      </w:r>
    </w:p>
    <w:p>
      <w:pPr>
        <w:numPr>
          <w:ilvl w:val="1"/>
          <w:numId w:val="1002"/>
        </w:numPr>
        <w:pStyle w:val="Compact"/>
      </w:pPr>
      <w:r>
        <w:rPr>
          <w:rStyle w:val="VerbatimChar"/>
        </w:rPr>
        <w:t xml:space="preserve">fCnt</w:t>
      </w:r>
    </w:p>
    <w:p>
      <w:pPr>
        <w:numPr>
          <w:ilvl w:val="2"/>
          <w:numId w:val="1009"/>
        </w:numPr>
        <w:pStyle w:val="Compact"/>
      </w:pPr>
      <w:r>
        <w:t xml:space="preserve">Frame-Count (siehe auch oben)</w:t>
      </w:r>
    </w:p>
    <w:p>
      <w:pPr>
        <w:numPr>
          <w:ilvl w:val="1"/>
          <w:numId w:val="1002"/>
        </w:numPr>
        <w:pStyle w:val="Compact"/>
      </w:pPr>
      <w:r>
        <w:rPr>
          <w:rStyle w:val="VerbatimChar"/>
        </w:rPr>
        <w:t xml:space="preserve">fPort</w:t>
      </w:r>
    </w:p>
    <w:p>
      <w:pPr>
        <w:numPr>
          <w:ilvl w:val="2"/>
          <w:numId w:val="1010"/>
        </w:numPr>
        <w:pStyle w:val="Compact"/>
      </w:pPr>
      <w:r>
        <w:t xml:space="preserve">Frame-Port (siehe auch oben)</w:t>
      </w:r>
    </w:p>
    <w:p>
      <w:pPr>
        <w:numPr>
          <w:ilvl w:val="1"/>
          <w:numId w:val="1002"/>
        </w:numPr>
        <w:pStyle w:val="Compact"/>
      </w:pPr>
      <w:r>
        <w:rPr>
          <w:rStyle w:val="VerbatimChar"/>
        </w:rPr>
        <w:t xml:space="preserve">data</w:t>
      </w:r>
    </w:p>
    <w:p>
      <w:pPr>
        <w:numPr>
          <w:ilvl w:val="2"/>
          <w:numId w:val="1011"/>
        </w:numPr>
        <w:pStyle w:val="Compact"/>
      </w:pPr>
      <w:r>
        <w:t xml:space="preserve">Die tatsächlich vom Node geschickten Daten (in Base64)</w:t>
      </w:r>
    </w:p>
    <w:p>
      <w:pPr>
        <w:numPr>
          <w:ilvl w:val="1"/>
          <w:numId w:val="1002"/>
        </w:numPr>
        <w:pStyle w:val="Compact"/>
      </w:pPr>
      <w:r>
        <w:rPr>
          <w:rStyle w:val="VerbatimChar"/>
        </w:rPr>
        <w:t xml:space="preserve">confirmedUplink</w:t>
      </w:r>
    </w:p>
    <w:p>
      <w:pPr>
        <w:numPr>
          <w:ilvl w:val="2"/>
          <w:numId w:val="1012"/>
        </w:numPr>
        <w:pStyle w:val="Compact"/>
      </w:pPr>
      <w:r>
        <w:t xml:space="preserve">Entweder</w:t>
      </w:r>
      <w:r>
        <w:t xml:space="preserve"> </w:t>
      </w:r>
      <w:r>
        <w:rPr>
          <w:rStyle w:val="VerbatimChar"/>
        </w:rPr>
        <w:t xml:space="preserve">true</w:t>
      </w:r>
      <w:r>
        <w:t xml:space="preserve"> </w:t>
      </w:r>
      <w:r>
        <w:t xml:space="preserve">oder</w:t>
      </w:r>
      <w:r>
        <w:t xml:space="preserve"> </w:t>
      </w:r>
      <w:r>
        <w:rPr>
          <w:rStyle w:val="VerbatimChar"/>
        </w:rPr>
        <w:t xml:space="preserve">false</w:t>
      </w:r>
      <w:r>
        <w:t xml:space="preserve"> </w:t>
      </w:r>
      <w:r>
        <w:t xml:space="preserve">(siehe auch oben)</w:t>
      </w:r>
    </w:p>
    <w:p>
      <w:pPr>
        <w:numPr>
          <w:ilvl w:val="1"/>
          <w:numId w:val="1002"/>
        </w:numPr>
        <w:pStyle w:val="Compact"/>
      </w:pPr>
      <w:r>
        <w:rPr>
          <w:rStyle w:val="VerbatimChar"/>
        </w:rPr>
        <w:t xml:space="preserve">devAddr</w:t>
      </w:r>
    </w:p>
    <w:p>
      <w:pPr>
        <w:numPr>
          <w:ilvl w:val="2"/>
          <w:numId w:val="1013"/>
        </w:numPr>
        <w:pStyle w:val="Compact"/>
      </w:pPr>
      <w:r>
        <w:t xml:space="preserve">Die Geräte-Adresse (wird bei OTAA nach jedem Join zufällig generiert und zugewiesen)</w:t>
      </w:r>
    </w:p>
    <w:p>
      <w:pPr>
        <w:numPr>
          <w:ilvl w:val="1"/>
          <w:numId w:val="1002"/>
        </w:numPr>
        <w:pStyle w:val="Compact"/>
      </w:pPr>
      <w:r>
        <w:rPr>
          <w:rStyle w:val="VerbatimChar"/>
        </w:rPr>
        <w:t xml:space="preserve">publishedAt</w:t>
      </w:r>
    </w:p>
    <w:p>
      <w:pPr>
        <w:numPr>
          <w:ilvl w:val="2"/>
          <w:numId w:val="1014"/>
        </w:numPr>
        <w:pStyle w:val="Compact"/>
      </w:pPr>
      <w:r>
        <w:t xml:space="preserve">Wann das Paket angekommen ist</w:t>
      </w:r>
    </w:p>
    <w:p>
      <w:pPr>
        <w:numPr>
          <w:ilvl w:val="1"/>
          <w:numId w:val="1002"/>
        </w:numPr>
        <w:pStyle w:val="Compact"/>
      </w:pPr>
      <w:r>
        <w:rPr>
          <w:rStyle w:val="VerbatimChar"/>
        </w:rPr>
        <w:t xml:space="preserve">deviceProfileID</w:t>
      </w:r>
    </w:p>
    <w:p>
      <w:pPr>
        <w:numPr>
          <w:ilvl w:val="2"/>
          <w:numId w:val="1015"/>
        </w:numPr>
        <w:pStyle w:val="Compact"/>
      </w:pPr>
      <w:r>
        <w:t xml:space="preserve">Die vom LoRaWAN-Server generierte ID für das Geräte-Profil des Sensors</w:t>
      </w:r>
    </w:p>
    <w:p>
      <w:pPr>
        <w:numPr>
          <w:ilvl w:val="1"/>
          <w:numId w:val="1002"/>
        </w:numPr>
        <w:pStyle w:val="Compact"/>
      </w:pPr>
      <w:r>
        <w:rPr>
          <w:rStyle w:val="VerbatimChar"/>
        </w:rPr>
        <w:t xml:space="preserve">deviceProfileName</w:t>
      </w:r>
    </w:p>
    <w:p>
      <w:pPr>
        <w:numPr>
          <w:ilvl w:val="2"/>
          <w:numId w:val="1016"/>
        </w:numPr>
        <w:pStyle w:val="Compact"/>
      </w:pPr>
      <w:r>
        <w:t xml:space="preserve">Der Name des obengenannten Profils</w:t>
      </w:r>
    </w:p>
    <w:p>
      <w:pPr>
        <w:numPr>
          <w:ilvl w:val="0"/>
          <w:numId w:val="1001"/>
        </w:numPr>
        <w:pStyle w:val="Compact"/>
      </w:pPr>
      <w:r>
        <w:rPr>
          <w:bCs/>
          <w:b/>
        </w:rPr>
        <w:t xml:space="preserve">rxInfo</w:t>
      </w:r>
    </w:p>
    <w:p>
      <w:pPr>
        <w:numPr>
          <w:ilvl w:val="1"/>
          <w:numId w:val="1017"/>
        </w:numPr>
        <w:pStyle w:val="Compact"/>
      </w:pPr>
      <w:r>
        <w:rPr>
          <w:rStyle w:val="VerbatimChar"/>
        </w:rPr>
        <w:t xml:space="preserve">gatewayID</w:t>
      </w:r>
    </w:p>
    <w:p>
      <w:pPr>
        <w:numPr>
          <w:ilvl w:val="2"/>
          <w:numId w:val="1018"/>
        </w:numPr>
        <w:pStyle w:val="Compact"/>
      </w:pPr>
      <w:r>
        <w:t xml:space="preserve">Die Gateway-ID des Gateway, der die Daten der Node empfangen hat</w:t>
      </w:r>
    </w:p>
    <w:p>
      <w:pPr>
        <w:numPr>
          <w:ilvl w:val="1"/>
          <w:numId w:val="1017"/>
        </w:numPr>
        <w:pStyle w:val="Compact"/>
      </w:pPr>
      <w:r>
        <w:rPr>
          <w:rStyle w:val="VerbatimChar"/>
        </w:rPr>
        <w:t xml:space="preserve">time</w:t>
      </w:r>
    </w:p>
    <w:p>
      <w:pPr>
        <w:numPr>
          <w:ilvl w:val="2"/>
          <w:numId w:val="1019"/>
        </w:numPr>
        <w:pStyle w:val="Compact"/>
      </w:pPr>
      <w:r>
        <w:t xml:space="preserve">?</w:t>
      </w:r>
    </w:p>
    <w:p>
      <w:pPr>
        <w:numPr>
          <w:ilvl w:val="1"/>
          <w:numId w:val="1017"/>
        </w:numPr>
        <w:pStyle w:val="Compact"/>
      </w:pPr>
      <w:r>
        <w:rPr>
          <w:rStyle w:val="VerbatimChar"/>
        </w:rPr>
        <w:t xml:space="preserve">timeSinceGPSEpoch</w:t>
      </w:r>
    </w:p>
    <w:p>
      <w:pPr>
        <w:numPr>
          <w:ilvl w:val="2"/>
          <w:numId w:val="1020"/>
        </w:numPr>
        <w:pStyle w:val="Compact"/>
      </w:pPr>
      <w:r>
        <w:t xml:space="preserve">?</w:t>
      </w:r>
    </w:p>
    <w:p>
      <w:pPr>
        <w:numPr>
          <w:ilvl w:val="1"/>
          <w:numId w:val="1017"/>
        </w:numPr>
        <w:pStyle w:val="Compact"/>
      </w:pPr>
      <w:r>
        <w:rPr>
          <w:rStyle w:val="VerbatimChar"/>
        </w:rPr>
        <w:t xml:space="preserve">rssi</w:t>
      </w:r>
    </w:p>
    <w:p>
      <w:pPr>
        <w:numPr>
          <w:ilvl w:val="2"/>
          <w:numId w:val="1021"/>
        </w:numPr>
        <w:pStyle w:val="Compact"/>
      </w:pPr>
      <w:r>
        <w:t xml:space="preserve">Der</w:t>
      </w:r>
      <w:r>
        <w:t xml:space="preserve"> </w:t>
      </w:r>
      <w:r>
        <w:t xml:space="preserve">“</w:t>
      </w:r>
      <w:r>
        <w:t xml:space="preserve">Received Signal Strength Indicator</w:t>
      </w:r>
      <w:r>
        <w:t xml:space="preserve">”</w:t>
      </w:r>
      <w:r>
        <w:t xml:space="preserve">, quasi die Signalstärke</w:t>
      </w:r>
    </w:p>
    <w:p>
      <w:pPr>
        <w:numPr>
          <w:ilvl w:val="1"/>
          <w:numId w:val="1017"/>
        </w:numPr>
        <w:pStyle w:val="Compact"/>
      </w:pPr>
      <w:r>
        <w:rPr>
          <w:rStyle w:val="VerbatimChar"/>
        </w:rPr>
        <w:t xml:space="preserve">loRaSNR</w:t>
      </w:r>
    </w:p>
    <w:p>
      <w:pPr>
        <w:numPr>
          <w:ilvl w:val="2"/>
          <w:numId w:val="1022"/>
        </w:numPr>
        <w:pStyle w:val="Compact"/>
      </w:pPr>
      <w:r>
        <w:t xml:space="preserve">Der Signal-To-Noise-Ratio</w:t>
      </w:r>
    </w:p>
    <w:p>
      <w:pPr>
        <w:numPr>
          <w:ilvl w:val="1"/>
          <w:numId w:val="1017"/>
        </w:numPr>
        <w:pStyle w:val="Compact"/>
      </w:pPr>
      <w:r>
        <w:rPr>
          <w:rStyle w:val="VerbatimChar"/>
        </w:rPr>
        <w:t xml:space="preserve">channel</w:t>
      </w:r>
    </w:p>
    <w:p>
      <w:pPr>
        <w:numPr>
          <w:ilvl w:val="2"/>
          <w:numId w:val="1023"/>
        </w:numPr>
        <w:pStyle w:val="Compact"/>
      </w:pPr>
      <w:r>
        <w:t xml:space="preserve">Auf welchem Kanal das Paket empfangen wurde (0-7)</w:t>
      </w:r>
    </w:p>
    <w:p>
      <w:pPr>
        <w:numPr>
          <w:ilvl w:val="1"/>
          <w:numId w:val="1017"/>
        </w:numPr>
        <w:pStyle w:val="Compact"/>
      </w:pPr>
      <w:r>
        <w:rPr>
          <w:rStyle w:val="VerbatimChar"/>
        </w:rPr>
        <w:t xml:space="preserve">rfChain</w:t>
      </w:r>
    </w:p>
    <w:p>
      <w:pPr>
        <w:numPr>
          <w:ilvl w:val="2"/>
          <w:numId w:val="1024"/>
        </w:numPr>
        <w:pStyle w:val="Compact"/>
      </w:pPr>
      <w:r>
        <w:t xml:space="preserve">?</w:t>
      </w:r>
    </w:p>
    <w:p>
      <w:pPr>
        <w:numPr>
          <w:ilvl w:val="1"/>
          <w:numId w:val="1017"/>
        </w:numPr>
        <w:pStyle w:val="Compact"/>
      </w:pPr>
      <w:r>
        <w:rPr>
          <w:rStyle w:val="VerbatimChar"/>
        </w:rPr>
        <w:t xml:space="preserve">board</w:t>
      </w:r>
    </w:p>
    <w:p>
      <w:pPr>
        <w:numPr>
          <w:ilvl w:val="2"/>
          <w:numId w:val="1025"/>
        </w:numPr>
        <w:pStyle w:val="Compact"/>
      </w:pPr>
      <w:r>
        <w:t xml:space="preserve">Falls mehrere Concentrator-Boards angeschlossen sein sollten</w:t>
      </w:r>
    </w:p>
    <w:p>
      <w:pPr>
        <w:numPr>
          <w:ilvl w:val="1"/>
          <w:numId w:val="1017"/>
        </w:numPr>
        <w:pStyle w:val="Compact"/>
      </w:pPr>
      <w:r>
        <w:rPr>
          <w:rStyle w:val="VerbatimChar"/>
        </w:rPr>
        <w:t xml:space="preserve">antenna</w:t>
      </w:r>
    </w:p>
    <w:p>
      <w:pPr>
        <w:numPr>
          <w:ilvl w:val="2"/>
          <w:numId w:val="1026"/>
        </w:numPr>
        <w:pStyle w:val="Compact"/>
      </w:pPr>
      <w:r>
        <w:t xml:space="preserve">Falls mehrere Antennen an dem Concentrator-Board angeschlossen sein sollten</w:t>
      </w:r>
    </w:p>
    <w:p>
      <w:pPr>
        <w:numPr>
          <w:ilvl w:val="1"/>
          <w:numId w:val="1017"/>
        </w:numPr>
        <w:pStyle w:val="Compact"/>
      </w:pPr>
      <w:r>
        <w:rPr>
          <w:rStyle w:val="VerbatimChar"/>
        </w:rPr>
        <w:t xml:space="preserve">location</w:t>
      </w:r>
    </w:p>
    <w:p>
      <w:pPr>
        <w:numPr>
          <w:ilvl w:val="2"/>
          <w:numId w:val="1027"/>
        </w:numPr>
        <w:pStyle w:val="Compact"/>
      </w:pPr>
      <w:r>
        <w:t xml:space="preserve">Falls in Gateway-Profil eine GPS-Position angegeben wurde wird diese hier angezeigt; dies ist auch der Fall wenn der Gateway GPS-fähig ist und dieses Feature aktiviert ist</w:t>
      </w:r>
    </w:p>
    <w:p>
      <w:pPr>
        <w:numPr>
          <w:ilvl w:val="1"/>
          <w:numId w:val="1017"/>
        </w:numPr>
        <w:pStyle w:val="Compact"/>
      </w:pPr>
      <w:r>
        <w:rPr>
          <w:rStyle w:val="VerbatimChar"/>
        </w:rPr>
        <w:t xml:space="preserve">fineTimestampType</w:t>
      </w:r>
    </w:p>
    <w:p>
      <w:pPr>
        <w:numPr>
          <w:ilvl w:val="2"/>
          <w:numId w:val="1028"/>
        </w:numPr>
        <w:pStyle w:val="Compact"/>
      </w:pPr>
      <w:r>
        <w:t xml:space="preserve">?</w:t>
      </w:r>
    </w:p>
    <w:p>
      <w:pPr>
        <w:numPr>
          <w:ilvl w:val="1"/>
          <w:numId w:val="1017"/>
        </w:numPr>
        <w:pStyle w:val="Compact"/>
      </w:pPr>
      <w:r>
        <w:rPr>
          <w:rStyle w:val="VerbatimChar"/>
        </w:rPr>
        <w:t xml:space="preserve">context</w:t>
      </w:r>
    </w:p>
    <w:p>
      <w:pPr>
        <w:numPr>
          <w:ilvl w:val="2"/>
          <w:numId w:val="1029"/>
        </w:numPr>
        <w:pStyle w:val="Compact"/>
      </w:pPr>
      <w:r>
        <w:t xml:space="preserve">?</w:t>
      </w:r>
    </w:p>
    <w:p>
      <w:pPr>
        <w:numPr>
          <w:ilvl w:val="1"/>
          <w:numId w:val="1017"/>
        </w:numPr>
        <w:pStyle w:val="Compact"/>
      </w:pPr>
      <w:r>
        <w:rPr>
          <w:rStyle w:val="VerbatimChar"/>
        </w:rPr>
        <w:t xml:space="preserve">uplinkID</w:t>
      </w:r>
    </w:p>
    <w:p>
      <w:pPr>
        <w:numPr>
          <w:ilvl w:val="2"/>
          <w:numId w:val="1030"/>
        </w:numPr>
        <w:pStyle w:val="Compact"/>
      </w:pPr>
      <w:r>
        <w:t xml:space="preserve">Jeder Uplink hat eine eigene ID; diese wird hier angezeigt</w:t>
      </w:r>
    </w:p>
    <w:p>
      <w:pPr>
        <w:numPr>
          <w:ilvl w:val="1"/>
          <w:numId w:val="1017"/>
        </w:numPr>
        <w:pStyle w:val="Compact"/>
      </w:pPr>
      <w:r>
        <w:rPr>
          <w:rStyle w:val="VerbatimChar"/>
        </w:rPr>
        <w:t xml:space="preserve">crcStatus</w:t>
      </w:r>
    </w:p>
    <w:p>
      <w:pPr>
        <w:numPr>
          <w:ilvl w:val="2"/>
          <w:numId w:val="1031"/>
        </w:numPr>
        <w:pStyle w:val="Compact"/>
      </w:pPr>
      <w:r>
        <w:t xml:space="preserve">?</w:t>
      </w:r>
    </w:p>
    <w:p>
      <w:pPr>
        <w:numPr>
          <w:ilvl w:val="0"/>
          <w:numId w:val="1001"/>
        </w:numPr>
        <w:pStyle w:val="Compact"/>
      </w:pPr>
      <w:r>
        <w:rPr>
          <w:bCs/>
          <w:b/>
        </w:rPr>
        <w:t xml:space="preserve">txInfo</w:t>
      </w:r>
    </w:p>
    <w:p>
      <w:pPr>
        <w:numPr>
          <w:ilvl w:val="1"/>
          <w:numId w:val="1032"/>
        </w:numPr>
        <w:pStyle w:val="Compact"/>
      </w:pPr>
      <w:r>
        <w:rPr>
          <w:rStyle w:val="VerbatimChar"/>
        </w:rPr>
        <w:t xml:space="preserve">frequency</w:t>
      </w:r>
    </w:p>
    <w:p>
      <w:pPr>
        <w:numPr>
          <w:ilvl w:val="2"/>
          <w:numId w:val="1033"/>
        </w:numPr>
        <w:pStyle w:val="Compact"/>
      </w:pPr>
      <w:r>
        <w:t xml:space="preserve">Die Frequenz, auf welcher das Paket gesendet und empfangen wurde</w:t>
      </w:r>
    </w:p>
    <w:p>
      <w:pPr>
        <w:numPr>
          <w:ilvl w:val="1"/>
          <w:numId w:val="1032"/>
        </w:numPr>
        <w:pStyle w:val="Compact"/>
      </w:pPr>
      <w:r>
        <w:rPr>
          <w:rStyle w:val="VerbatimChar"/>
        </w:rPr>
        <w:t xml:space="preserve">modulation</w:t>
      </w:r>
    </w:p>
    <w:p>
      <w:pPr>
        <w:numPr>
          <w:ilvl w:val="2"/>
          <w:numId w:val="1034"/>
        </w:numPr>
        <w:pStyle w:val="Compact"/>
      </w:pPr>
      <w:r>
        <w:t xml:space="preserve">Die Modulationsart; ist bei LoRaWAN eigentlich immer</w:t>
      </w:r>
      <w:r>
        <w:t xml:space="preserve"> </w:t>
      </w:r>
      <w:r>
        <w:rPr>
          <w:rStyle w:val="VerbatimChar"/>
        </w:rPr>
        <w:t xml:space="preserve">LORA</w:t>
      </w:r>
    </w:p>
    <w:p>
      <w:pPr>
        <w:numPr>
          <w:ilvl w:val="1"/>
          <w:numId w:val="1032"/>
        </w:numPr>
        <w:pStyle w:val="Compact"/>
      </w:pPr>
      <w:r>
        <w:rPr>
          <w:rStyle w:val="VerbatimChar"/>
        </w:rPr>
        <w:t xml:space="preserve">bandwidth</w:t>
      </w:r>
    </w:p>
    <w:p>
      <w:pPr>
        <w:numPr>
          <w:ilvl w:val="2"/>
          <w:numId w:val="1035"/>
        </w:numPr>
        <w:pStyle w:val="Compact"/>
      </w:pPr>
      <w:r>
        <w:t xml:space="preserve">Bandbreite (siehe auch oben)</w:t>
      </w:r>
    </w:p>
    <w:p>
      <w:pPr>
        <w:numPr>
          <w:ilvl w:val="1"/>
          <w:numId w:val="1032"/>
        </w:numPr>
        <w:pStyle w:val="Compact"/>
      </w:pPr>
      <w:r>
        <w:rPr>
          <w:rStyle w:val="VerbatimChar"/>
        </w:rPr>
        <w:t xml:space="preserve">spreadingFactor</w:t>
      </w:r>
    </w:p>
    <w:p>
      <w:pPr>
        <w:numPr>
          <w:ilvl w:val="2"/>
          <w:numId w:val="1036"/>
        </w:numPr>
        <w:pStyle w:val="Compact"/>
      </w:pPr>
      <w:r>
        <w:t xml:space="preserve">Spreading-Factor (siehe auch oben)</w:t>
      </w:r>
    </w:p>
    <w:p>
      <w:pPr>
        <w:numPr>
          <w:ilvl w:val="1"/>
          <w:numId w:val="1032"/>
        </w:numPr>
        <w:pStyle w:val="Compact"/>
      </w:pPr>
      <w:r>
        <w:rPr>
          <w:rStyle w:val="VerbatimChar"/>
        </w:rPr>
        <w:t xml:space="preserve">codeRate</w:t>
      </w:r>
    </w:p>
    <w:p>
      <w:pPr>
        <w:numPr>
          <w:ilvl w:val="2"/>
          <w:numId w:val="1037"/>
        </w:numPr>
        <w:pStyle w:val="Compact"/>
      </w:pPr>
      <w:r>
        <w:t xml:space="preserve">?</w:t>
      </w:r>
    </w:p>
    <w:p>
      <w:pPr>
        <w:numPr>
          <w:ilvl w:val="1"/>
          <w:numId w:val="1032"/>
        </w:numPr>
        <w:pStyle w:val="Compact"/>
      </w:pPr>
      <w:r>
        <w:rPr>
          <w:rStyle w:val="VerbatimChar"/>
        </w:rPr>
        <w:t xml:space="preserve">polarizationInversion</w:t>
      </w:r>
    </w:p>
    <w:p>
      <w:pPr>
        <w:numPr>
          <w:ilvl w:val="2"/>
          <w:numId w:val="1038"/>
        </w:numPr>
        <w:pStyle w:val="Compact"/>
      </w:pPr>
      <w:r>
        <w:t xml:space="preserve">?</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2022-02-15T10:24:55Z</dcterms:created>
  <dcterms:modified xsi:type="dcterms:W3CDTF">2022-02-15T10:24:55Z</dcterms:modified>
</cp:coreProperties>
</file>

<file path=docProps/custom.xml><?xml version="1.0" encoding="utf-8"?>
<Properties xmlns="http://schemas.openxmlformats.org/officeDocument/2006/custom-properties" xmlns:vt="http://schemas.openxmlformats.org/officeDocument/2006/docPropsVTypes"/>
</file>