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7DF25E" w14:textId="0E2C75FE" w:rsidR="003A066C" w:rsidRDefault="003A066C" w:rsidP="00561AB2">
      <w:pPr>
        <w:rPr>
          <w:b/>
          <w:bCs/>
        </w:rPr>
      </w:pPr>
      <w:bookmarkStart w:id="0" w:name="_Hlk48666886"/>
      <w:bookmarkEnd w:id="0"/>
      <w:r>
        <w:rPr>
          <w:b/>
          <w:bCs/>
        </w:rPr>
        <w:t>Michael Lewis</w:t>
      </w:r>
    </w:p>
    <w:p w14:paraId="5AB74832" w14:textId="4A111B74" w:rsidR="001C12A0" w:rsidRDefault="001C12A0" w:rsidP="00561AB2">
      <w:pPr>
        <w:rPr>
          <w:b/>
          <w:bCs/>
        </w:rPr>
      </w:pPr>
      <w:r>
        <w:rPr>
          <w:b/>
          <w:bCs/>
        </w:rPr>
        <w:t>Baruch College</w:t>
      </w:r>
    </w:p>
    <w:p w14:paraId="68087D2D" w14:textId="50D81F0F" w:rsidR="003A066C" w:rsidRDefault="003A066C" w:rsidP="00561AB2">
      <w:pPr>
        <w:rPr>
          <w:b/>
          <w:bCs/>
        </w:rPr>
      </w:pPr>
      <w:r>
        <w:rPr>
          <w:b/>
          <w:bCs/>
        </w:rPr>
        <w:t xml:space="preserve">C++ </w:t>
      </w:r>
      <w:r w:rsidR="00561AB2">
        <w:rPr>
          <w:b/>
          <w:bCs/>
        </w:rPr>
        <w:t xml:space="preserve">Programming </w:t>
      </w:r>
      <w:r w:rsidR="001C12A0">
        <w:rPr>
          <w:b/>
          <w:bCs/>
        </w:rPr>
        <w:t>for</w:t>
      </w:r>
      <w:r>
        <w:rPr>
          <w:b/>
          <w:bCs/>
        </w:rPr>
        <w:t xml:space="preserve"> Financial Engineering</w:t>
      </w:r>
    </w:p>
    <w:p w14:paraId="70D06832" w14:textId="5853E54B" w:rsidR="00561AB2" w:rsidRDefault="00561AB2" w:rsidP="00561AB2">
      <w:pPr>
        <w:rPr>
          <w:b/>
          <w:bCs/>
        </w:rPr>
      </w:pPr>
      <w:r>
        <w:rPr>
          <w:b/>
          <w:bCs/>
        </w:rPr>
        <w:t>Final Project</w:t>
      </w:r>
    </w:p>
    <w:p w14:paraId="2590429E" w14:textId="31C7036C" w:rsidR="00561AB2" w:rsidRPr="003A066C" w:rsidRDefault="00561AB2" w:rsidP="00561AB2">
      <w:pPr>
        <w:rPr>
          <w:b/>
          <w:bCs/>
        </w:rPr>
      </w:pPr>
      <w:r>
        <w:rPr>
          <w:b/>
          <w:bCs/>
        </w:rPr>
        <w:t>August 23, 2020</w:t>
      </w:r>
    </w:p>
    <w:p w14:paraId="2921D1D2" w14:textId="4102E41A" w:rsidR="00E235C9" w:rsidRDefault="00E235C9" w:rsidP="005A7648">
      <w:pPr>
        <w:jc w:val="center"/>
        <w:rPr>
          <w:b/>
          <w:bCs/>
          <w:sz w:val="36"/>
          <w:szCs w:val="36"/>
        </w:rPr>
      </w:pPr>
    </w:p>
    <w:p w14:paraId="0CC85340" w14:textId="4A891FE7" w:rsidR="00562832" w:rsidRDefault="00562832" w:rsidP="00562832">
      <w:pPr>
        <w:jc w:val="center"/>
        <w:rPr>
          <w:b/>
          <w:bCs/>
          <w:sz w:val="36"/>
          <w:szCs w:val="36"/>
        </w:rPr>
      </w:pPr>
      <w:r>
        <w:rPr>
          <w:b/>
          <w:bCs/>
          <w:sz w:val="36"/>
          <w:szCs w:val="36"/>
        </w:rPr>
        <w:t>Project Summary</w:t>
      </w:r>
    </w:p>
    <w:p w14:paraId="784E4734" w14:textId="77777777" w:rsidR="00562832" w:rsidRPr="00562832" w:rsidRDefault="00562832" w:rsidP="00562832">
      <w:pPr>
        <w:pStyle w:val="NormalWeb"/>
        <w:shd w:val="clear" w:color="auto" w:fill="FFFFFF"/>
        <w:spacing w:before="0" w:beforeAutospacing="0" w:after="240" w:afterAutospacing="0"/>
      </w:pPr>
      <w:r w:rsidRPr="00562832">
        <w:t xml:space="preserve">The system was decomposed into smaller subsystems with each subsystem having a well-defined responsibility. The descriptions provided below highlight these subsystems along with how and why they are used. At a macro level, the </w:t>
      </w:r>
      <w:proofErr w:type="spellStart"/>
      <w:r w:rsidRPr="00562832">
        <w:t>Pricer</w:t>
      </w:r>
      <w:proofErr w:type="spellEnd"/>
      <w:r w:rsidRPr="00562832">
        <w:t xml:space="preserve"> acts as the kernel and delegates responsibility whenever it's logical to do so.</w:t>
      </w:r>
    </w:p>
    <w:p w14:paraId="6E0E8502" w14:textId="5241FD85"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Instrument</w:t>
      </w:r>
      <w:r>
        <w:rPr>
          <w:rFonts w:ascii="Helvetica" w:hAnsi="Helvetica"/>
          <w:color w:val="24292E"/>
        </w:rPr>
        <w:br/>
      </w:r>
      <w:r w:rsidRPr="00562832">
        <w:t xml:space="preserve">The base class for all Options. This class is currently </w:t>
      </w:r>
      <w:r w:rsidRPr="00562832">
        <w:t>plain but</w:t>
      </w:r>
      <w:r w:rsidRPr="00562832">
        <w:t xml:space="preserve"> could provide additional benefits in the future as more instruments are added to the system or if we wanted to enforce certain constraints on any derived class.</w:t>
      </w:r>
    </w:p>
    <w:p w14:paraId="3E1185F4" w14:textId="77777777"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Option</w:t>
      </w:r>
      <w:r>
        <w:rPr>
          <w:rFonts w:ascii="Helvetica" w:hAnsi="Helvetica"/>
          <w:color w:val="24292E"/>
        </w:rPr>
        <w:br/>
      </w:r>
      <w:r w:rsidRPr="00562832">
        <w:t>A financial derivative that has the following core member data (T, sig, r, S, K, b). An Option also provides accessors and mutators for each of the core member datum.</w:t>
      </w:r>
    </w:p>
    <w:p w14:paraId="414CAE98" w14:textId="77777777" w:rsidR="00562832" w:rsidRPr="00562832" w:rsidRDefault="00562832" w:rsidP="00562832">
      <w:pPr>
        <w:pStyle w:val="NormalWeb"/>
        <w:shd w:val="clear" w:color="auto" w:fill="FFFFFF"/>
        <w:spacing w:before="0" w:beforeAutospacing="0" w:after="240" w:afterAutospacing="0"/>
      </w:pPr>
      <w:r w:rsidRPr="00562832">
        <w:t>There is also a relationship between Call and Put prices of a European option. This relationship is defined by the Put-Call parity formula where the Put and Call have the same strike, expiration, and underlying. Generally, this formula applies to European options because they can only be exercised on expiration. However, in theory, the relationship still holds for American options held to expiration. Therefore, as a user, you must ensure that you do not violate this principle when using the put-call parity function for an American option.</w:t>
      </w:r>
    </w:p>
    <w:p w14:paraId="35D2C59A" w14:textId="77777777" w:rsidR="00562832" w:rsidRPr="00562832" w:rsidRDefault="00562832" w:rsidP="00562832">
      <w:pPr>
        <w:pStyle w:val="NormalWeb"/>
        <w:shd w:val="clear" w:color="auto" w:fill="FFFFFF"/>
        <w:spacing w:before="0" w:beforeAutospacing="0" w:after="240" w:afterAutospacing="0"/>
      </w:pPr>
      <w:r w:rsidRPr="00562832">
        <w:t>Finally, you can use the Put-Call relationship as a mechanism to calculate the Call (or Put) price for a corresponding Put (or Call) price or as a mechanism to check if a given set of Put and Call prices satisfy parity. If not, then an arbitrage opportunity exists.</w:t>
      </w:r>
    </w:p>
    <w:p w14:paraId="71F36A40" w14:textId="398C1FA6"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Mesher</w:t>
      </w:r>
      <w:r>
        <w:rPr>
          <w:rFonts w:ascii="Helvetica" w:hAnsi="Helvetica"/>
          <w:color w:val="24292E"/>
        </w:rPr>
        <w:br/>
      </w:r>
      <w:r w:rsidRPr="00562832">
        <w:t>Creates a one</w:t>
      </w:r>
      <w:r>
        <w:t>-</w:t>
      </w:r>
      <w:r w:rsidRPr="00562832">
        <w:t>dimensional domain of mesh points. The mesh points are bounded by [start, stop] and separated by a step size. You can use the Mesher to create a mesh array of a monotonically increasing range for any of the Option datum.</w:t>
      </w:r>
    </w:p>
    <w:p w14:paraId="22401A21" w14:textId="77777777" w:rsidR="00562832" w:rsidRPr="00562832" w:rsidRDefault="00562832" w:rsidP="00562832">
      <w:pPr>
        <w:pStyle w:val="NormalWeb"/>
        <w:shd w:val="clear" w:color="auto" w:fill="FFFFFF"/>
        <w:spacing w:before="0" w:beforeAutospacing="0" w:after="240" w:afterAutospacing="0"/>
      </w:pPr>
      <w:r w:rsidRPr="00562832">
        <w:t>This mesh array is fed into the Matrix.</w:t>
      </w:r>
    </w:p>
    <w:p w14:paraId="103727A7" w14:textId="77777777"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Matrix</w:t>
      </w:r>
      <w:r>
        <w:rPr>
          <w:rFonts w:ascii="Helvetica" w:hAnsi="Helvetica"/>
          <w:color w:val="24292E"/>
        </w:rPr>
        <w:br/>
      </w:r>
      <w:r w:rsidRPr="00562832">
        <w:t>A matrix generates a matrix of Option parameters. Each row in the matrix will be identical except for the Option parameter that has been monotonically increased by the Mesher.</w:t>
      </w:r>
    </w:p>
    <w:p w14:paraId="2EF8E5F8" w14:textId="77777777" w:rsidR="00562832" w:rsidRPr="00562832" w:rsidRDefault="00562832" w:rsidP="00562832">
      <w:pPr>
        <w:pStyle w:val="NormalWeb"/>
        <w:shd w:val="clear" w:color="auto" w:fill="FFFFFF"/>
        <w:spacing w:before="0" w:beforeAutospacing="0" w:after="240" w:afterAutospacing="0"/>
      </w:pPr>
      <w:r w:rsidRPr="00562832">
        <w:t xml:space="preserve">The matrix can be fed into the </w:t>
      </w:r>
      <w:proofErr w:type="spellStart"/>
      <w:r w:rsidRPr="00562832">
        <w:t>Pricer</w:t>
      </w:r>
      <w:proofErr w:type="spellEnd"/>
      <w:r w:rsidRPr="00562832">
        <w:t xml:space="preserve"> so you can efficiently price a wide range of options and evaluate how a change in the single varying parameter impacts Call and Put prices as well as their associated Greeks.</w:t>
      </w:r>
    </w:p>
    <w:p w14:paraId="1D9B2CB1" w14:textId="77777777"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lastRenderedPageBreak/>
        <w:t>RNG</w:t>
      </w:r>
      <w:r>
        <w:rPr>
          <w:rFonts w:ascii="Helvetica" w:hAnsi="Helvetica"/>
          <w:color w:val="24292E"/>
        </w:rPr>
        <w:br/>
      </w:r>
      <w:r w:rsidRPr="00562832">
        <w:t>The RNG uses the Boost library to generate the normal (Gaussian) probability density function and the cumulative normal distribution function, which are used to price European options.</w:t>
      </w:r>
    </w:p>
    <w:p w14:paraId="650E54B8" w14:textId="77777777" w:rsidR="00562832" w:rsidRPr="00562832" w:rsidRDefault="00562832" w:rsidP="00562832">
      <w:pPr>
        <w:pStyle w:val="NormalWeb"/>
        <w:shd w:val="clear" w:color="auto" w:fill="FFFFFF"/>
        <w:spacing w:before="0" w:beforeAutospacing="0" w:after="240" w:afterAutospacing="0"/>
      </w:pPr>
      <w:r w:rsidRPr="00562832">
        <w:t>You can also generate a standard normal distribution using the Mersenne Twister random number generator from the Boost Random library. Note that a normal distribution with a mean of 0 and standard deviation of 1 is known as the Standard Normal Distribution.</w:t>
      </w:r>
    </w:p>
    <w:p w14:paraId="71D50F8D" w14:textId="77777777" w:rsidR="00562832" w:rsidRPr="00562832" w:rsidRDefault="00562832" w:rsidP="00562832">
      <w:pPr>
        <w:pStyle w:val="NormalWeb"/>
        <w:shd w:val="clear" w:color="auto" w:fill="FFFFFF"/>
        <w:spacing w:before="0" w:beforeAutospacing="0" w:after="240" w:afterAutospacing="0"/>
      </w:pPr>
      <w:proofErr w:type="spellStart"/>
      <w:r>
        <w:rPr>
          <w:rStyle w:val="Strong"/>
          <w:rFonts w:ascii="Helvetica" w:hAnsi="Helvetica"/>
          <w:i/>
          <w:iCs/>
          <w:color w:val="24292E"/>
        </w:rPr>
        <w:t>Pricer</w:t>
      </w:r>
      <w:proofErr w:type="spellEnd"/>
      <w:r>
        <w:rPr>
          <w:rFonts w:ascii="Helvetica" w:hAnsi="Helvetica"/>
          <w:color w:val="24292E"/>
        </w:rPr>
        <w:br/>
      </w:r>
      <w:r w:rsidRPr="00562832">
        <w:t xml:space="preserve">The </w:t>
      </w:r>
      <w:proofErr w:type="spellStart"/>
      <w:r w:rsidRPr="00562832">
        <w:t>Pricer</w:t>
      </w:r>
      <w:proofErr w:type="spellEnd"/>
      <w:r w:rsidRPr="00562832">
        <w:t xml:space="preserve"> relies on Template </w:t>
      </w:r>
      <w:proofErr w:type="spellStart"/>
      <w:r w:rsidRPr="00562832">
        <w:t>Metroprogamming</w:t>
      </w:r>
      <w:proofErr w:type="spellEnd"/>
      <w:r w:rsidRPr="00562832">
        <w:t xml:space="preserve"> techniques. In particular, the </w:t>
      </w:r>
      <w:proofErr w:type="spellStart"/>
      <w:r w:rsidRPr="00562832">
        <w:t>Pricer</w:t>
      </w:r>
      <w:proofErr w:type="spellEnd"/>
      <w:r w:rsidRPr="00562832">
        <w:t xml:space="preserve"> uses Template Inheritance to avoid creating false composition relationships because a </w:t>
      </w:r>
      <w:proofErr w:type="spellStart"/>
      <w:r w:rsidRPr="00562832">
        <w:t>Pricer</w:t>
      </w:r>
      <w:proofErr w:type="spellEnd"/>
      <w:r w:rsidRPr="00562832">
        <w:t xml:space="preserve"> doesn't have a HAS-A relationship with an RNG, Mesher, Matrix, or Output class. Template Inheritance also makes the system more efficient because it avoids passing potentially large objects around, which would be required if the system implemented aggregation techniques. Instead, each </w:t>
      </w:r>
      <w:proofErr w:type="spellStart"/>
      <w:r w:rsidRPr="00562832">
        <w:t>Pricer</w:t>
      </w:r>
      <w:proofErr w:type="spellEnd"/>
      <w:r w:rsidRPr="00562832">
        <w:t xml:space="preserve"> calls the default constructor for its inherited template parameters and those objects exist until the </w:t>
      </w:r>
      <w:proofErr w:type="spellStart"/>
      <w:r w:rsidRPr="00562832">
        <w:t>Pricer</w:t>
      </w:r>
      <w:proofErr w:type="spellEnd"/>
      <w:r w:rsidRPr="00562832">
        <w:t xml:space="preserve"> goes out of scope. Additionally, templates are parametric polymorphic, which is significantly more efficient than subtype polymorphism.</w:t>
      </w:r>
    </w:p>
    <w:p w14:paraId="15C285F7" w14:textId="77777777" w:rsidR="00562832" w:rsidRPr="00562832" w:rsidRDefault="00562832" w:rsidP="00562832">
      <w:pPr>
        <w:pStyle w:val="NormalWeb"/>
        <w:shd w:val="clear" w:color="auto" w:fill="FFFFFF"/>
        <w:spacing w:before="0" w:beforeAutospacing="0" w:after="240" w:afterAutospacing="0"/>
      </w:pPr>
      <w:r w:rsidRPr="00562832">
        <w:t xml:space="preserve">A </w:t>
      </w:r>
      <w:proofErr w:type="spellStart"/>
      <w:r w:rsidRPr="00562832">
        <w:t>Pricer</w:t>
      </w:r>
      <w:proofErr w:type="spellEnd"/>
      <w:r w:rsidRPr="00562832">
        <w:t xml:space="preserve"> has the obvious job of pricing a financial derivative. As such, it includes functions to appropriately price European and Perpetual American equity options using the generalized Black-Scholes formulae. Additionally, the </w:t>
      </w:r>
      <w:proofErr w:type="spellStart"/>
      <w:r w:rsidRPr="00562832">
        <w:t>Pricer</w:t>
      </w:r>
      <w:proofErr w:type="spellEnd"/>
      <w:r w:rsidRPr="00562832">
        <w:t xml:space="preserve"> calculates option sensitivities (Delta and Gamma) using either the closed-form or divided difference formulae.</w:t>
      </w:r>
    </w:p>
    <w:p w14:paraId="629A2461" w14:textId="6EBEA7B5" w:rsidR="00562832" w:rsidRPr="00562832" w:rsidRDefault="00562832" w:rsidP="00562832">
      <w:pPr>
        <w:pStyle w:val="NormalWeb"/>
        <w:shd w:val="clear" w:color="auto" w:fill="FFFFFF"/>
        <w:spacing w:before="0" w:beforeAutospacing="0" w:after="240" w:afterAutospacing="0"/>
      </w:pPr>
      <w:r w:rsidRPr="00562832">
        <w:t>Finally, the pricing functions always return a matrix where the first element of each row is the Call price and the second element of each row is the Put price. This approach ensures that you always receive all relevant pricing information and makes the system more usable from an analytics perspective.</w:t>
      </w:r>
    </w:p>
    <w:p w14:paraId="4E727A4C" w14:textId="77777777"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Output</w:t>
      </w:r>
      <w:r>
        <w:rPr>
          <w:rFonts w:ascii="Helvetica" w:hAnsi="Helvetica"/>
          <w:color w:val="24292E"/>
        </w:rPr>
        <w:br/>
      </w:r>
      <w:r w:rsidRPr="00562832">
        <w:t xml:space="preserve">The </w:t>
      </w:r>
      <w:proofErr w:type="spellStart"/>
      <w:r w:rsidRPr="00562832">
        <w:t>Pricer</w:t>
      </w:r>
      <w:proofErr w:type="spellEnd"/>
      <w:r w:rsidRPr="00562832">
        <w:t xml:space="preserve"> sends multiple matrices of option data directly to the Output. This includes matrices for Mesh Points, Call and Put prices, Call and Put Deltas, and Gammas. Upon receiving these matrices, the Output's sole job is to create a CSV file and parse the matrices into rows and columns.</w:t>
      </w:r>
    </w:p>
    <w:p w14:paraId="18CAA661" w14:textId="77777777" w:rsidR="00562832" w:rsidRPr="00562832" w:rsidRDefault="00562832" w:rsidP="00562832">
      <w:pPr>
        <w:pStyle w:val="NormalWeb"/>
        <w:shd w:val="clear" w:color="auto" w:fill="FFFFFF"/>
        <w:spacing w:before="0" w:beforeAutospacing="0" w:after="240" w:afterAutospacing="0"/>
      </w:pPr>
      <w:r w:rsidRPr="00562832">
        <w:t xml:space="preserve">The CSV file is titled </w:t>
      </w:r>
      <w:proofErr w:type="spellStart"/>
      <w:r w:rsidRPr="00562832">
        <w:t>OptionData</w:t>
      </w:r>
      <w:proofErr w:type="spellEnd"/>
      <w:r w:rsidRPr="00562832">
        <w:t xml:space="preserve"> and is appended with the current date and time to create unique file names across multiple simulations.</w:t>
      </w:r>
    </w:p>
    <w:p w14:paraId="315D98E0" w14:textId="582C195C" w:rsidR="00562832" w:rsidRDefault="00562832" w:rsidP="00562832">
      <w:pPr>
        <w:pStyle w:val="NormalWeb"/>
        <w:shd w:val="clear" w:color="auto" w:fill="FFFFFF"/>
        <w:spacing w:before="0" w:beforeAutospacing="0" w:after="240" w:afterAutospacing="0"/>
      </w:pPr>
      <w:r w:rsidRPr="00562832">
        <w:t>Sending data to the CSV file is the recommended approach because it allows you to more easily analyze, chart, and share data. However, the output data can be written directly to the console as well.</w:t>
      </w:r>
    </w:p>
    <w:p w14:paraId="2ED5C2CA" w14:textId="05871E77" w:rsidR="00E900B4" w:rsidRDefault="00E900B4" w:rsidP="00562832">
      <w:pPr>
        <w:pStyle w:val="NormalWeb"/>
        <w:shd w:val="clear" w:color="auto" w:fill="FFFFFF"/>
        <w:spacing w:before="0" w:beforeAutospacing="0" w:after="240" w:afterAutospacing="0"/>
        <w:rPr>
          <w:rStyle w:val="Strong"/>
          <w:rFonts w:ascii="Helvetica" w:hAnsi="Helvetica"/>
          <w:i/>
          <w:iCs/>
          <w:color w:val="24292E"/>
        </w:rPr>
      </w:pPr>
      <w:r>
        <w:rPr>
          <w:rStyle w:val="Strong"/>
          <w:rFonts w:ascii="Helvetica" w:hAnsi="Helvetica"/>
          <w:i/>
          <w:iCs/>
          <w:color w:val="24292E"/>
        </w:rPr>
        <w:t>System Design</w:t>
      </w:r>
    </w:p>
    <w:p w14:paraId="211C9B35" w14:textId="4AE7E24B" w:rsidR="00171BAA" w:rsidRDefault="00E900B4" w:rsidP="00CC1DF4">
      <w:pPr>
        <w:pStyle w:val="NormalWeb"/>
        <w:shd w:val="clear" w:color="auto" w:fill="FFFFFF"/>
        <w:spacing w:before="0" w:beforeAutospacing="0" w:after="240" w:afterAutospacing="0"/>
      </w:pPr>
      <w:r>
        <w:rPr>
          <w:noProof/>
        </w:rPr>
        <w:lastRenderedPageBreak/>
        <w:drawing>
          <wp:inline distT="0" distB="0" distL="0" distR="0" wp14:anchorId="455A8115" wp14:editId="4CD7E1CD">
            <wp:extent cx="5943600" cy="5365750"/>
            <wp:effectExtent l="0" t="0" r="0" b="635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social media pos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5365750"/>
                    </a:xfrm>
                    <a:prstGeom prst="rect">
                      <a:avLst/>
                    </a:prstGeom>
                  </pic:spPr>
                </pic:pic>
              </a:graphicData>
            </a:graphic>
          </wp:inline>
        </w:drawing>
      </w:r>
    </w:p>
    <w:p w14:paraId="7F2BC233" w14:textId="0BC5D8CF" w:rsidR="00BE6F61" w:rsidRDefault="00BE6F61" w:rsidP="00BE6F61">
      <w:pPr>
        <w:rPr>
          <w:rFonts w:ascii="Helvetica" w:hAnsi="Helvetica"/>
          <w:color w:val="24292E"/>
          <w:shd w:val="clear" w:color="auto" w:fill="FFFFFF"/>
        </w:rPr>
      </w:pPr>
    </w:p>
    <w:p w14:paraId="401B2C8E" w14:textId="006B6377" w:rsidR="00BE6F61" w:rsidRPr="00BE6F61" w:rsidRDefault="00BE6F61" w:rsidP="00BE6F61">
      <w:pPr>
        <w:pStyle w:val="NormalWeb"/>
        <w:shd w:val="clear" w:color="auto" w:fill="FFFFFF"/>
        <w:spacing w:before="0" w:beforeAutospacing="0" w:after="0" w:afterAutospacing="0"/>
        <w:rPr>
          <w:rFonts w:ascii="Helvetica" w:hAnsi="Helvetica"/>
          <w:b/>
          <w:bCs/>
          <w:i/>
          <w:iCs/>
          <w:color w:val="24292E"/>
        </w:rPr>
      </w:pPr>
      <w:r>
        <w:rPr>
          <w:rStyle w:val="Strong"/>
          <w:rFonts w:ascii="Helvetica" w:hAnsi="Helvetica"/>
          <w:i/>
          <w:iCs/>
          <w:color w:val="24292E"/>
        </w:rPr>
        <w:t>Output</w:t>
      </w:r>
    </w:p>
    <w:p w14:paraId="31700ACE" w14:textId="749E7CEF" w:rsidR="00BE6F61" w:rsidRDefault="00BE6F61" w:rsidP="00BE6F61">
      <w:r>
        <w:rPr>
          <w:rFonts w:ascii="Helvetica" w:hAnsi="Helvetica"/>
          <w:color w:val="24292E"/>
          <w:shd w:val="clear" w:color="auto" w:fill="FFFFFF"/>
        </w:rPr>
        <w:t>See the sample-output folder for an example. This file includes the option Call and Put prices as well as associated option sensitivities (Greeks).</w:t>
      </w:r>
    </w:p>
    <w:p w14:paraId="4C047CE4" w14:textId="77777777" w:rsidR="00BE6F61" w:rsidRDefault="00BE6F61" w:rsidP="00171BAA">
      <w:pPr>
        <w:jc w:val="center"/>
        <w:rPr>
          <w:b/>
          <w:bCs/>
          <w:sz w:val="36"/>
          <w:szCs w:val="36"/>
        </w:rPr>
      </w:pPr>
    </w:p>
    <w:p w14:paraId="4E4CA670" w14:textId="288D33AF" w:rsidR="00171BAA" w:rsidRPr="00610E64" w:rsidRDefault="00171BAA" w:rsidP="00171BAA">
      <w:pPr>
        <w:jc w:val="center"/>
        <w:rPr>
          <w:b/>
          <w:bCs/>
          <w:sz w:val="36"/>
          <w:szCs w:val="36"/>
        </w:rPr>
      </w:pPr>
      <w:r w:rsidRPr="005A7648">
        <w:rPr>
          <w:b/>
          <w:bCs/>
          <w:sz w:val="36"/>
          <w:szCs w:val="36"/>
        </w:rPr>
        <w:t xml:space="preserve">Group </w:t>
      </w:r>
      <w:r>
        <w:rPr>
          <w:b/>
          <w:bCs/>
          <w:sz w:val="36"/>
          <w:szCs w:val="36"/>
        </w:rPr>
        <w:t>A</w:t>
      </w:r>
      <w:r w:rsidR="00736C04">
        <w:rPr>
          <w:b/>
          <w:bCs/>
          <w:sz w:val="36"/>
          <w:szCs w:val="36"/>
        </w:rPr>
        <w:t xml:space="preserve"> (Pricing)</w:t>
      </w:r>
    </w:p>
    <w:p w14:paraId="21BA9CA9" w14:textId="38F214B3" w:rsidR="002C5381" w:rsidRDefault="00171BAA" w:rsidP="00B734D7">
      <w:r>
        <w:t xml:space="preserve">After implementing the generalized Black-Scholes formulae, I ran tests for Batches 1-4 and confirmed the output matches the provided solutions. Additionally, I implemented two </w:t>
      </w:r>
      <w:r w:rsidR="00247214">
        <w:t>put-call parity functions</w:t>
      </w:r>
      <w:r>
        <w:t xml:space="preserve">. The first is as a mechanism to calculate the call </w:t>
      </w:r>
      <w:r w:rsidR="00247214">
        <w:t xml:space="preserve">(or </w:t>
      </w:r>
      <w:r>
        <w:t>put</w:t>
      </w:r>
      <w:r w:rsidR="00247214">
        <w:t xml:space="preserve">) </w:t>
      </w:r>
      <w:r>
        <w:t>price</w:t>
      </w:r>
      <w:r w:rsidR="00247214">
        <w:t xml:space="preserve"> for the corresponding put (or call) price</w:t>
      </w:r>
      <w:r>
        <w:t xml:space="preserve"> and the second as a mechanism to check if the given set of put and call prices satisfy parity. For the latter case, it’s important to set a</w:t>
      </w:r>
      <w:r w:rsidR="00247214">
        <w:t xml:space="preserve"> </w:t>
      </w:r>
      <w:r>
        <w:t>tolerance to avoid</w:t>
      </w:r>
      <w:r w:rsidR="00247214">
        <w:t xml:space="preserve"> errors stemming from</w:t>
      </w:r>
      <w:r>
        <w:t xml:space="preserve"> double-precision floating-point format</w:t>
      </w:r>
      <w:r w:rsidR="00247214">
        <w:t>s</w:t>
      </w:r>
      <w:r>
        <w:t xml:space="preserve">. </w:t>
      </w:r>
      <w:r w:rsidR="002C5381">
        <w:t>In general, a good tolerance is somewhere between 1e-10 and 1e-5 (</w:t>
      </w:r>
      <w:r w:rsidR="00247214">
        <w:t>1e-5 is used in this implementation</w:t>
      </w:r>
      <w:r w:rsidR="002C5381">
        <w:t xml:space="preserve">). The results of these tests are </w:t>
      </w:r>
      <w:r w:rsidR="00247214">
        <w:t>shown</w:t>
      </w:r>
      <w:r w:rsidR="002C5381">
        <w:t xml:space="preserve"> below.</w:t>
      </w:r>
    </w:p>
    <w:p w14:paraId="435ED1FE" w14:textId="77777777" w:rsidR="002C5381" w:rsidRDefault="002C5381" w:rsidP="00B734D7"/>
    <w:p w14:paraId="4893F430" w14:textId="5EE61266" w:rsidR="00171BAA" w:rsidRDefault="002C5381" w:rsidP="00B734D7">
      <w:r>
        <w:rPr>
          <w:noProof/>
        </w:rPr>
        <w:drawing>
          <wp:inline distT="0" distB="0" distL="0" distR="0" wp14:anchorId="3B5CAACC" wp14:editId="0CDD4986">
            <wp:extent cx="5943600" cy="91821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r w:rsidR="00171BAA">
        <w:t xml:space="preserve"> </w:t>
      </w:r>
    </w:p>
    <w:p w14:paraId="468AB785" w14:textId="52AF4F98" w:rsidR="002C5381" w:rsidRDefault="002C5381" w:rsidP="00B734D7"/>
    <w:p w14:paraId="5F970226" w14:textId="556F191E" w:rsidR="00A825A0" w:rsidRDefault="002C5381" w:rsidP="00B734D7">
      <w:r>
        <w:t xml:space="preserve">I also implemented and tested functionality to compute option prices for a monotonically increasing range of a specified option parameter. </w:t>
      </w:r>
      <w:r w:rsidR="00247214">
        <w:t xml:space="preserve">The specified parameter can be any of the core option parameters (e.g. T, sig, r, S, K, b), which provides flexibility to users of the system. </w:t>
      </w:r>
      <w:r>
        <w:t xml:space="preserve">The implementation also correctly handles the relationship between r and b when dealing with stock options </w:t>
      </w:r>
      <w:r w:rsidR="00247214">
        <w:t>and</w:t>
      </w:r>
      <w:r>
        <w:t xml:space="preserve"> futures. As we know, the generalized Black-Scholes formula requires b=r for stock options, but this relationship does not hold for futures.</w:t>
      </w:r>
    </w:p>
    <w:p w14:paraId="3D2C32F9" w14:textId="13972F1A" w:rsidR="00A825A0" w:rsidRDefault="00A825A0" w:rsidP="00B734D7"/>
    <w:p w14:paraId="29F6C433" w14:textId="22236A71" w:rsidR="00A825A0" w:rsidRDefault="00A825A0" w:rsidP="00B734D7">
      <w:r>
        <w:t>To highlight this functionality, I included screen shots below. The first screen shot shows the relationship between call and put prices as we monotonically increase S. The second screen shot shows the same relationship for call and put prices but does so for a generic monotonically increasing parameter (e.g. T, sig, K, and r).</w:t>
      </w:r>
    </w:p>
    <w:p w14:paraId="2A8D51BD" w14:textId="2D054D55" w:rsidR="002C5381" w:rsidRDefault="00A825A0" w:rsidP="00B734D7">
      <w:r>
        <w:rPr>
          <w:noProof/>
        </w:rPr>
        <w:drawing>
          <wp:inline distT="0" distB="0" distL="0" distR="0" wp14:anchorId="7D39C2A1" wp14:editId="52152F06">
            <wp:extent cx="5943600" cy="19697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969770"/>
                    </a:xfrm>
                    <a:prstGeom prst="rect">
                      <a:avLst/>
                    </a:prstGeom>
                  </pic:spPr>
                </pic:pic>
              </a:graphicData>
            </a:graphic>
          </wp:inline>
        </w:drawing>
      </w:r>
      <w:r>
        <w:rPr>
          <w:noProof/>
        </w:rPr>
        <w:drawing>
          <wp:inline distT="0" distB="0" distL="0" distR="0" wp14:anchorId="32ACB3F7" wp14:editId="73C62570">
            <wp:extent cx="5943600" cy="1624330"/>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624330"/>
                    </a:xfrm>
                    <a:prstGeom prst="rect">
                      <a:avLst/>
                    </a:prstGeom>
                  </pic:spPr>
                </pic:pic>
              </a:graphicData>
            </a:graphic>
          </wp:inline>
        </w:drawing>
      </w:r>
      <w:r w:rsidR="002C5381">
        <w:t xml:space="preserve">  </w:t>
      </w:r>
    </w:p>
    <w:p w14:paraId="3F748F6B" w14:textId="75AED808" w:rsidR="00736C04" w:rsidRDefault="00736C04" w:rsidP="00B734D7"/>
    <w:p w14:paraId="2B328976" w14:textId="01A69819" w:rsidR="00736C04" w:rsidRPr="00610E64" w:rsidRDefault="00736C04" w:rsidP="00736C04">
      <w:pPr>
        <w:jc w:val="center"/>
        <w:rPr>
          <w:b/>
          <w:bCs/>
          <w:sz w:val="36"/>
          <w:szCs w:val="36"/>
        </w:rPr>
      </w:pPr>
      <w:r w:rsidRPr="005A7648">
        <w:rPr>
          <w:b/>
          <w:bCs/>
          <w:sz w:val="36"/>
          <w:szCs w:val="36"/>
        </w:rPr>
        <w:t xml:space="preserve">Group </w:t>
      </w:r>
      <w:r>
        <w:rPr>
          <w:b/>
          <w:bCs/>
          <w:sz w:val="36"/>
          <w:szCs w:val="36"/>
        </w:rPr>
        <w:t>A (Greeks)</w:t>
      </w:r>
    </w:p>
    <w:p w14:paraId="4FA294C8" w14:textId="49CE6B78" w:rsidR="00736C04" w:rsidRDefault="00426AE2" w:rsidP="00B734D7">
      <w:r>
        <w:t>To make the system more robust, I also provide functionality to calculate the Greeks. The Greeks are the partial derivatives of the Black-Scholes option pricing formula with respect to one of its parameters. Proof of the formula are beyond the scope of this course and this system provides only a subset of all the possible Greeks. In particular, I implemented formula for Delta (1), Gamma (2), and Vega (3).</w:t>
      </w:r>
    </w:p>
    <w:p w14:paraId="2F66F6E7" w14:textId="1C1AB7F0" w:rsidR="00426AE2" w:rsidRDefault="00426AE2" w:rsidP="00B734D7"/>
    <w:p w14:paraId="480F389F" w14:textId="3143216B" w:rsidR="00426AE2" w:rsidRDefault="00426AE2" w:rsidP="00426AE2">
      <w:pPr>
        <w:pStyle w:val="ListParagraph"/>
        <w:numPr>
          <w:ilvl w:val="0"/>
          <w:numId w:val="1"/>
        </w:numPr>
      </w:pPr>
      <w:r>
        <w:t>Delta is the change in the options price due to a change in the underlying’s futures price.</w:t>
      </w:r>
    </w:p>
    <w:p w14:paraId="548FBC0A" w14:textId="1C14648E" w:rsidR="00426AE2" w:rsidRDefault="00426AE2" w:rsidP="00426AE2">
      <w:pPr>
        <w:pStyle w:val="ListParagraph"/>
        <w:numPr>
          <w:ilvl w:val="0"/>
          <w:numId w:val="1"/>
        </w:numPr>
      </w:pPr>
      <w:r>
        <w:t>Gamma is the rate of change in the options Delta per one-point change in the underlying’s spot price.</w:t>
      </w:r>
    </w:p>
    <w:p w14:paraId="5B0F3AEC" w14:textId="57DA53E0" w:rsidR="00426AE2" w:rsidRDefault="00426AE2" w:rsidP="00426AE2">
      <w:pPr>
        <w:pStyle w:val="ListParagraph"/>
        <w:numPr>
          <w:ilvl w:val="0"/>
          <w:numId w:val="1"/>
        </w:numPr>
      </w:pPr>
      <w:r>
        <w:t xml:space="preserve">Vega is the change in the option price per one-point change in implied volatility. </w:t>
      </w:r>
    </w:p>
    <w:p w14:paraId="6DD0949C" w14:textId="08004D57" w:rsidR="002F7AD7" w:rsidRDefault="002F7AD7" w:rsidP="002F7AD7"/>
    <w:p w14:paraId="46C993B1" w14:textId="77777777" w:rsidR="002F7AD7" w:rsidRDefault="002F7AD7" w:rsidP="002F7AD7">
      <w:r>
        <w:t>The results of the first test case (question A) is shown below.</w:t>
      </w:r>
    </w:p>
    <w:p w14:paraId="624C0EAE" w14:textId="77777777" w:rsidR="002F7AD7" w:rsidRDefault="002F7AD7" w:rsidP="002F7AD7"/>
    <w:p w14:paraId="4B424C1C" w14:textId="3E33BFA6" w:rsidR="002F7AD7" w:rsidRDefault="002F7AD7" w:rsidP="002F7AD7">
      <w:pPr>
        <w:jc w:val="center"/>
      </w:pPr>
      <w:r>
        <w:rPr>
          <w:noProof/>
        </w:rPr>
        <w:drawing>
          <wp:inline distT="0" distB="0" distL="0" distR="0" wp14:anchorId="53BFFFA4" wp14:editId="297A7ACC">
            <wp:extent cx="2794000" cy="10541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94000" cy="1054100"/>
                    </a:xfrm>
                    <a:prstGeom prst="rect">
                      <a:avLst/>
                    </a:prstGeom>
                  </pic:spPr>
                </pic:pic>
              </a:graphicData>
            </a:graphic>
          </wp:inline>
        </w:drawing>
      </w:r>
    </w:p>
    <w:p w14:paraId="4688ED13" w14:textId="1ADC1F13" w:rsidR="00B734D7" w:rsidRDefault="00B734D7" w:rsidP="00B734D7"/>
    <w:p w14:paraId="3A507CD1" w14:textId="77777777" w:rsidR="002F7AD7" w:rsidRDefault="002F7AD7" w:rsidP="00B734D7"/>
    <w:p w14:paraId="404F97A5" w14:textId="77777777" w:rsidR="002F7AD7" w:rsidRDefault="002F7AD7" w:rsidP="00B734D7"/>
    <w:p w14:paraId="543F571B" w14:textId="77777777" w:rsidR="002F7AD7" w:rsidRDefault="002F7AD7" w:rsidP="00B734D7">
      <w:r>
        <w:t xml:space="preserve">Because the Greeks </w:t>
      </w:r>
      <w:r w:rsidRPr="002F7AD7">
        <w:t>are the partial derivatives of the Black-Scholes option pricing formula</w:t>
      </w:r>
      <w:r>
        <w:t xml:space="preserve">, we can </w:t>
      </w:r>
      <w:r w:rsidRPr="002F7AD7">
        <w:t>rely on</w:t>
      </w:r>
      <w:r>
        <w:t xml:space="preserve"> the</w:t>
      </w:r>
      <w:r w:rsidRPr="002F7AD7">
        <w:t xml:space="preserve"> closed form solutions </w:t>
      </w:r>
      <w:r>
        <w:t xml:space="preserve">(implemented in question A) </w:t>
      </w:r>
      <w:r w:rsidRPr="002F7AD7">
        <w:t>in most cases. However, a closed form solution isn't guaranteed or can be difficult to find. For those scenarios, I implemented the divided differences method to find a numerical solution.</w:t>
      </w:r>
      <w:r>
        <w:t xml:space="preserve"> </w:t>
      </w:r>
    </w:p>
    <w:p w14:paraId="4417D3A8" w14:textId="77777777" w:rsidR="002F7AD7" w:rsidRDefault="002F7AD7" w:rsidP="00B734D7"/>
    <w:p w14:paraId="79014854" w14:textId="77777777" w:rsidR="005224E8" w:rsidRDefault="002F7AD7" w:rsidP="00B734D7">
      <w:r>
        <w:t>Similar to the option pricing functionality, these functions are able to handle a monotonically increasing range underlying values so we can study how a change in the asset price impacts its associated Greeks. To highlight the differences between the closed form solution and the numerical method, I included several screen shots below</w:t>
      </w:r>
      <w:r w:rsidR="005224E8">
        <w:t xml:space="preserve">. </w:t>
      </w:r>
    </w:p>
    <w:p w14:paraId="6AFE54BB" w14:textId="77777777" w:rsidR="005224E8" w:rsidRDefault="005224E8" w:rsidP="00B734D7"/>
    <w:p w14:paraId="09A0EB08" w14:textId="37498478" w:rsidR="002F7AD7" w:rsidRDefault="005224E8" w:rsidP="00B734D7">
      <w:r>
        <w:t>Importantly, these tests include a range of values for h</w:t>
      </w:r>
      <w:r w:rsidR="00555FFE">
        <w:t xml:space="preserve">, where h is the difference parameter, to highlight </w:t>
      </w:r>
      <w:r>
        <w:t xml:space="preserve">how </w:t>
      </w:r>
      <w:r w:rsidR="00555FFE">
        <w:t>accuracy</w:t>
      </w:r>
      <w:r>
        <w:t xml:space="preserve"> degrades </w:t>
      </w:r>
      <w:r w:rsidR="00555FFE">
        <w:t>as h grows larger</w:t>
      </w:r>
      <w:r>
        <w:t xml:space="preserve">. </w:t>
      </w:r>
      <w:r w:rsidR="004E3069">
        <w:t xml:space="preserve">In particular, we are accurate to seven </w:t>
      </w:r>
      <w:r w:rsidR="00555FFE">
        <w:t>to</w:t>
      </w:r>
      <w:r w:rsidR="004E3069">
        <w:t xml:space="preserve"> eight places behind the decimal when h </w:t>
      </w:r>
      <w:r w:rsidR="00555FFE">
        <w:t>is</w:t>
      </w:r>
      <w:r w:rsidR="004E3069">
        <w:t xml:space="preserve"> 0.1 but only four </w:t>
      </w:r>
      <w:r w:rsidR="00555FFE">
        <w:t>to</w:t>
      </w:r>
      <w:r w:rsidR="004E3069">
        <w:t xml:space="preserve"> six places behind the decimal when h </w:t>
      </w:r>
      <w:r w:rsidR="00555FFE">
        <w:t>is</w:t>
      </w:r>
      <w:r w:rsidR="004E3069">
        <w:t xml:space="preserve"> 2. This pattern continues as h grows larger and larger. </w:t>
      </w:r>
      <w:r>
        <w:t xml:space="preserve">Thus, it’s important to find a value for h that is small enough to ensure high accuracy but not so small that we </w:t>
      </w:r>
      <w:r w:rsidR="00555FFE">
        <w:t>encounter</w:t>
      </w:r>
      <w:r>
        <w:t xml:space="preserve"> round-off errors or issues related to the subtraction of quantities that are very close to each other. </w:t>
      </w:r>
    </w:p>
    <w:p w14:paraId="4312C018" w14:textId="41603255" w:rsidR="004E3069" w:rsidRDefault="004E3069" w:rsidP="00B734D7"/>
    <w:p w14:paraId="2277CA03" w14:textId="4564DA7C" w:rsidR="004E3069" w:rsidRDefault="004E3069" w:rsidP="00B734D7">
      <w:r>
        <w:rPr>
          <w:noProof/>
        </w:rPr>
        <w:drawing>
          <wp:inline distT="0" distB="0" distL="0" distR="0" wp14:anchorId="491EA023" wp14:editId="3628FE18">
            <wp:extent cx="5943600" cy="19996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p>
    <w:p w14:paraId="7DF48088" w14:textId="3A578135" w:rsidR="002F7AD7" w:rsidRDefault="002F7AD7" w:rsidP="00B734D7"/>
    <w:p w14:paraId="4A04AEC3" w14:textId="6D89C055" w:rsidR="004E3069" w:rsidRDefault="004E3069" w:rsidP="00B734D7">
      <w:r>
        <w:rPr>
          <w:noProof/>
        </w:rPr>
        <w:lastRenderedPageBreak/>
        <w:drawing>
          <wp:inline distT="0" distB="0" distL="0" distR="0" wp14:anchorId="0AAE1223" wp14:editId="4BCB9641">
            <wp:extent cx="5943600" cy="3854450"/>
            <wp:effectExtent l="0" t="0" r="0" b="6350"/>
            <wp:docPr id="7" name="Picture 7"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54450"/>
                    </a:xfrm>
                    <a:prstGeom prst="rect">
                      <a:avLst/>
                    </a:prstGeom>
                  </pic:spPr>
                </pic:pic>
              </a:graphicData>
            </a:graphic>
          </wp:inline>
        </w:drawing>
      </w:r>
      <w:r>
        <w:rPr>
          <w:noProof/>
        </w:rPr>
        <w:drawing>
          <wp:inline distT="0" distB="0" distL="0" distR="0" wp14:anchorId="58A47D88" wp14:editId="37FE4155">
            <wp:extent cx="5943600" cy="3430270"/>
            <wp:effectExtent l="0" t="0" r="0" b="0"/>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piece of pap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inline>
        </w:drawing>
      </w:r>
    </w:p>
    <w:p w14:paraId="2AFCABCC" w14:textId="77777777" w:rsidR="004E3069" w:rsidRPr="00B734D7" w:rsidRDefault="004E3069" w:rsidP="00B734D7"/>
    <w:p w14:paraId="09472078" w14:textId="5D620AE7" w:rsidR="003A500F" w:rsidRPr="00FF52F2" w:rsidRDefault="003A500F" w:rsidP="00FF52F2">
      <w:pPr>
        <w:jc w:val="center"/>
        <w:rPr>
          <w:b/>
          <w:bCs/>
          <w:sz w:val="36"/>
          <w:szCs w:val="36"/>
        </w:rPr>
      </w:pPr>
      <w:r>
        <w:rPr>
          <w:b/>
          <w:bCs/>
          <w:sz w:val="36"/>
          <w:szCs w:val="36"/>
        </w:rPr>
        <w:t>Group B</w:t>
      </w:r>
    </w:p>
    <w:p w14:paraId="309B60B6" w14:textId="7E75F52F" w:rsidR="003A500F" w:rsidRDefault="00FF52F2" w:rsidP="003A500F">
      <w:pPr>
        <w:rPr>
          <w:color w:val="000000" w:themeColor="text1"/>
        </w:rPr>
      </w:pPr>
      <w:r w:rsidRPr="00FF52F2">
        <w:rPr>
          <w:color w:val="000000" w:themeColor="text1"/>
        </w:rPr>
        <w:lastRenderedPageBreak/>
        <w:t xml:space="preserve">Group B </w:t>
      </w:r>
      <w:r>
        <w:rPr>
          <w:color w:val="000000" w:themeColor="text1"/>
        </w:rPr>
        <w:t xml:space="preserve">is nearly an exact replica of the functionality I discussed in Group A. The only difference is that Group B implements the formulae to price Perpetual American equity options whereas Group A implemented the formulae to price plain (European) equity options. </w:t>
      </w:r>
    </w:p>
    <w:p w14:paraId="24F7F2F3" w14:textId="57301B89" w:rsidR="00FF52F2" w:rsidRDefault="00FF52F2" w:rsidP="003A500F">
      <w:pPr>
        <w:rPr>
          <w:color w:val="000000" w:themeColor="text1"/>
        </w:rPr>
      </w:pPr>
    </w:p>
    <w:p w14:paraId="422FB624" w14:textId="0EC870EF" w:rsidR="00FF52F2" w:rsidRDefault="00FF52F2" w:rsidP="00FF52F2">
      <w:r>
        <w:t xml:space="preserve">As a result, the system can also provide </w:t>
      </w:r>
      <w:r w:rsidR="009E7A99">
        <w:t>solutions</w:t>
      </w:r>
      <w:r>
        <w:t xml:space="preserve"> to a monotonically increasing range of option parameters. The specified parameter can be any of the core option parameters (e.g. T, sig, r, S, K, b), which provides flexibility to users of the system. </w:t>
      </w:r>
    </w:p>
    <w:p w14:paraId="1E9F4EA7" w14:textId="77777777" w:rsidR="00FF52F2" w:rsidRDefault="00FF52F2" w:rsidP="00FF52F2"/>
    <w:p w14:paraId="0C60F891" w14:textId="23063133" w:rsidR="00FF52F2" w:rsidRDefault="00FF52F2" w:rsidP="00FF52F2">
      <w:r>
        <w:t xml:space="preserve">Notably, a plain option had a strict relationship that required b = r. However, this relationship does not hold for Perpetual American options. Therefore, the implementation also correctly handles this new relationship between </w:t>
      </w:r>
      <w:r w:rsidR="009E7A99">
        <w:t>b</w:t>
      </w:r>
      <w:r>
        <w:t xml:space="preserve"> and </w:t>
      </w:r>
      <w:r w:rsidR="009E7A99">
        <w:t>r</w:t>
      </w:r>
      <w:r>
        <w:t>.</w:t>
      </w:r>
    </w:p>
    <w:p w14:paraId="0628EE2F" w14:textId="77777777" w:rsidR="00FF52F2" w:rsidRDefault="00FF52F2" w:rsidP="00FF52F2"/>
    <w:p w14:paraId="6B4645DB" w14:textId="19F2124B" w:rsidR="00FF52F2" w:rsidRDefault="00FF52F2" w:rsidP="00FF52F2">
      <w:r>
        <w:t>To highlight this functionality, I included screen shots below. The</w:t>
      </w:r>
      <w:r w:rsidR="009E7A99">
        <w:t xml:space="preserve"> leftmost screenshot shows the solution to question B, which asked to compare the result of call and put prices as determined by the application versus the solutions provided in the project. The next set of three images</w:t>
      </w:r>
      <w:r>
        <w:t xml:space="preserve"> </w:t>
      </w:r>
      <w:r w:rsidR="009E7A99">
        <w:t>shows how the call and put prices change as the specified option parameter is monotonically increased.</w:t>
      </w:r>
    </w:p>
    <w:p w14:paraId="76B4976B" w14:textId="0921CB5A" w:rsidR="00C24DC7" w:rsidRDefault="00C24DC7" w:rsidP="00FF52F2"/>
    <w:p w14:paraId="7082E953" w14:textId="0B958EF4" w:rsidR="00C24DC7" w:rsidRDefault="00C24DC7" w:rsidP="00FF52F2">
      <w:r>
        <w:rPr>
          <w:noProof/>
        </w:rPr>
        <w:drawing>
          <wp:inline distT="0" distB="0" distL="0" distR="0" wp14:anchorId="0399D7A6" wp14:editId="62FAF014">
            <wp:extent cx="5943600" cy="1837690"/>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37690"/>
                    </a:xfrm>
                    <a:prstGeom prst="rect">
                      <a:avLst/>
                    </a:prstGeom>
                  </pic:spPr>
                </pic:pic>
              </a:graphicData>
            </a:graphic>
          </wp:inline>
        </w:drawing>
      </w:r>
    </w:p>
    <w:p w14:paraId="30C9F503" w14:textId="77777777" w:rsidR="00FF52F2" w:rsidRPr="00FF52F2" w:rsidRDefault="00FF52F2" w:rsidP="003A500F">
      <w:pPr>
        <w:rPr>
          <w:color w:val="000000" w:themeColor="text1"/>
        </w:rPr>
      </w:pPr>
    </w:p>
    <w:p w14:paraId="17B1775C" w14:textId="7B911E5F" w:rsidR="006A37FC" w:rsidRPr="00610E64" w:rsidRDefault="005A7648" w:rsidP="00610E64">
      <w:pPr>
        <w:jc w:val="center"/>
        <w:rPr>
          <w:b/>
          <w:bCs/>
          <w:sz w:val="36"/>
          <w:szCs w:val="36"/>
        </w:rPr>
      </w:pPr>
      <w:r w:rsidRPr="005A7648">
        <w:rPr>
          <w:b/>
          <w:bCs/>
          <w:sz w:val="36"/>
          <w:szCs w:val="36"/>
        </w:rPr>
        <w:t>Group C</w:t>
      </w:r>
    </w:p>
    <w:p w14:paraId="1F3AAECF" w14:textId="199C06BF" w:rsidR="00C42641" w:rsidRDefault="0030070F" w:rsidP="005A7648">
      <w:r>
        <w:t>As expected</w:t>
      </w:r>
      <w:r w:rsidR="00C4436D">
        <w:t>, increasing the number of intervals</w:t>
      </w:r>
      <w:r w:rsidR="004E1EA6">
        <w:t xml:space="preserve"> or </w:t>
      </w:r>
      <w:r>
        <w:t xml:space="preserve">simulations </w:t>
      </w:r>
      <w:r w:rsidR="00C4436D">
        <w:t>do</w:t>
      </w:r>
      <w:r w:rsidR="00F5720A">
        <w:t xml:space="preserve">es not </w:t>
      </w:r>
      <w:r w:rsidR="00C4436D">
        <w:t xml:space="preserve">guarantee </w:t>
      </w:r>
      <w:r>
        <w:t xml:space="preserve">higher rates of convergence. This observation is central to the Monte Carlo method in that the method depends on repeating random sampling. Given this random sampling, it is natural to expect </w:t>
      </w:r>
      <w:r w:rsidR="00C42641">
        <w:t>divergence in certain cases despite having</w:t>
      </w:r>
      <w:r>
        <w:t xml:space="preserve"> larger</w:t>
      </w:r>
      <w:r w:rsidR="00C314A5">
        <w:t xml:space="preserve"> these larger values for the</w:t>
      </w:r>
      <w:r>
        <w:t xml:space="preserve"> inputs. </w:t>
      </w:r>
    </w:p>
    <w:p w14:paraId="2DA962A8" w14:textId="563A805A" w:rsidR="00C42641" w:rsidRDefault="00C42641" w:rsidP="005A7648"/>
    <w:p w14:paraId="1D5AD4D0" w14:textId="11BB8C68" w:rsidR="00C42641" w:rsidRDefault="00C42641" w:rsidP="005A7648">
      <w:r>
        <w:t xml:space="preserve">To highlight this observation, let us evaluate the case when there are 100 subintervals and 10M simulations. In this simulation, the Call Price for Batch 1 is slightly worse than it is for the simulation with 100 subintervals and 1M simulations. Similarly, there are also cases when there are higher rates of convergence when the inputs increase in size. For example, the Put Price with 10M simulations versus 1M simulations shows a higher rate of convergence. </w:t>
      </w:r>
      <w:r w:rsidR="00325F41">
        <w:t>When taken together, these observations</w:t>
      </w:r>
      <w:r>
        <w:t xml:space="preserve"> highlight the fact that convergence is not </w:t>
      </w:r>
      <w:r w:rsidR="00325F41">
        <w:t xml:space="preserve">necessarily </w:t>
      </w:r>
      <w:r>
        <w:t>linear.</w:t>
      </w:r>
    </w:p>
    <w:p w14:paraId="4B286481" w14:textId="67A48C84" w:rsidR="006968F5" w:rsidRDefault="006968F5" w:rsidP="005A7648"/>
    <w:p w14:paraId="4F69DAB6" w14:textId="6C673A9E" w:rsidR="00C91EE6" w:rsidRDefault="00C91EE6" w:rsidP="006968F5">
      <w:r>
        <w:t>With that said, t</w:t>
      </w:r>
      <w:r w:rsidR="006968F5">
        <w:t xml:space="preserve">he most accurate simulations tend to have 100+ intervals and 1M+ simulations, which is evident in the images shown below. </w:t>
      </w:r>
      <w:r>
        <w:t xml:space="preserve">This observation supports the law of large numbers theorem from probability. The theorem states that the result of a large number of repeated </w:t>
      </w:r>
      <w:r>
        <w:lastRenderedPageBreak/>
        <w:t xml:space="preserve">simulations should be close to the expected </w:t>
      </w:r>
      <w:r w:rsidR="00C314A5">
        <w:t>value and</w:t>
      </w:r>
      <w:r>
        <w:t xml:space="preserve"> tends to continue this path of convergence as the number of simulations increase</w:t>
      </w:r>
      <w:r w:rsidR="009B3354">
        <w:t>s</w:t>
      </w:r>
      <w:r>
        <w:t>.</w:t>
      </w:r>
    </w:p>
    <w:p w14:paraId="12420321" w14:textId="77777777" w:rsidR="00C91EE6" w:rsidRDefault="00C91EE6" w:rsidP="006968F5"/>
    <w:p w14:paraId="20D23FE2" w14:textId="75AD79DC" w:rsidR="006968F5" w:rsidRDefault="006968F5" w:rsidP="006968F5">
      <w:r>
        <w:t>This finding underlines the importance of developing applications such that we can use these larger numbers in high-performant situations</w:t>
      </w:r>
      <w:r w:rsidR="00C91EE6">
        <w:t>, meaning that we tightly control time complexity and avoid algorithms that might lead to O(N^2).</w:t>
      </w:r>
    </w:p>
    <w:p w14:paraId="3CE973AE" w14:textId="77777777" w:rsidR="006968F5" w:rsidRDefault="006968F5" w:rsidP="006968F5"/>
    <w:p w14:paraId="2EAF941F" w14:textId="5D4346E3" w:rsidR="006968F5" w:rsidRDefault="006968F5" w:rsidP="005A7648">
      <w:r>
        <w:t>Batch 4 proved to be an exception, however. When the number of intervals was 10, we saw an increasing rate of divergence when increasing the number of simulations. For all other Batches, increasing the number of simulations had an overwhelming impact on the rate of convergenc</w:t>
      </w:r>
      <w:r w:rsidR="0003376A">
        <w:t>e</w:t>
      </w:r>
      <w:r>
        <w:t xml:space="preserve">. </w:t>
      </w:r>
      <w:r w:rsidR="00663CE1">
        <w:t>To gain a better understanding of why this is happening, I held all parameters constant except for expiry</w:t>
      </w:r>
      <w:r w:rsidR="00325F41">
        <w:t>,</w:t>
      </w:r>
      <w:r w:rsidR="00663CE1">
        <w:t xml:space="preserve"> which was reduced to 1.0. </w:t>
      </w:r>
      <w:r w:rsidR="00571E54">
        <w:t xml:space="preserve">The result of this </w:t>
      </w:r>
      <w:r w:rsidR="00663CE1">
        <w:t>test suggest</w:t>
      </w:r>
      <w:r w:rsidR="00571E54">
        <w:t>ed</w:t>
      </w:r>
      <w:r w:rsidR="00663CE1">
        <w:t xml:space="preserve"> that </w:t>
      </w:r>
      <w:r w:rsidR="00571E54">
        <w:t>the long time to maturity drove divergence when the number of intervals was small.</w:t>
      </w:r>
      <w:r w:rsidR="00663CE1">
        <w:t xml:space="preserve"> </w:t>
      </w:r>
    </w:p>
    <w:p w14:paraId="220F06F1" w14:textId="77777777" w:rsidR="00C42641" w:rsidRDefault="00C42641" w:rsidP="005A7648"/>
    <w:p w14:paraId="1ACDBB9B" w14:textId="052267EB" w:rsidR="00C4436D" w:rsidRDefault="00C42641" w:rsidP="005A7648">
      <w:r>
        <w:t xml:space="preserve">We also know that this method requires nested for-loops. </w:t>
      </w:r>
      <w:r w:rsidR="00325F41">
        <w:t>It’s</w:t>
      </w:r>
      <w:r>
        <w:t xml:space="preserve"> important to highlight this observation because there is a common misperception of the time complexity associated with nested for-loops. Often, the observation defaults to “nested for-loops are always O(N^2)”; however, this </w:t>
      </w:r>
      <w:r w:rsidR="00325F41">
        <w:t xml:space="preserve">does not always hold </w:t>
      </w:r>
      <w:r>
        <w:t>true. Complexity analysis depends on a precise definition of N and there are many cases where having a nested for-loop does not imply O(N^2) (e.g. when the inner for-loop performs a constant time operation). In our case, the number of</w:t>
      </w:r>
      <w:r w:rsidR="00C314A5">
        <w:t xml:space="preserve"> intervals and</w:t>
      </w:r>
      <w:r>
        <w:t xml:space="preserve"> simulations are the variables, which we will label N and M, respectively. Thus, the complexity of our MC simulation is O(N*M). Obviously, when we increase either of these variables, the time complexity increases. </w:t>
      </w:r>
      <w:r w:rsidR="00C4436D">
        <w:t>For example,</w:t>
      </w:r>
      <w:r w:rsidR="00725C89">
        <w:t xml:space="preserve"> the Batch 1</w:t>
      </w:r>
      <w:r w:rsidR="00C4436D">
        <w:t xml:space="preserve"> simulation with 1,000 subintervals and 100,000 simulations required </w:t>
      </w:r>
      <w:r w:rsidR="00133CE0">
        <w:t>~136</w:t>
      </w:r>
      <w:r w:rsidR="00C4436D">
        <w:t xml:space="preserve"> seconds to complete</w:t>
      </w:r>
      <w:r w:rsidR="000E32F7">
        <w:t>,</w:t>
      </w:r>
      <w:r w:rsidR="00C4436D">
        <w:t xml:space="preserve"> whereas </w:t>
      </w:r>
      <w:r w:rsidR="00133CE0">
        <w:t>the simulation with 10 subintervals and 100,000 simulations required only ~1.5 seconds</w:t>
      </w:r>
      <w:r>
        <w:t>.</w:t>
      </w:r>
    </w:p>
    <w:p w14:paraId="594DC819" w14:textId="18025468" w:rsidR="00610E64" w:rsidRDefault="00610E64" w:rsidP="005A7648"/>
    <w:p w14:paraId="651F4DBE" w14:textId="5F7ED614" w:rsidR="00610E64" w:rsidRDefault="00610E64" w:rsidP="00610E64">
      <w:r>
        <w:t xml:space="preserve">For Batch 4, the results are significantly slower to converge relative to Batch 1 and Batch 2, and actually diverge when the number of intervals equals 10. This is likely due to the prolonged time to maturity. It appears that increasing the number of intervals has a greater impact on convergence relative to increasing the number of simulations for Batch 4. For example, the results below show a Call with 10 subintervals and 100K simulations, which has an estimated price of 71.6601 but a price of 89.5241 with 100 subintervals and 100K simulations. When adjusted for only 10 intervals, the result diverges when changing the number of simulations from 1,000 to 10M. </w:t>
      </w:r>
    </w:p>
    <w:p w14:paraId="7CF654ED" w14:textId="77777777" w:rsidR="00610E64" w:rsidRDefault="00610E64" w:rsidP="00610E64"/>
    <w:p w14:paraId="2C6CCDC8" w14:textId="247D2753" w:rsidR="00610E64" w:rsidRDefault="00610E64" w:rsidP="005A7648">
      <w:r>
        <w:t>To converge to two places behind the decimal point on a Put requires 1,000 subintervals and 1M simulations. To get the same level of convergence on a Call, we likely need somewhere between 1M and 10M simulations with 1,000 subintervals. As depicted below, those two specific test cases do not achieve the desired convergence, but as we know, convergence is not linear. In almost all cases though, having 1,000 subintervals provides a better estimate than test cases with fewer subintervals, regardless of the number of simulations.</w:t>
      </w:r>
    </w:p>
    <w:p w14:paraId="2CBD121C" w14:textId="1D2C69C4" w:rsidR="00AA1330" w:rsidRDefault="00AA1330" w:rsidP="005A7648">
      <w:pPr>
        <w:rPr>
          <w:b/>
          <w:bCs/>
        </w:rPr>
      </w:pPr>
    </w:p>
    <w:p w14:paraId="3FF20638" w14:textId="6759FB8C" w:rsidR="00610E64" w:rsidRDefault="00610E64" w:rsidP="00610E64">
      <w:r>
        <w:t xml:space="preserve">To highlight the above analysis, I included the images below to show the simulation results for Batches 1, 2, and 4 respectively. </w:t>
      </w:r>
    </w:p>
    <w:p w14:paraId="4BE23402" w14:textId="7A7058F6" w:rsidR="00610E64" w:rsidRDefault="00610E64" w:rsidP="005A7648">
      <w:pPr>
        <w:rPr>
          <w:b/>
          <w:bCs/>
        </w:rPr>
      </w:pPr>
    </w:p>
    <w:p w14:paraId="4311DC9D" w14:textId="77777777" w:rsidR="00610E64" w:rsidRDefault="00610E64" w:rsidP="005A7648">
      <w:pPr>
        <w:rPr>
          <w:b/>
          <w:bCs/>
        </w:rPr>
      </w:pPr>
    </w:p>
    <w:p w14:paraId="7E8BC474" w14:textId="2C595721" w:rsidR="005553F6" w:rsidRDefault="00C4005B" w:rsidP="00610E64">
      <w:pPr>
        <w:rPr>
          <w:b/>
          <w:bCs/>
        </w:rPr>
      </w:pPr>
      <w:r>
        <w:rPr>
          <w:b/>
          <w:bCs/>
          <w:noProof/>
        </w:rPr>
        <w:lastRenderedPageBreak/>
        <w:drawing>
          <wp:inline distT="0" distB="0" distL="0" distR="0" wp14:anchorId="3BB47B47" wp14:editId="296DAC5A">
            <wp:extent cx="5930900" cy="557530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social media pos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30900" cy="5575300"/>
                    </a:xfrm>
                    <a:prstGeom prst="rect">
                      <a:avLst/>
                    </a:prstGeom>
                  </pic:spPr>
                </pic:pic>
              </a:graphicData>
            </a:graphic>
          </wp:inline>
        </w:drawing>
      </w:r>
    </w:p>
    <w:p w14:paraId="40D56C0F" w14:textId="67983C46" w:rsidR="005553F6" w:rsidRDefault="00107001" w:rsidP="005553F6">
      <w:pPr>
        <w:jc w:val="center"/>
        <w:rPr>
          <w:b/>
          <w:bCs/>
        </w:rPr>
      </w:pPr>
      <w:r>
        <w:rPr>
          <w:b/>
          <w:bCs/>
          <w:noProof/>
        </w:rPr>
        <w:drawing>
          <wp:inline distT="0" distB="0" distL="0" distR="0" wp14:anchorId="0D38A996" wp14:editId="40C25891">
            <wp:extent cx="5943600" cy="2554605"/>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social media pos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p>
    <w:p w14:paraId="564D486F" w14:textId="6DE09F97" w:rsidR="00B3300C" w:rsidRDefault="00B3300C" w:rsidP="005553F6">
      <w:pPr>
        <w:jc w:val="center"/>
        <w:rPr>
          <w:b/>
          <w:bCs/>
        </w:rPr>
      </w:pPr>
    </w:p>
    <w:p w14:paraId="5D5758D1" w14:textId="491E2F69" w:rsidR="00B3300C" w:rsidRDefault="00B3300C" w:rsidP="005553F6">
      <w:pPr>
        <w:jc w:val="center"/>
        <w:rPr>
          <w:b/>
          <w:bCs/>
          <w:sz w:val="36"/>
          <w:szCs w:val="36"/>
        </w:rPr>
      </w:pPr>
      <w:r w:rsidRPr="00B3300C">
        <w:rPr>
          <w:b/>
          <w:bCs/>
          <w:sz w:val="36"/>
          <w:szCs w:val="36"/>
        </w:rPr>
        <w:t>Group D</w:t>
      </w:r>
    </w:p>
    <w:p w14:paraId="260DB84F" w14:textId="29E6352B" w:rsidR="00A912FE" w:rsidRDefault="00B73608" w:rsidP="00A912FE">
      <w:r>
        <w:t>A</w:t>
      </w:r>
      <w:r w:rsidR="000D3D22">
        <w:t xml:space="preserve"> small Standard Error</w:t>
      </w:r>
      <w:r w:rsidR="00380BA9">
        <w:t xml:space="preserve"> (SE)</w:t>
      </w:r>
      <w:r w:rsidR="000D3D22">
        <w:t xml:space="preserve"> indicates the sample mean is a more accurate representation of the actual population mean. Additionally, a larger sample size will result in a smaller SE</w:t>
      </w:r>
      <w:r w:rsidR="00A1042B">
        <w:t xml:space="preserve"> as the statistic approaches the </w:t>
      </w:r>
      <w:r w:rsidR="00F05482">
        <w:t>actual value</w:t>
      </w:r>
      <w:r w:rsidR="000D3D22">
        <w:t xml:space="preserve">, which we can see in the results shown below. </w:t>
      </w:r>
      <w:r w:rsidR="00380BA9">
        <w:t xml:space="preserve">This observation (larger sample size leads to smaller SE) </w:t>
      </w:r>
      <w:r w:rsidR="000D3D22">
        <w:t xml:space="preserve">generally correlates </w:t>
      </w:r>
      <w:r w:rsidR="00380BA9">
        <w:t>with</w:t>
      </w:r>
      <w:r w:rsidR="000D3D22">
        <w:t xml:space="preserve"> the </w:t>
      </w:r>
      <w:r w:rsidR="00380BA9">
        <w:t>higher rates of</w:t>
      </w:r>
      <w:r w:rsidR="000D3D22">
        <w:t xml:space="preserve"> convergence we saw in Group </w:t>
      </w:r>
      <w:r w:rsidR="00380BA9">
        <w:t>C when the</w:t>
      </w:r>
      <w:r w:rsidR="000D3D22">
        <w:t xml:space="preserve"> sample sizes increased. </w:t>
      </w:r>
    </w:p>
    <w:p w14:paraId="66CB951A" w14:textId="2B23F27E" w:rsidR="00BC1702" w:rsidRDefault="00BC1702" w:rsidP="00A912FE"/>
    <w:p w14:paraId="3E83C22B" w14:textId="12FA7E23" w:rsidR="002955D4" w:rsidRDefault="00BC1702" w:rsidP="00A912FE">
      <w:r>
        <w:t xml:space="preserve">Additionally, we also know that Standard Deviation (SD) is a measure of </w:t>
      </w:r>
      <w:r w:rsidR="00A1042B">
        <w:t>data dispersion</w:t>
      </w:r>
      <w:r>
        <w:t xml:space="preserve">. </w:t>
      </w:r>
      <w:r w:rsidR="002663AF">
        <w:t>T</w:t>
      </w:r>
      <w:r>
        <w:t xml:space="preserve">he results suggest the data </w:t>
      </w:r>
      <w:r w:rsidR="00B73608">
        <w:t>has relatively high dispersion rates</w:t>
      </w:r>
      <w:r w:rsidR="006A5700">
        <w:t xml:space="preserve"> and is particularly unstable when the number of </w:t>
      </w:r>
      <w:r w:rsidR="006C3F4D">
        <w:t>simulations</w:t>
      </w:r>
      <w:r w:rsidR="006A5700">
        <w:t xml:space="preserve"> is small</w:t>
      </w:r>
      <w:r>
        <w:t>.</w:t>
      </w:r>
      <w:r w:rsidR="00E30044">
        <w:t xml:space="preserve"> </w:t>
      </w:r>
      <w:r w:rsidR="002663AF">
        <w:t>T</w:t>
      </w:r>
      <w:r w:rsidR="00E30044">
        <w:t>he prices in Group C showed higher rates of convergence when the number of intervals and simulations grew larger</w:t>
      </w:r>
      <w:r w:rsidR="002663AF">
        <w:t xml:space="preserve">, </w:t>
      </w:r>
      <w:r w:rsidR="00E30044">
        <w:t xml:space="preserve">and we see this same pattern in </w:t>
      </w:r>
      <w:r w:rsidR="00745E2C">
        <w:t>SD</w:t>
      </w:r>
      <w:r w:rsidR="00E30044">
        <w:t>.</w:t>
      </w:r>
      <w:r w:rsidR="00C17388">
        <w:t xml:space="preserve"> This pattern tends to occur when the number of intervals is 500+ and the number of simulations is 1M+.</w:t>
      </w:r>
      <w:r w:rsidR="006C3F4D">
        <w:t xml:space="preserve"> Notably, the results for all sizes of intervals tended to stabilize when the number of simulations grew large enough </w:t>
      </w:r>
      <w:r w:rsidR="002955D4">
        <w:t xml:space="preserve">because </w:t>
      </w:r>
      <w:r w:rsidR="006C3F4D">
        <w:t>it</w:t>
      </w:r>
      <w:r w:rsidR="002955D4">
        <w:t xml:space="preserve"> is no longer subject to </w:t>
      </w:r>
      <w:r w:rsidR="002663AF">
        <w:t xml:space="preserve">the </w:t>
      </w:r>
      <w:r w:rsidR="002955D4">
        <w:t xml:space="preserve">volatility of </w:t>
      </w:r>
      <w:r w:rsidR="002663AF">
        <w:t xml:space="preserve">a </w:t>
      </w:r>
      <w:r w:rsidR="002955D4">
        <w:t>small samples</w:t>
      </w:r>
      <w:r w:rsidR="002663AF">
        <w:t xml:space="preserve"> size.</w:t>
      </w:r>
      <w:r w:rsidR="002955D4">
        <w:t xml:space="preserve"> </w:t>
      </w:r>
    </w:p>
    <w:p w14:paraId="657D6DBB" w14:textId="77777777" w:rsidR="002955D4" w:rsidRDefault="002955D4" w:rsidP="00A912FE"/>
    <w:p w14:paraId="1D1AA2C5" w14:textId="1237F3EA" w:rsidR="00BC1702" w:rsidRDefault="002955D4" w:rsidP="00A912FE">
      <w:r>
        <w:t>Given this stabilization and the small SE, w</w:t>
      </w:r>
      <w:r w:rsidR="00F05482">
        <w:t xml:space="preserve">e can begin to interpret </w:t>
      </w:r>
      <w:r>
        <w:t>the results</w:t>
      </w:r>
      <w:r w:rsidR="00F05482">
        <w:t xml:space="preserve"> as the actual dispersion around the true mean. </w:t>
      </w:r>
      <w:r w:rsidR="00274495">
        <w:t>Thus,</w:t>
      </w:r>
      <w:r w:rsidR="009E0262">
        <w:t xml:space="preserve"> </w:t>
      </w:r>
      <w:r w:rsidR="00274495">
        <w:t>the MC method has relatively high rates of dispersio</w:t>
      </w:r>
      <w:r w:rsidR="00B73608">
        <w:t>n</w:t>
      </w:r>
      <w:r>
        <w:t xml:space="preserve">, but we </w:t>
      </w:r>
      <w:r w:rsidR="00274495">
        <w:t xml:space="preserve">can gain more </w:t>
      </w:r>
      <w:r w:rsidR="008B34B2">
        <w:t>confidence in the accuracy of our</w:t>
      </w:r>
      <w:r w:rsidR="00274495">
        <w:t xml:space="preserve"> results </w:t>
      </w:r>
      <w:r w:rsidR="009E0262">
        <w:t xml:space="preserve">with </w:t>
      </w:r>
      <w:r w:rsidR="00274495">
        <w:t xml:space="preserve">larger </w:t>
      </w:r>
      <w:r w:rsidR="009E0262">
        <w:t>values</w:t>
      </w:r>
      <w:r w:rsidR="00274495">
        <w:t xml:space="preserve"> </w:t>
      </w:r>
      <w:r>
        <w:t xml:space="preserve">because </w:t>
      </w:r>
      <w:r w:rsidR="008B34B2">
        <w:t xml:space="preserve">we eliminate the volatility associated with </w:t>
      </w:r>
      <w:r>
        <w:t>small samples.</w:t>
      </w:r>
    </w:p>
    <w:p w14:paraId="351A3117" w14:textId="48DA1440" w:rsidR="00EC247F" w:rsidRDefault="00EC247F" w:rsidP="00A912FE"/>
    <w:p w14:paraId="7147AD5E" w14:textId="43E06287" w:rsidR="00EC247F" w:rsidRDefault="00EC247F" w:rsidP="00A912FE">
      <w:r>
        <w:rPr>
          <w:noProof/>
        </w:rPr>
        <w:lastRenderedPageBreak/>
        <w:drawing>
          <wp:inline distT="0" distB="0" distL="0" distR="0" wp14:anchorId="15B55211" wp14:editId="766239A3">
            <wp:extent cx="5918200" cy="519430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18200" cy="5194300"/>
                    </a:xfrm>
                    <a:prstGeom prst="rect">
                      <a:avLst/>
                    </a:prstGeom>
                  </pic:spPr>
                </pic:pic>
              </a:graphicData>
            </a:graphic>
          </wp:inline>
        </w:drawing>
      </w:r>
      <w:r>
        <w:rPr>
          <w:noProof/>
        </w:rPr>
        <w:lastRenderedPageBreak/>
        <w:drawing>
          <wp:inline distT="0" distB="0" distL="0" distR="0" wp14:anchorId="60EA2171" wp14:editId="18E639DB">
            <wp:extent cx="5918200" cy="496570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18200" cy="4965700"/>
                    </a:xfrm>
                    <a:prstGeom prst="rect">
                      <a:avLst/>
                    </a:prstGeom>
                  </pic:spPr>
                </pic:pic>
              </a:graphicData>
            </a:graphic>
          </wp:inline>
        </w:drawing>
      </w:r>
    </w:p>
    <w:p w14:paraId="1230B2DB" w14:textId="714A3EEB" w:rsidR="000A1D9D" w:rsidRDefault="000A1D9D" w:rsidP="00A912FE"/>
    <w:p w14:paraId="24D3D0EA" w14:textId="0E30820F" w:rsidR="000A1D9D" w:rsidRDefault="000A1D9D" w:rsidP="000A1D9D">
      <w:pPr>
        <w:jc w:val="center"/>
        <w:rPr>
          <w:b/>
          <w:bCs/>
          <w:sz w:val="36"/>
          <w:szCs w:val="36"/>
        </w:rPr>
      </w:pPr>
      <w:r w:rsidRPr="00B3300C">
        <w:rPr>
          <w:b/>
          <w:bCs/>
          <w:sz w:val="36"/>
          <w:szCs w:val="36"/>
        </w:rPr>
        <w:t xml:space="preserve">Group </w:t>
      </w:r>
      <w:r>
        <w:rPr>
          <w:b/>
          <w:bCs/>
          <w:sz w:val="36"/>
          <w:szCs w:val="36"/>
        </w:rPr>
        <w:t>E</w:t>
      </w:r>
    </w:p>
    <w:p w14:paraId="485CA286" w14:textId="7AB85D75" w:rsidR="000A1D9D" w:rsidRDefault="000A1D9D" w:rsidP="00A912FE">
      <w:r>
        <w:t>Please see the excel file titled “Group E – Excel Visualization” included in the</w:t>
      </w:r>
      <w:r w:rsidR="00610E64">
        <w:t xml:space="preserve"> submission folder</w:t>
      </w:r>
      <w:r>
        <w:t>. I also include a screen shot below as a sample of the output.</w:t>
      </w:r>
    </w:p>
    <w:p w14:paraId="2E2E0E8F" w14:textId="37F160B6" w:rsidR="000A1D9D" w:rsidRDefault="000A1D9D" w:rsidP="00A912FE"/>
    <w:p w14:paraId="4217FB03" w14:textId="1B146CED" w:rsidR="000A1D9D" w:rsidRDefault="008F30B4" w:rsidP="00A912FE">
      <w:r>
        <w:rPr>
          <w:noProof/>
        </w:rPr>
        <w:lastRenderedPageBreak/>
        <w:drawing>
          <wp:inline distT="0" distB="0" distL="0" distR="0" wp14:anchorId="79A37C56" wp14:editId="7D80CC59">
            <wp:extent cx="5943600" cy="4166870"/>
            <wp:effectExtent l="0" t="0" r="0" b="0"/>
            <wp:docPr id="28" name="Picture 28" descr="A picture containing kitch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kitchen,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166870"/>
                    </a:xfrm>
                    <a:prstGeom prst="rect">
                      <a:avLst/>
                    </a:prstGeom>
                  </pic:spPr>
                </pic:pic>
              </a:graphicData>
            </a:graphic>
          </wp:inline>
        </w:drawing>
      </w:r>
    </w:p>
    <w:p w14:paraId="14AE801C" w14:textId="057564AD" w:rsidR="000A1D9D" w:rsidRDefault="000A1D9D" w:rsidP="00A912FE"/>
    <w:p w14:paraId="03A404A9" w14:textId="086E2E70" w:rsidR="000A1D9D" w:rsidRDefault="000A1D9D" w:rsidP="00A912FE"/>
    <w:p w14:paraId="1BAF5DB2" w14:textId="675DE2BB" w:rsidR="00011CE8" w:rsidRDefault="00011CE8" w:rsidP="00011CE8">
      <w:pPr>
        <w:jc w:val="center"/>
        <w:rPr>
          <w:b/>
          <w:bCs/>
          <w:sz w:val="36"/>
          <w:szCs w:val="36"/>
        </w:rPr>
      </w:pPr>
      <w:r w:rsidRPr="00B3300C">
        <w:rPr>
          <w:b/>
          <w:bCs/>
          <w:sz w:val="36"/>
          <w:szCs w:val="36"/>
        </w:rPr>
        <w:t xml:space="preserve">Group </w:t>
      </w:r>
      <w:r>
        <w:rPr>
          <w:b/>
          <w:bCs/>
          <w:sz w:val="36"/>
          <w:szCs w:val="36"/>
        </w:rPr>
        <w:t>F</w:t>
      </w:r>
    </w:p>
    <w:p w14:paraId="05F824FB" w14:textId="221813E3" w:rsidR="00011CE8" w:rsidRDefault="00431733" w:rsidP="00A912FE">
      <w:r>
        <w:t>As we know from the experiments in Group C and D, the Monte Carlo method can</w:t>
      </w:r>
      <w:r w:rsidR="00C314A5">
        <w:t xml:space="preserve"> have bad time complexity</w:t>
      </w:r>
      <w:r>
        <w:t xml:space="preserve">. </w:t>
      </w:r>
      <w:r w:rsidR="00325F41">
        <w:t>T</w:t>
      </w:r>
      <w:r>
        <w:t xml:space="preserve">he FDM approach </w:t>
      </w:r>
      <w:r w:rsidR="00E57330">
        <w:t xml:space="preserve">is </w:t>
      </w:r>
      <w:r w:rsidR="00325F41">
        <w:t xml:space="preserve">significantly more </w:t>
      </w:r>
      <w:r>
        <w:t xml:space="preserve">efficient in time complexity. </w:t>
      </w:r>
      <w:r w:rsidR="00AA72BC">
        <w:t>In some situations, the</w:t>
      </w:r>
      <w:r>
        <w:t xml:space="preserve"> FDM </w:t>
      </w:r>
      <w:r w:rsidR="00E57330">
        <w:t>scheme</w:t>
      </w:r>
      <w:r>
        <w:t xml:space="preserve"> </w:t>
      </w:r>
      <w:r w:rsidR="00AA72BC">
        <w:t xml:space="preserve">may prove to be </w:t>
      </w:r>
      <w:r w:rsidR="00E57330">
        <w:t xml:space="preserve">a superior solution for </w:t>
      </w:r>
      <w:r>
        <w:t>the high performant situations</w:t>
      </w:r>
      <w:r w:rsidR="00AA72BC">
        <w:t xml:space="preserve">, such as those mentioned </w:t>
      </w:r>
      <w:r>
        <w:t>for Group</w:t>
      </w:r>
      <w:r w:rsidR="00AA72BC">
        <w:t>s</w:t>
      </w:r>
      <w:r>
        <w:t xml:space="preserve"> C and D.</w:t>
      </w:r>
    </w:p>
    <w:p w14:paraId="480594E3" w14:textId="192DB4E4" w:rsidR="00431733" w:rsidRDefault="00431733" w:rsidP="00A912FE"/>
    <w:p w14:paraId="4AF18610" w14:textId="5234FB8D" w:rsidR="00440A0D" w:rsidRDefault="00AA72BC" w:rsidP="00A912FE">
      <w:r>
        <w:t>The</w:t>
      </w:r>
      <w:r w:rsidR="00431733">
        <w:t xml:space="preserve"> FDM method</w:t>
      </w:r>
      <w:r>
        <w:t xml:space="preserve"> also</w:t>
      </w:r>
      <w:r w:rsidR="00431733">
        <w:t xml:space="preserve"> showed significantly faster convergence</w:t>
      </w:r>
      <w:r w:rsidR="00DA3CE3">
        <w:t xml:space="preserve"> than the MC method.</w:t>
      </w:r>
      <w:r w:rsidR="00440A0D">
        <w:t xml:space="preserve"> To highlight this, I included a comparison of the FDM</w:t>
      </w:r>
      <w:r w:rsidR="00E57330">
        <w:t xml:space="preserve"> results</w:t>
      </w:r>
      <w:r w:rsidR="00440A0D">
        <w:t xml:space="preserve"> with </w:t>
      </w:r>
      <w:r w:rsidR="00E57330">
        <w:t xml:space="preserve">sample results from </w:t>
      </w:r>
      <w:r w:rsidR="00440A0D">
        <w:t>the MC method</w:t>
      </w:r>
      <w:r w:rsidR="00DA3CE3">
        <w:t xml:space="preserve"> </w:t>
      </w:r>
      <w:r w:rsidR="00440A0D">
        <w:t xml:space="preserve">in the charts below. In all cases, the FDM scheme showed significantly </w:t>
      </w:r>
      <w:r w:rsidR="00E57330">
        <w:t>faster</w:t>
      </w:r>
      <w:r w:rsidR="00440A0D">
        <w:t xml:space="preserve"> rates of convergence. </w:t>
      </w:r>
    </w:p>
    <w:p w14:paraId="56491DF1" w14:textId="77777777" w:rsidR="00440A0D" w:rsidRDefault="00440A0D" w:rsidP="00A912FE"/>
    <w:p w14:paraId="682A7A90" w14:textId="1D3078BD" w:rsidR="0003376A" w:rsidRDefault="00DA3CE3" w:rsidP="00A912FE">
      <w:r>
        <w:t xml:space="preserve">However, the FDM </w:t>
      </w:r>
      <w:r w:rsidR="00440A0D">
        <w:t>scheme</w:t>
      </w:r>
      <w:r>
        <w:t xml:space="preserve"> was incredibly unstable at small values of N. To see the full range of values, please see the FDM specific files included in the </w:t>
      </w:r>
      <w:r w:rsidR="00E57330">
        <w:t>submission folder</w:t>
      </w:r>
      <w:r>
        <w:t xml:space="preserve">. In those files, </w:t>
      </w:r>
      <w:r w:rsidR="00AA72BC">
        <w:t>one can</w:t>
      </w:r>
      <w:r>
        <w:t xml:space="preserve"> </w:t>
      </w:r>
      <w:r w:rsidR="00AA72BC">
        <w:t xml:space="preserve">visualize </w:t>
      </w:r>
      <w:r>
        <w:t>how unstable the FDM scheme can be.</w:t>
      </w:r>
      <w:r w:rsidR="00D3477F">
        <w:t xml:space="preserve"> </w:t>
      </w:r>
      <w:r w:rsidR="00AA72BC">
        <w:t>Owing to this shortcoming, it is important</w:t>
      </w:r>
      <w:r w:rsidR="00D3477F">
        <w:t xml:space="preserve"> to bound the FDM scheme with properties that prevent input data that cause instability. In this case, we </w:t>
      </w:r>
      <w:r w:rsidR="00994E75">
        <w:t>should</w:t>
      </w:r>
      <w:r w:rsidR="00D3477F">
        <w:t xml:space="preserve"> restrict the size</w:t>
      </w:r>
      <w:r w:rsidR="00B529CB">
        <w:t xml:space="preserve"> to N</w:t>
      </w:r>
      <w:r w:rsidR="001B6EDD">
        <w:t xml:space="preserve"> &gt;= </w:t>
      </w:r>
      <w:r w:rsidR="00B529CB">
        <w:t>10,000 (or N</w:t>
      </w:r>
      <w:r w:rsidR="001B6EDD">
        <w:t xml:space="preserve"> &gt;= </w:t>
      </w:r>
      <w:r w:rsidR="00B529CB">
        <w:t xml:space="preserve">1M for Batch 4 given the longer time to maturity). </w:t>
      </w:r>
      <w:r w:rsidR="0003376A">
        <w:t>With the FDM, we no longer have to solve the matrix system, but the step sizes and time intervals must be very small.</w:t>
      </w:r>
    </w:p>
    <w:p w14:paraId="435E8BE1" w14:textId="6F9127C7" w:rsidR="00966FD8" w:rsidRDefault="00966FD8" w:rsidP="00A912FE"/>
    <w:p w14:paraId="2DD6E208" w14:textId="56FEC1F9" w:rsidR="00D3477F" w:rsidRDefault="00021381" w:rsidP="00A912FE">
      <w:r>
        <w:lastRenderedPageBreak/>
        <w:t>Both the MC and FDM schemes converged, in nearly all cases, to two places behind the decimal</w:t>
      </w:r>
      <w:r w:rsidR="003E6D26">
        <w:t xml:space="preserve"> when compared to the exact solutions</w:t>
      </w:r>
      <w:r>
        <w:t xml:space="preserve">. Batch 4 was the only exception, which is in part due to the long time to maturity. </w:t>
      </w:r>
    </w:p>
    <w:p w14:paraId="44D9C7DA" w14:textId="71D4DB45" w:rsidR="00D3477F" w:rsidRDefault="00D3477F" w:rsidP="00A912FE"/>
    <w:p w14:paraId="2EAFF69A" w14:textId="29EBFC67" w:rsidR="00021381" w:rsidRDefault="00AA72BC" w:rsidP="00A912FE">
      <w:r>
        <w:t>When these various factors are taken in combination and context</w:t>
      </w:r>
      <w:r w:rsidR="00021381">
        <w:t xml:space="preserve">, </w:t>
      </w:r>
      <w:r w:rsidR="00994E75">
        <w:t xml:space="preserve">it </w:t>
      </w:r>
      <w:r w:rsidR="00021381">
        <w:t xml:space="preserve">seems clear that the FDM scheme </w:t>
      </w:r>
      <w:r>
        <w:t xml:space="preserve">may be </w:t>
      </w:r>
      <w:r w:rsidR="00021381">
        <w:t>the preferred approach</w:t>
      </w:r>
      <w:r w:rsidR="00994E75">
        <w:t xml:space="preserve"> as long as </w:t>
      </w:r>
      <w:r>
        <w:t>additional efforts are taken</w:t>
      </w:r>
      <w:r w:rsidR="00994E75">
        <w:t xml:space="preserve"> to ensure stability and accuracy (e.g. small error).</w:t>
      </w:r>
      <w:r>
        <w:t xml:space="preserve">  </w:t>
      </w:r>
    </w:p>
    <w:p w14:paraId="0EA2CFB7" w14:textId="77777777" w:rsidR="00994E75" w:rsidRDefault="00994E75" w:rsidP="00A912FE"/>
    <w:p w14:paraId="4D173C4C" w14:textId="6EA3888F" w:rsidR="00966FD8" w:rsidRPr="00A912FE" w:rsidRDefault="00693124" w:rsidP="00A912FE">
      <w:r>
        <w:rPr>
          <w:noProof/>
        </w:rPr>
        <w:drawing>
          <wp:inline distT="0" distB="0" distL="0" distR="0" wp14:anchorId="12BAC2AC" wp14:editId="5F5869CD">
            <wp:extent cx="5930900" cy="4787900"/>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social media pos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30900" cy="4787900"/>
                    </a:xfrm>
                    <a:prstGeom prst="rect">
                      <a:avLst/>
                    </a:prstGeom>
                  </pic:spPr>
                </pic:pic>
              </a:graphicData>
            </a:graphic>
          </wp:inline>
        </w:drawing>
      </w:r>
    </w:p>
    <w:sectPr w:rsidR="00966FD8" w:rsidRPr="00A912FE" w:rsidSect="00672F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03080B"/>
    <w:multiLevelType w:val="hybridMultilevel"/>
    <w:tmpl w:val="A412D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648"/>
    <w:rsid w:val="00005215"/>
    <w:rsid w:val="00011CE8"/>
    <w:rsid w:val="00021381"/>
    <w:rsid w:val="0003376A"/>
    <w:rsid w:val="00034482"/>
    <w:rsid w:val="00036D1E"/>
    <w:rsid w:val="00042E29"/>
    <w:rsid w:val="000856C4"/>
    <w:rsid w:val="000A1D9D"/>
    <w:rsid w:val="000B6F06"/>
    <w:rsid w:val="000D3D22"/>
    <w:rsid w:val="000E32F7"/>
    <w:rsid w:val="0010173E"/>
    <w:rsid w:val="00106E5C"/>
    <w:rsid w:val="00107001"/>
    <w:rsid w:val="00133CE0"/>
    <w:rsid w:val="00145FE1"/>
    <w:rsid w:val="00157B85"/>
    <w:rsid w:val="00171BAA"/>
    <w:rsid w:val="001B6EDD"/>
    <w:rsid w:val="001C12A0"/>
    <w:rsid w:val="001D6141"/>
    <w:rsid w:val="00214014"/>
    <w:rsid w:val="00224128"/>
    <w:rsid w:val="00227AAB"/>
    <w:rsid w:val="0024031B"/>
    <w:rsid w:val="00247214"/>
    <w:rsid w:val="00251352"/>
    <w:rsid w:val="002663AF"/>
    <w:rsid w:val="00274495"/>
    <w:rsid w:val="002955D4"/>
    <w:rsid w:val="00295637"/>
    <w:rsid w:val="002B572E"/>
    <w:rsid w:val="002C5381"/>
    <w:rsid w:val="002E70F2"/>
    <w:rsid w:val="002F7AD7"/>
    <w:rsid w:val="0030070F"/>
    <w:rsid w:val="00325F41"/>
    <w:rsid w:val="00380BA9"/>
    <w:rsid w:val="00383A9E"/>
    <w:rsid w:val="00396379"/>
    <w:rsid w:val="003A066C"/>
    <w:rsid w:val="003A500F"/>
    <w:rsid w:val="003D5615"/>
    <w:rsid w:val="003E6D26"/>
    <w:rsid w:val="003F2D9E"/>
    <w:rsid w:val="00410120"/>
    <w:rsid w:val="004159C4"/>
    <w:rsid w:val="00426AE2"/>
    <w:rsid w:val="00431733"/>
    <w:rsid w:val="00440A0D"/>
    <w:rsid w:val="00447E01"/>
    <w:rsid w:val="004668C2"/>
    <w:rsid w:val="004942C8"/>
    <w:rsid w:val="004E1EA6"/>
    <w:rsid w:val="004E3069"/>
    <w:rsid w:val="005008F3"/>
    <w:rsid w:val="005224E8"/>
    <w:rsid w:val="00522822"/>
    <w:rsid w:val="00535363"/>
    <w:rsid w:val="005373C7"/>
    <w:rsid w:val="0054207A"/>
    <w:rsid w:val="0055444C"/>
    <w:rsid w:val="005553F6"/>
    <w:rsid w:val="00555FFE"/>
    <w:rsid w:val="00557EE9"/>
    <w:rsid w:val="00561AB2"/>
    <w:rsid w:val="00562832"/>
    <w:rsid w:val="00567073"/>
    <w:rsid w:val="00571E54"/>
    <w:rsid w:val="00582BD3"/>
    <w:rsid w:val="005A7648"/>
    <w:rsid w:val="005B2584"/>
    <w:rsid w:val="005B6884"/>
    <w:rsid w:val="00610E64"/>
    <w:rsid w:val="00652E44"/>
    <w:rsid w:val="00663CE1"/>
    <w:rsid w:val="00672F76"/>
    <w:rsid w:val="00693124"/>
    <w:rsid w:val="006968F5"/>
    <w:rsid w:val="006A37FC"/>
    <w:rsid w:val="006A5700"/>
    <w:rsid w:val="006A6D49"/>
    <w:rsid w:val="006C34B5"/>
    <w:rsid w:val="006C3F4D"/>
    <w:rsid w:val="006D02F8"/>
    <w:rsid w:val="006F177F"/>
    <w:rsid w:val="00717CAE"/>
    <w:rsid w:val="00725C89"/>
    <w:rsid w:val="00730F89"/>
    <w:rsid w:val="00731ECE"/>
    <w:rsid w:val="00736C04"/>
    <w:rsid w:val="00745E2C"/>
    <w:rsid w:val="007832CD"/>
    <w:rsid w:val="007B3E74"/>
    <w:rsid w:val="007C3EE5"/>
    <w:rsid w:val="007D2DF7"/>
    <w:rsid w:val="007F0F7E"/>
    <w:rsid w:val="007F2EE2"/>
    <w:rsid w:val="008269E4"/>
    <w:rsid w:val="00863336"/>
    <w:rsid w:val="0087588A"/>
    <w:rsid w:val="00891A4C"/>
    <w:rsid w:val="008B34B2"/>
    <w:rsid w:val="008E40B2"/>
    <w:rsid w:val="008F28D5"/>
    <w:rsid w:val="008F30B4"/>
    <w:rsid w:val="008F65C9"/>
    <w:rsid w:val="00904DD0"/>
    <w:rsid w:val="00927C90"/>
    <w:rsid w:val="009413E6"/>
    <w:rsid w:val="00946247"/>
    <w:rsid w:val="00955B76"/>
    <w:rsid w:val="0096121A"/>
    <w:rsid w:val="00966FD8"/>
    <w:rsid w:val="009743E0"/>
    <w:rsid w:val="00994E75"/>
    <w:rsid w:val="009B3354"/>
    <w:rsid w:val="009E0262"/>
    <w:rsid w:val="009E6404"/>
    <w:rsid w:val="009E7A99"/>
    <w:rsid w:val="00A04541"/>
    <w:rsid w:val="00A1042B"/>
    <w:rsid w:val="00A12219"/>
    <w:rsid w:val="00A66C15"/>
    <w:rsid w:val="00A825A0"/>
    <w:rsid w:val="00A912FE"/>
    <w:rsid w:val="00A96465"/>
    <w:rsid w:val="00AA1330"/>
    <w:rsid w:val="00AA72BC"/>
    <w:rsid w:val="00AC337D"/>
    <w:rsid w:val="00B22105"/>
    <w:rsid w:val="00B3300C"/>
    <w:rsid w:val="00B35968"/>
    <w:rsid w:val="00B529CB"/>
    <w:rsid w:val="00B67705"/>
    <w:rsid w:val="00B70415"/>
    <w:rsid w:val="00B734D7"/>
    <w:rsid w:val="00B73608"/>
    <w:rsid w:val="00BA7F7E"/>
    <w:rsid w:val="00BC1702"/>
    <w:rsid w:val="00BC1BD2"/>
    <w:rsid w:val="00BE6F61"/>
    <w:rsid w:val="00C17388"/>
    <w:rsid w:val="00C24DC7"/>
    <w:rsid w:val="00C314A5"/>
    <w:rsid w:val="00C3262C"/>
    <w:rsid w:val="00C4005B"/>
    <w:rsid w:val="00C42641"/>
    <w:rsid w:val="00C4436D"/>
    <w:rsid w:val="00C86272"/>
    <w:rsid w:val="00C91EE6"/>
    <w:rsid w:val="00C929D2"/>
    <w:rsid w:val="00CC1DF4"/>
    <w:rsid w:val="00CF1AB5"/>
    <w:rsid w:val="00CF5E3F"/>
    <w:rsid w:val="00D0135F"/>
    <w:rsid w:val="00D3477F"/>
    <w:rsid w:val="00D83838"/>
    <w:rsid w:val="00D8405A"/>
    <w:rsid w:val="00DA3CE3"/>
    <w:rsid w:val="00DA7D26"/>
    <w:rsid w:val="00E13CED"/>
    <w:rsid w:val="00E235C9"/>
    <w:rsid w:val="00E30044"/>
    <w:rsid w:val="00E52947"/>
    <w:rsid w:val="00E57330"/>
    <w:rsid w:val="00E900B4"/>
    <w:rsid w:val="00E932F4"/>
    <w:rsid w:val="00EA5699"/>
    <w:rsid w:val="00EB7E30"/>
    <w:rsid w:val="00EC247F"/>
    <w:rsid w:val="00EE25E2"/>
    <w:rsid w:val="00F05482"/>
    <w:rsid w:val="00F20B33"/>
    <w:rsid w:val="00F531BC"/>
    <w:rsid w:val="00F5720A"/>
    <w:rsid w:val="00F810F0"/>
    <w:rsid w:val="00FA50FD"/>
    <w:rsid w:val="00FE794C"/>
    <w:rsid w:val="00FF5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34D69"/>
  <w15:chartTrackingRefBased/>
  <w15:docId w15:val="{B06CBBEE-0D56-0E47-A050-30031E827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F6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76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25F41"/>
    <w:rPr>
      <w:rFonts w:eastAsiaTheme="minorHAnsi"/>
      <w:sz w:val="18"/>
      <w:szCs w:val="18"/>
    </w:rPr>
  </w:style>
  <w:style w:type="character" w:customStyle="1" w:styleId="BalloonTextChar">
    <w:name w:val="Balloon Text Char"/>
    <w:basedOn w:val="DefaultParagraphFont"/>
    <w:link w:val="BalloonText"/>
    <w:uiPriority w:val="99"/>
    <w:semiHidden/>
    <w:rsid w:val="00325F41"/>
    <w:rPr>
      <w:rFonts w:ascii="Times New Roman" w:hAnsi="Times New Roman" w:cs="Times New Roman"/>
      <w:sz w:val="18"/>
      <w:szCs w:val="18"/>
    </w:rPr>
  </w:style>
  <w:style w:type="paragraph" w:styleId="ListParagraph">
    <w:name w:val="List Paragraph"/>
    <w:basedOn w:val="Normal"/>
    <w:uiPriority w:val="34"/>
    <w:qFormat/>
    <w:rsid w:val="00426AE2"/>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562832"/>
    <w:pPr>
      <w:spacing w:before="100" w:beforeAutospacing="1" w:after="100" w:afterAutospacing="1"/>
    </w:pPr>
  </w:style>
  <w:style w:type="character" w:styleId="Strong">
    <w:name w:val="Strong"/>
    <w:basedOn w:val="DefaultParagraphFont"/>
    <w:uiPriority w:val="22"/>
    <w:qFormat/>
    <w:rsid w:val="005628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260011">
      <w:bodyDiv w:val="1"/>
      <w:marLeft w:val="0"/>
      <w:marRight w:val="0"/>
      <w:marTop w:val="0"/>
      <w:marBottom w:val="0"/>
      <w:divBdr>
        <w:top w:val="none" w:sz="0" w:space="0" w:color="auto"/>
        <w:left w:val="none" w:sz="0" w:space="0" w:color="auto"/>
        <w:bottom w:val="none" w:sz="0" w:space="0" w:color="auto"/>
        <w:right w:val="none" w:sz="0" w:space="0" w:color="auto"/>
      </w:divBdr>
    </w:div>
    <w:div w:id="498499512">
      <w:bodyDiv w:val="1"/>
      <w:marLeft w:val="0"/>
      <w:marRight w:val="0"/>
      <w:marTop w:val="0"/>
      <w:marBottom w:val="0"/>
      <w:divBdr>
        <w:top w:val="none" w:sz="0" w:space="0" w:color="auto"/>
        <w:left w:val="none" w:sz="0" w:space="0" w:color="auto"/>
        <w:bottom w:val="none" w:sz="0" w:space="0" w:color="auto"/>
        <w:right w:val="none" w:sz="0" w:space="0" w:color="auto"/>
      </w:divBdr>
    </w:div>
    <w:div w:id="717895341">
      <w:bodyDiv w:val="1"/>
      <w:marLeft w:val="0"/>
      <w:marRight w:val="0"/>
      <w:marTop w:val="0"/>
      <w:marBottom w:val="0"/>
      <w:divBdr>
        <w:top w:val="none" w:sz="0" w:space="0" w:color="auto"/>
        <w:left w:val="none" w:sz="0" w:space="0" w:color="auto"/>
        <w:bottom w:val="none" w:sz="0" w:space="0" w:color="auto"/>
        <w:right w:val="none" w:sz="0" w:space="0" w:color="auto"/>
      </w:divBdr>
    </w:div>
    <w:div w:id="800924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TotalTime>
  <Pages>14</Pages>
  <Words>2613</Words>
  <Characters>14895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156</cp:revision>
  <dcterms:created xsi:type="dcterms:W3CDTF">2020-08-15T13:32:00Z</dcterms:created>
  <dcterms:modified xsi:type="dcterms:W3CDTF">2020-08-21T21:34:00Z</dcterms:modified>
</cp:coreProperties>
</file>