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/>
          <w:i w:val="0"/>
          <w:color w:val="000000"/>
          <w:sz w:val="30"/>
        </w:rPr>
        <w:t>MARK JOSLIN</w:t>
      </w:r>
    </w:p>
    <w:p>
      <w:pPr>
        <w:autoSpaceDN w:val="0"/>
        <w:autoSpaceDE w:val="0"/>
        <w:widowControl/>
        <w:spacing w:line="190" w:lineRule="exact" w:before="142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>(517) 304-3745 | Brighton, MI</w:t>
      </w:r>
    </w:p>
    <w:p>
      <w:pPr>
        <w:autoSpaceDN w:val="0"/>
        <w:autoSpaceDE w:val="0"/>
        <w:widowControl/>
        <w:spacing w:line="190" w:lineRule="exact" w:before="168" w:after="0"/>
        <w:ind w:left="0" w:right="0" w:firstLine="0"/>
        <w:jc w:val="center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hyperlink r:id="rId9" w:history="1">
          <w:r>
            <w:rPr>
              <w:rStyle w:val="Hyperlink"/>
            </w:rPr>
            <w:t>mjoslin93@protonmail.com</w:t>
          </w:r>
        </w:hyperlink>
      </w: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 |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hyperlink r:id="rId10" w:history="1">
          <w:r>
            <w:rPr>
              <w:rStyle w:val="Hyperlink"/>
            </w:rPr>
            <w:t>github.com/mjoslin-ai</w:t>
          </w:r>
        </w:hyperlink>
      </w: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 |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hyperlink r:id="rId11" w:history="1">
          <w:r>
            <w:rPr>
              <w:rStyle w:val="Hyperlink"/>
            </w:rPr>
            <w:t>linkedin.com/in/markjoslin-ai</w:t>
          </w:r>
        </w:hyperlink>
      </w:r>
    </w:p>
    <w:p>
      <w:pPr>
        <w:autoSpaceDN w:val="0"/>
        <w:autoSpaceDE w:val="0"/>
        <w:widowControl/>
        <w:spacing w:line="190" w:lineRule="exact" w:before="250" w:after="0"/>
        <w:ind w:left="0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19"/>
        </w:rPr>
        <w:t>SUMMARY</w:t>
      </w:r>
    </w:p>
    <w:p>
      <w:pPr>
        <w:autoSpaceDN w:val="0"/>
        <w:autoSpaceDE w:val="0"/>
        <w:widowControl/>
        <w:spacing w:line="240" w:lineRule="exact" w:before="118" w:after="0"/>
        <w:ind w:left="0" w:right="24" w:firstLine="0"/>
        <w:jc w:val="both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Curious data enthusiast with a strong passion for analytics, problem solving, and transforming complex data into actionable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insights. Proven expertise in Python, SQL, data modeling, and visualization tools like PowerBI, demonstrated through previous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work experience and personal projects. Eager to leverage my data specialist background to innovate, learn, and make a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meaningful impact in a dynamic and growth-oriented environment.</w:t>
      </w:r>
    </w:p>
    <w:p>
      <w:pPr>
        <w:autoSpaceDN w:val="0"/>
        <w:autoSpaceDE w:val="0"/>
        <w:widowControl/>
        <w:spacing w:line="190" w:lineRule="exact" w:before="288" w:after="0"/>
        <w:ind w:left="0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19"/>
        </w:rPr>
        <w:t>SKILLS</w:t>
      </w:r>
    </w:p>
    <w:p>
      <w:pPr>
        <w:autoSpaceDN w:val="0"/>
        <w:tabs>
          <w:tab w:pos="1884" w:val="left"/>
        </w:tabs>
        <w:autoSpaceDE w:val="0"/>
        <w:widowControl/>
        <w:spacing w:line="190" w:lineRule="exact" w:before="196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7"/>
        </w:rPr>
        <w:t xml:space="preserve">Tools </w:t>
      </w:r>
      <w:r>
        <w:rPr>
          <w:rFonts w:ascii="NimbusSanL" w:hAnsi="NimbusSanL" w:eastAsia="NimbusSanL"/>
          <w:b/>
          <w:i w:val="0"/>
          <w:color w:val="000000"/>
          <w:sz w:val="19"/>
        </w:rPr>
        <w:t>Python, R, SQL, DAX, Excel</w:t>
      </w:r>
    </w:p>
    <w:p>
      <w:pPr>
        <w:autoSpaceDN w:val="0"/>
        <w:tabs>
          <w:tab w:pos="1884" w:val="left"/>
        </w:tabs>
        <w:autoSpaceDE w:val="0"/>
        <w:widowControl/>
        <w:spacing w:line="188" w:lineRule="exact" w:before="72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7"/>
        </w:rPr>
        <w:t xml:space="preserve">Visualization </w:t>
      </w:r>
      <w:r>
        <w:rPr>
          <w:rFonts w:ascii="NimbusSanL" w:hAnsi="NimbusSanL" w:eastAsia="NimbusSanL"/>
          <w:b/>
          <w:i w:val="0"/>
          <w:color w:val="000000"/>
          <w:sz w:val="19"/>
        </w:rPr>
        <w:t>PowerBI, Matplotlib, ggplot2</w:t>
      </w:r>
    </w:p>
    <w:p>
      <w:pPr>
        <w:autoSpaceDN w:val="0"/>
        <w:tabs>
          <w:tab w:pos="1884" w:val="left"/>
        </w:tabs>
        <w:autoSpaceDE w:val="0"/>
        <w:widowControl/>
        <w:spacing w:line="190" w:lineRule="exact" w:before="70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7"/>
        </w:rPr>
        <w:t xml:space="preserve">Version control </w:t>
      </w:r>
      <w:r>
        <w:rPr>
          <w:rFonts w:ascii="NimbusSanL" w:hAnsi="NimbusSanL" w:eastAsia="NimbusSanL"/>
          <w:b/>
          <w:i w:val="0"/>
          <w:color w:val="000000"/>
          <w:sz w:val="19"/>
        </w:rPr>
        <w:t>GitHub, Azure DevOps</w:t>
      </w:r>
    </w:p>
    <w:p>
      <w:pPr>
        <w:autoSpaceDN w:val="0"/>
        <w:autoSpaceDE w:val="0"/>
        <w:widowControl/>
        <w:spacing w:line="188" w:lineRule="exact" w:before="202" w:after="158"/>
        <w:ind w:left="0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19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97"/>
        <w:gridCol w:w="3497"/>
        <w:gridCol w:w="3497"/>
      </w:tblGrid>
      <w:tr>
        <w:trPr>
          <w:trHeight w:hRule="exact" w:val="23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2" w:after="0"/>
              <w:ind w:left="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7"/>
              </w:rPr>
              <w:t>2/2026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4" w:after="0"/>
              <w:ind w:left="64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9"/>
              </w:rPr>
              <w:t>Advanced Data Analytics Certificate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80" w:after="0"/>
              <w:ind w:left="0" w:right="0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hyperlink r:id="rId12" w:history="1">
                <w:r>
                  <w:rPr>
                    <w:rStyle w:val="Hyperlink"/>
                  </w:rPr>
                  <w:t>Google</w:t>
                </w:r>
              </w:hyperlink>
            </w: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t xml:space="preserve"> | Online Course</w:t>
            </w:r>
          </w:p>
        </w:tc>
      </w:tr>
      <w:tr>
        <w:trPr>
          <w:trHeight w:hRule="exact" w:val="28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10" w:after="0"/>
              <w:ind w:left="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7"/>
              </w:rPr>
              <w:t>12/2020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0" w:after="0"/>
              <w:ind w:left="64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9"/>
              </w:rPr>
              <w:t>Bachelor of Science in Data Science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28" w:after="0"/>
              <w:ind w:left="1046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hyperlink r:id="rId13" w:history="1">
                <w:r>
                  <w:rPr>
                    <w:rStyle w:val="Hyperlink"/>
                  </w:rPr>
                  <w:t>Western Michigan University</w:t>
                </w:r>
              </w:hyperlink>
            </w: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t xml:space="preserve"> | Kalamazoo, MI</w:t>
            </w:r>
          </w:p>
        </w:tc>
      </w:tr>
      <w:tr>
        <w:trPr>
          <w:trHeight w:hRule="exact" w:val="35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0" w:after="0"/>
              <w:ind w:left="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7"/>
              </w:rPr>
              <w:t>5/2016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06" w:after="0"/>
              <w:ind w:left="64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9"/>
              </w:rPr>
              <w:t>Associate of Science in Engineering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34" w:after="0"/>
              <w:ind w:left="0" w:right="0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hyperlink r:id="rId14" w:history="1">
                <w:r>
                  <w:rPr>
                    <w:rStyle w:val="Hyperlink"/>
                  </w:rPr>
                  <w:t>Schoolcraft College</w:t>
                </w:r>
              </w:hyperlink>
            </w: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t xml:space="preserve"> | Livonia, MI</w:t>
            </w:r>
          </w:p>
        </w:tc>
      </w:tr>
    </w:tbl>
    <w:p>
      <w:pPr>
        <w:autoSpaceDN w:val="0"/>
        <w:autoSpaceDE w:val="0"/>
        <w:widowControl/>
        <w:spacing w:line="190" w:lineRule="exact" w:before="142" w:after="156"/>
        <w:ind w:left="0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19"/>
        </w:rPr>
        <w:t>RELEVANT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97"/>
        <w:gridCol w:w="3497"/>
        <w:gridCol w:w="3497"/>
      </w:tblGrid>
      <w:tr>
        <w:trPr>
          <w:trHeight w:hRule="exact" w:val="29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4" w:after="0"/>
              <w:ind w:left="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7"/>
              </w:rPr>
              <w:t>4/2021 – 5/2024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0" w:after="0"/>
              <w:ind w:left="34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9"/>
              </w:rPr>
              <w:t>Data Specialist (Remote)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90" w:after="0"/>
              <w:ind w:left="0" w:right="0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hyperlink r:id="rId15" w:history="1">
                <w:r>
                  <w:rPr>
                    <w:rStyle w:val="Hyperlink"/>
                  </w:rPr>
                  <w:t>GCAPS</w:t>
                </w:r>
              </w:hyperlink>
            </w: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t xml:space="preserve"> | Alton, VA</w:t>
            </w:r>
          </w:p>
        </w:tc>
      </w:tr>
    </w:tbl>
    <w:p>
      <w:pPr>
        <w:autoSpaceDN w:val="0"/>
        <w:tabs>
          <w:tab w:pos="1864" w:val="left"/>
        </w:tabs>
        <w:autoSpaceDE w:val="0"/>
        <w:widowControl/>
        <w:spacing w:line="236" w:lineRule="exact" w:before="0" w:after="0"/>
        <w:ind w:left="1698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• Performed literature reviews for NHTSA in areas such as AI in ADAS/ADS and traffic simulation tools to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help them better understand perception stack models and other technologies.</w:t>
      </w:r>
    </w:p>
    <w:p>
      <w:pPr>
        <w:autoSpaceDN w:val="0"/>
        <w:tabs>
          <w:tab w:pos="1864" w:val="left"/>
        </w:tabs>
        <w:autoSpaceDE w:val="0"/>
        <w:widowControl/>
        <w:spacing w:line="238" w:lineRule="exact" w:before="0" w:after="0"/>
        <w:ind w:left="1698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>• Maintained an internal website and SQL database hosted on Azure to track driving simulation construc-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tion used across a diverse team to enhance workflow and quantify completion rate.</w:t>
      </w:r>
    </w:p>
    <w:p>
      <w:pPr>
        <w:autoSpaceDN w:val="0"/>
        <w:autoSpaceDE w:val="0"/>
        <w:widowControl/>
        <w:spacing w:line="240" w:lineRule="exact" w:before="0" w:after="0"/>
        <w:ind w:left="1864" w:right="24" w:hanging="166"/>
        <w:jc w:val="both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• Created digital reconstructions of crash and near crash scenarios with the use of RoadRunner and Excel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using VTTI’s database to allow subscribers means to study these scenarios under different factors such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as sensor degradation and misinformation.</w:t>
      </w:r>
    </w:p>
    <w:p>
      <w:pPr>
        <w:autoSpaceDN w:val="0"/>
        <w:autoSpaceDE w:val="0"/>
        <w:widowControl/>
        <w:spacing w:line="240" w:lineRule="exact" w:before="0" w:after="200"/>
        <w:ind w:left="1864" w:right="24" w:hanging="166"/>
        <w:jc w:val="both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• Developed a Python script for dimensionality reduction and clustering of highway cut-in and lane change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maneuvers using VTTI’s naturalistic driving database, visualizing and analyzing factors’ central tenden-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cies to enhance the Division of Data and Analytics’ understanding of these maneuvers compared to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domain knowledge.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97"/>
        <w:gridCol w:w="3497"/>
        <w:gridCol w:w="3497"/>
      </w:tblGrid>
      <w:tr>
        <w:trPr>
          <w:trHeight w:hRule="exact" w:val="29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4" w:after="0"/>
              <w:ind w:left="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7"/>
              </w:rPr>
              <w:t>5/2019 – 8/2019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34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9"/>
              </w:rPr>
              <w:t>Cataloging Intern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88" w:after="0"/>
              <w:ind w:left="0" w:right="0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hyperlink r:id="rId16" w:history="1">
                <w:r>
                  <w:rPr>
                    <w:rStyle w:val="Hyperlink"/>
                  </w:rPr>
                  <w:t>American Mathematical Society</w:t>
                </w:r>
              </w:hyperlink>
            </w: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t xml:space="preserve"> | Ann Arbor, MI</w:t>
            </w:r>
          </w:p>
        </w:tc>
      </w:tr>
    </w:tbl>
    <w:p>
      <w:pPr>
        <w:autoSpaceDN w:val="0"/>
        <w:autoSpaceDE w:val="0"/>
        <w:widowControl/>
        <w:spacing w:line="190" w:lineRule="exact" w:before="44" w:after="0"/>
        <w:ind w:left="1698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>• Queried a large database for institution codes for authors in submitted journals.</w:t>
      </w:r>
    </w:p>
    <w:p>
      <w:pPr>
        <w:autoSpaceDN w:val="0"/>
        <w:tabs>
          <w:tab w:pos="1864" w:val="left"/>
        </w:tabs>
        <w:autoSpaceDE w:val="0"/>
        <w:widowControl/>
        <w:spacing w:line="238" w:lineRule="exact" w:before="0" w:after="0"/>
        <w:ind w:left="1698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>• Prepared journals for storage in a separate database to allow subscribers access to the latest publica-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tions.</w:t>
      </w:r>
    </w:p>
    <w:p>
      <w:pPr>
        <w:autoSpaceDN w:val="0"/>
        <w:autoSpaceDE w:val="0"/>
        <w:widowControl/>
        <w:spacing w:line="188" w:lineRule="exact" w:before="50" w:after="200"/>
        <w:ind w:left="1698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>• Assisted in author notifications regarding missing journal information such as lacking institution(s).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97"/>
        <w:gridCol w:w="3497"/>
        <w:gridCol w:w="3497"/>
      </w:tblGrid>
      <w:tr>
        <w:trPr>
          <w:trHeight w:hRule="exact" w:val="29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4" w:after="0"/>
              <w:ind w:left="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7"/>
              </w:rPr>
              <w:t>5/2016 – 6/2017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0" w:after="0"/>
              <w:ind w:left="34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9"/>
              </w:rPr>
              <w:t>Durability Driver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90" w:after="0"/>
              <w:ind w:left="0" w:right="0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hyperlink r:id="rId17" w:history="1">
                <w:r>
                  <w:rPr>
                    <w:rStyle w:val="Hyperlink"/>
                  </w:rPr>
                  <w:t>Stellantis</w:t>
                </w:r>
              </w:hyperlink>
            </w: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t xml:space="preserve"> | Chelsea, MI</w:t>
            </w:r>
          </w:p>
        </w:tc>
      </w:tr>
    </w:tbl>
    <w:p>
      <w:pPr>
        <w:autoSpaceDN w:val="0"/>
        <w:tabs>
          <w:tab w:pos="1864" w:val="left"/>
        </w:tabs>
        <w:autoSpaceDE w:val="0"/>
        <w:widowControl/>
        <w:spacing w:line="238" w:lineRule="exact" w:before="0" w:after="0"/>
        <w:ind w:left="1698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>• Conducted rigorous endurance tests, identifying critical safety and performance issues pre- and post-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launch.</w:t>
      </w:r>
    </w:p>
    <w:p>
      <w:pPr>
        <w:autoSpaceDN w:val="0"/>
        <w:autoSpaceDE w:val="0"/>
        <w:widowControl/>
        <w:spacing w:line="238" w:lineRule="exact" w:before="0" w:after="0"/>
        <w:ind w:left="1698" w:right="144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>• Ensured precise diagnostics and issue documentation, streamlining engineering fixes.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• Maintained strict testing protocols, enhancing vehicle reliability.</w:t>
      </w:r>
    </w:p>
    <w:p>
      <w:pPr>
        <w:autoSpaceDN w:val="0"/>
        <w:autoSpaceDE w:val="0"/>
        <w:widowControl/>
        <w:spacing w:line="190" w:lineRule="exact" w:before="370" w:after="156"/>
        <w:ind w:left="0" w:right="0" w:firstLine="0"/>
        <w:jc w:val="left"/>
      </w:pPr>
      <w:r>
        <w:rPr>
          <w:rFonts w:ascii="NimbusSanL" w:hAnsi="NimbusSanL" w:eastAsia="NimbusSanL"/>
          <w:b/>
          <w:i w:val="0"/>
          <w:color w:val="000000"/>
          <w:sz w:val="19"/>
        </w:rPr>
        <w:t>PERSONAL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97"/>
        <w:gridCol w:w="3497"/>
        <w:gridCol w:w="3497"/>
      </w:tblGrid>
      <w:tr>
        <w:trPr>
          <w:trHeight w:hRule="exact" w:val="29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6" w:after="0"/>
              <w:ind w:left="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7"/>
              </w:rPr>
              <w:t>8/2025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0" w:after="0"/>
              <w:ind w:left="68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9"/>
              </w:rPr>
              <w:t>Coffee Sales Dashboard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90" w:after="0"/>
              <w:ind w:left="0" w:right="0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t>GitHub</w:t>
            </w:r>
          </w:p>
        </w:tc>
      </w:tr>
    </w:tbl>
    <w:p>
      <w:pPr>
        <w:autoSpaceDN w:val="0"/>
        <w:tabs>
          <w:tab w:pos="1864" w:val="left"/>
        </w:tabs>
        <w:autoSpaceDE w:val="0"/>
        <w:widowControl/>
        <w:spacing w:line="238" w:lineRule="exact" w:before="0" w:after="200"/>
        <w:ind w:left="1698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• Built an Excel dashboard to analyze coffee sales (2019–2022), tracking trends by coffee type, roast,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country, and loyalty program using XLOOKUP, INDEX MATCH, pivot tables, charts, and slicers.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• Provided insights into sales trends, seasonal patterns, and top customers/regions to support inventory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and marketing strategies.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97"/>
        <w:gridCol w:w="3497"/>
        <w:gridCol w:w="3497"/>
      </w:tblGrid>
      <w:tr>
        <w:trPr>
          <w:trHeight w:hRule="exact" w:val="29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4" w:after="0"/>
              <w:ind w:left="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  <w:color w:val="000000"/>
                <w:sz w:val="17"/>
              </w:rPr>
              <w:t>10/2024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0" w:after="0"/>
              <w:ind w:left="644" w:right="0" w:firstLine="0"/>
              <w:jc w:val="lef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9"/>
              </w:rPr>
              <w:t>HR Analytics Dashboard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88" w:after="0"/>
              <w:ind w:left="0" w:right="0" w:firstLine="0"/>
              <w:jc w:val="right"/>
            </w:pPr>
            <w:r>
              <w:rPr>
                <w:rFonts w:ascii="NimbusSanL" w:hAnsi="NimbusSanL" w:eastAsia="NimbusSanL"/>
                <w:b/>
                <w:i w:val="0"/>
                <w:color w:val="000000"/>
                <w:sz w:val="15"/>
              </w:rPr>
              <w:t>GitHub</w:t>
            </w:r>
          </w:p>
        </w:tc>
      </w:tr>
    </w:tbl>
    <w:p>
      <w:pPr>
        <w:autoSpaceDN w:val="0"/>
        <w:tabs>
          <w:tab w:pos="1864" w:val="left"/>
        </w:tabs>
        <w:autoSpaceDE w:val="0"/>
        <w:widowControl/>
        <w:spacing w:line="236" w:lineRule="exact" w:before="0" w:after="0"/>
        <w:ind w:left="1698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• Developed a PowerBI dashboard to analyze working preference of employees between work from home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and work from office along with sick leave percentage on a daily and monthly basis.</w:t>
      </w:r>
    </w:p>
    <w:p>
      <w:pPr>
        <w:autoSpaceDN w:val="0"/>
        <w:tabs>
          <w:tab w:pos="1864" w:val="left"/>
        </w:tabs>
        <w:autoSpaceDE w:val="0"/>
        <w:widowControl/>
        <w:spacing w:line="240" w:lineRule="exact" w:before="0" w:after="0"/>
        <w:ind w:left="1698" w:right="0" w:firstLine="0"/>
        <w:jc w:val="left"/>
      </w:pPr>
      <w:r>
        <w:rPr>
          <w:rFonts w:ascii="NimbusSanL" w:hAnsi="NimbusSanL" w:eastAsia="NimbusSanL"/>
          <w:b w:val="0"/>
          <w:i w:val="0"/>
          <w:color w:val="000000"/>
          <w:sz w:val="19"/>
        </w:rPr>
        <w:t xml:space="preserve">• The report will help an employer when scheduling in-person meetings, product rollouts, and employee </w:t>
      </w:r>
      <w:r>
        <w:rPr>
          <w:rFonts w:ascii="NimbusSanL" w:hAnsi="NimbusSanL" w:eastAsia="NimbusSanL"/>
          <w:b w:val="0"/>
          <w:i w:val="0"/>
          <w:color w:val="000000"/>
          <w:sz w:val="19"/>
        </w:rPr>
        <w:t>wellness.</w:t>
      </w:r>
    </w:p>
    <w:sectPr w:rsidR="00FC693F" w:rsidRPr="0006063C" w:rsidSect="00034616">
      <w:pgSz w:w="11906" w:h="16838"/>
      <w:pgMar w:top="334" w:right="696" w:bottom="548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mjoslin93@protonmail.com" TargetMode="External"/><Relationship Id="rId10" Type="http://schemas.openxmlformats.org/officeDocument/2006/relationships/hyperlink" Target="https://github.com/mjoslin-ai" TargetMode="External"/><Relationship Id="rId11" Type="http://schemas.openxmlformats.org/officeDocument/2006/relationships/hyperlink" Target="https://www.linkedin.com/in/markjoslin-ai" TargetMode="External"/><Relationship Id="rId12" Type="http://schemas.openxmlformats.org/officeDocument/2006/relationships/hyperlink" Target="https://www.coursera.org/professional-certificates/google-advanced-data-analytics" TargetMode="External"/><Relationship Id="rId13" Type="http://schemas.openxmlformats.org/officeDocument/2006/relationships/hyperlink" Target="https://wmich.edu/" TargetMode="External"/><Relationship Id="rId14" Type="http://schemas.openxmlformats.org/officeDocument/2006/relationships/hyperlink" Target="https://www.schoolcraft.edu/" TargetMode="External"/><Relationship Id="rId15" Type="http://schemas.openxmlformats.org/officeDocument/2006/relationships/hyperlink" Target="https://www.gcaps.net/" TargetMode="External"/><Relationship Id="rId16" Type="http://schemas.openxmlformats.org/officeDocument/2006/relationships/hyperlink" Target="https://www.ams.org/publications/math-reviews/math-reviews" TargetMode="External"/><Relationship Id="rId17" Type="http://schemas.openxmlformats.org/officeDocument/2006/relationships/hyperlink" Target="https://www.chelseaprovinggrounds.com/en-us/Pages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