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743" w:rsidRPr="007D6743" w:rsidRDefault="009E7D4E" w:rsidP="007D6743">
      <w:pPr>
        <w:jc w:val="right"/>
      </w:pPr>
      <w:r>
        <w:t>10</w:t>
      </w:r>
      <w:r w:rsidR="00A72A94">
        <w:t xml:space="preserve"> April</w:t>
      </w:r>
      <w:r w:rsidR="007D6743" w:rsidRPr="007D6743">
        <w:t xml:space="preserve"> 2018</w:t>
      </w:r>
    </w:p>
    <w:p w:rsidR="007D6743" w:rsidRDefault="007D6743" w:rsidP="007D6743">
      <w:pPr>
        <w:rPr>
          <w:b/>
        </w:rPr>
      </w:pPr>
    </w:p>
    <w:p w:rsidR="007D6743" w:rsidRDefault="007D6743" w:rsidP="007D6743">
      <w:pPr>
        <w:rPr>
          <w:b/>
        </w:rPr>
      </w:pPr>
      <w:r>
        <w:rPr>
          <w:b/>
        </w:rPr>
        <w:t>MEMORANDUM</w:t>
      </w:r>
    </w:p>
    <w:p w:rsidR="007D6743" w:rsidRDefault="007D6743" w:rsidP="007D6743">
      <w:pPr>
        <w:rPr>
          <w:b/>
        </w:rPr>
      </w:pPr>
    </w:p>
    <w:p w:rsidR="00546CB0" w:rsidRDefault="00025793" w:rsidP="00546CB0">
      <w:pPr>
        <w:rPr>
          <w:lang w:eastAsia="en-PH"/>
        </w:rPr>
      </w:pPr>
      <w:r>
        <w:rPr>
          <w:b/>
        </w:rPr>
        <w:tab/>
        <w:t>FOR</w:t>
      </w:r>
      <w:r w:rsidR="007D6743">
        <w:rPr>
          <w:b/>
        </w:rPr>
        <w:tab/>
      </w:r>
      <w:r w:rsidR="007D6743">
        <w:rPr>
          <w:b/>
        </w:rPr>
        <w:tab/>
        <w:t>:</w:t>
      </w:r>
      <w:r w:rsidR="007D6743">
        <w:rPr>
          <w:b/>
        </w:rPr>
        <w:tab/>
      </w:r>
      <w:r w:rsidR="007D6743" w:rsidRPr="007D6743">
        <w:rPr>
          <w:b/>
          <w:u w:val="single"/>
        </w:rPr>
        <w:t xml:space="preserve">ALL DOH </w:t>
      </w:r>
      <w:r w:rsidR="007D6743">
        <w:rPr>
          <w:b/>
          <w:u w:val="single"/>
        </w:rPr>
        <w:t xml:space="preserve">CLUSTERS AND </w:t>
      </w:r>
      <w:r w:rsidR="007D6743" w:rsidRPr="007D6743">
        <w:rPr>
          <w:b/>
          <w:u w:val="single"/>
        </w:rPr>
        <w:t>PERSONNEL</w:t>
      </w:r>
    </w:p>
    <w:p w:rsidR="00546CB0" w:rsidRDefault="00546CB0" w:rsidP="00546CB0">
      <w:pPr>
        <w:rPr>
          <w:lang w:eastAsia="en-PH"/>
        </w:rPr>
      </w:pPr>
    </w:p>
    <w:p w:rsidR="00546CB0" w:rsidRDefault="00546CB0" w:rsidP="00546CB0">
      <w:pPr>
        <w:rPr>
          <w:lang w:eastAsia="en-PH"/>
        </w:rPr>
      </w:pPr>
    </w:p>
    <w:p w:rsidR="00546CB0" w:rsidRDefault="00546CB0" w:rsidP="00546CB0">
      <w:pPr>
        <w:rPr>
          <w:lang w:eastAsia="en-PH"/>
        </w:rPr>
      </w:pPr>
    </w:p>
    <w:p w:rsidR="00546CB0" w:rsidRDefault="00546CB0" w:rsidP="00546CB0">
      <w:pPr>
        <w:rPr>
          <w:lang w:eastAsia="en-PH"/>
        </w:rPr>
      </w:pPr>
    </w:p>
    <w:p w:rsidR="00546CB0" w:rsidRDefault="00546CB0" w:rsidP="00546CB0">
      <w:pPr>
        <w:rPr>
          <w:lang w:eastAsia="en-PH"/>
        </w:rPr>
      </w:pPr>
      <w:r>
        <w:rPr>
          <w:lang w:eastAsia="en-PH"/>
        </w:rPr>
        <w:tab/>
      </w:r>
      <w:r w:rsidR="007D6743">
        <w:rPr>
          <w:b/>
        </w:rPr>
        <w:t>FROM</w:t>
      </w:r>
      <w:r w:rsidR="007D6743">
        <w:rPr>
          <w:b/>
        </w:rPr>
        <w:tab/>
        <w:t>:</w:t>
      </w:r>
      <w:r w:rsidR="007D6743">
        <w:rPr>
          <w:b/>
        </w:rPr>
        <w:tab/>
      </w:r>
      <w:r>
        <w:rPr>
          <w:b/>
        </w:rPr>
        <w:t>HERMINIGILDO V. VALLE, MD, MPA</w:t>
      </w:r>
    </w:p>
    <w:p w:rsidR="00546CB0" w:rsidRDefault="00546CB0" w:rsidP="00546CB0">
      <w:pPr>
        <w:rPr>
          <w:lang w:eastAsia="en-PH"/>
        </w:rPr>
      </w:pPr>
      <w:r>
        <w:rPr>
          <w:lang w:eastAsia="en-PH"/>
        </w:rPr>
        <w:tab/>
      </w:r>
      <w:r>
        <w:rPr>
          <w:lang w:eastAsia="en-PH"/>
        </w:rPr>
        <w:tab/>
      </w:r>
      <w:r>
        <w:rPr>
          <w:lang w:eastAsia="en-PH"/>
        </w:rPr>
        <w:tab/>
      </w:r>
      <w:r>
        <w:rPr>
          <w:lang w:eastAsia="en-PH"/>
        </w:rPr>
        <w:tab/>
      </w:r>
      <w:r>
        <w:t>Undersecretary of Health</w:t>
      </w:r>
    </w:p>
    <w:p w:rsidR="007D6743" w:rsidRDefault="00546CB0" w:rsidP="00546CB0">
      <w:r>
        <w:tab/>
      </w:r>
      <w:r>
        <w:tab/>
      </w:r>
      <w:r>
        <w:tab/>
      </w:r>
      <w:r>
        <w:tab/>
        <w:t>Technical Services Cluster</w:t>
      </w:r>
    </w:p>
    <w:p w:rsidR="00546CB0" w:rsidRDefault="00546CB0" w:rsidP="007D6743"/>
    <w:p w:rsidR="007D6743" w:rsidRDefault="007D6743" w:rsidP="007D6743">
      <w:pPr>
        <w:jc w:val="both"/>
        <w:rPr>
          <w:b/>
          <w:u w:val="single"/>
        </w:rPr>
      </w:pPr>
      <w:r>
        <w:tab/>
      </w:r>
      <w:r>
        <w:rPr>
          <w:b/>
        </w:rPr>
        <w:t>SUBJECT</w:t>
      </w:r>
      <w:r>
        <w:rPr>
          <w:b/>
        </w:rPr>
        <w:tab/>
        <w:t>:</w:t>
      </w:r>
      <w:r>
        <w:rPr>
          <w:b/>
        </w:rPr>
        <w:tab/>
      </w:r>
      <w:r>
        <w:rPr>
          <w:b/>
          <w:u w:val="single"/>
        </w:rPr>
        <w:t>DOH Blood Olympics</w:t>
      </w:r>
    </w:p>
    <w:p w:rsidR="007D6743" w:rsidRDefault="007D6743" w:rsidP="007D6743">
      <w:pPr>
        <w:pBdr>
          <w:bottom w:val="single" w:sz="12" w:space="1" w:color="auto"/>
        </w:pBdr>
        <w:jc w:val="both"/>
        <w:rPr>
          <w:b/>
          <w:u w:val="single"/>
        </w:rPr>
      </w:pPr>
    </w:p>
    <w:p w:rsidR="007D6743" w:rsidRDefault="007D6743" w:rsidP="007D6743">
      <w:pPr>
        <w:jc w:val="both"/>
        <w:rPr>
          <w:b/>
          <w:u w:val="single"/>
        </w:rPr>
      </w:pPr>
    </w:p>
    <w:p w:rsidR="007D6743" w:rsidRDefault="007D6743" w:rsidP="007D6743">
      <w:pPr>
        <w:jc w:val="both"/>
      </w:pPr>
      <w:r>
        <w:tab/>
        <w:t>The Department of Health – National Voluntary Blood Services Program (DOH-NVBSP) is spear</w:t>
      </w:r>
      <w:r w:rsidR="00884471">
        <w:t>heading the Blood Olympics to create a unifying and synergistic approach in advocating voluntary blood donation. This event aims to achieve adequate supply of safe blood and address the blood needs of DOH employees and patients in general.</w:t>
      </w:r>
    </w:p>
    <w:p w:rsidR="00884471" w:rsidRDefault="00884471" w:rsidP="007D6743">
      <w:pPr>
        <w:jc w:val="both"/>
      </w:pPr>
    </w:p>
    <w:p w:rsidR="00884471" w:rsidRDefault="00884471" w:rsidP="007D6743">
      <w:pPr>
        <w:jc w:val="both"/>
      </w:pPr>
      <w:r>
        <w:tab/>
      </w:r>
      <w:r w:rsidR="000759D5">
        <w:t xml:space="preserve">In view of this, all DOH personnel, across all clusters, are encouraged to participate in the </w:t>
      </w:r>
      <w:r>
        <w:t>Mobile Blood Donations to be conducted on the following dates:</w:t>
      </w:r>
    </w:p>
    <w:p w:rsidR="007D6743" w:rsidRDefault="007D6743" w:rsidP="007D6743">
      <w:pPr>
        <w:jc w:val="both"/>
      </w:pPr>
    </w:p>
    <w:tbl>
      <w:tblPr>
        <w:tblStyle w:val="TableGrid"/>
        <w:tblW w:w="0" w:type="auto"/>
        <w:tblInd w:w="720" w:type="dxa"/>
        <w:tblLook w:val="04A0" w:firstRow="1" w:lastRow="0" w:firstColumn="1" w:lastColumn="0" w:noHBand="0" w:noVBand="1"/>
      </w:tblPr>
      <w:tblGrid>
        <w:gridCol w:w="4262"/>
        <w:gridCol w:w="4278"/>
      </w:tblGrid>
      <w:tr w:rsidR="00546CB0" w:rsidTr="00546CB0">
        <w:tc>
          <w:tcPr>
            <w:tcW w:w="4262" w:type="dxa"/>
          </w:tcPr>
          <w:p w:rsidR="00546CB0" w:rsidRPr="00546CB0" w:rsidRDefault="00546CB0" w:rsidP="00546CB0">
            <w:pPr>
              <w:pStyle w:val="ListParagraph"/>
              <w:ind w:left="0"/>
              <w:jc w:val="center"/>
              <w:rPr>
                <w:b/>
              </w:rPr>
            </w:pPr>
            <w:r w:rsidRPr="00546CB0">
              <w:rPr>
                <w:b/>
              </w:rPr>
              <w:t>Date</w:t>
            </w:r>
          </w:p>
        </w:tc>
        <w:tc>
          <w:tcPr>
            <w:tcW w:w="4278" w:type="dxa"/>
          </w:tcPr>
          <w:p w:rsidR="00546CB0" w:rsidRPr="00546CB0" w:rsidRDefault="00546CB0" w:rsidP="00546CB0">
            <w:pPr>
              <w:pStyle w:val="ListParagraph"/>
              <w:ind w:left="0"/>
              <w:jc w:val="center"/>
              <w:rPr>
                <w:b/>
              </w:rPr>
            </w:pPr>
            <w:r w:rsidRPr="00546CB0">
              <w:rPr>
                <w:b/>
              </w:rPr>
              <w:t>Venue</w:t>
            </w:r>
          </w:p>
        </w:tc>
      </w:tr>
      <w:tr w:rsidR="00546CB0" w:rsidTr="00546CB0">
        <w:tc>
          <w:tcPr>
            <w:tcW w:w="4262" w:type="dxa"/>
          </w:tcPr>
          <w:p w:rsidR="00546CB0" w:rsidRPr="001E00AA" w:rsidRDefault="00546CB0" w:rsidP="00546CB0">
            <w:pPr>
              <w:pStyle w:val="ListParagraph"/>
              <w:jc w:val="center"/>
            </w:pPr>
            <w:r w:rsidRPr="001E00AA">
              <w:t>April 16, 2018 (Monday)</w:t>
            </w:r>
          </w:p>
        </w:tc>
        <w:tc>
          <w:tcPr>
            <w:tcW w:w="4278" w:type="dxa"/>
          </w:tcPr>
          <w:p w:rsidR="00546CB0" w:rsidRDefault="00546CB0" w:rsidP="00546CB0">
            <w:pPr>
              <w:pStyle w:val="ListParagraph"/>
              <w:ind w:left="0"/>
              <w:jc w:val="center"/>
            </w:pPr>
            <w:r>
              <w:t>DOH Gym</w:t>
            </w:r>
          </w:p>
        </w:tc>
      </w:tr>
      <w:tr w:rsidR="00546CB0" w:rsidTr="00546CB0">
        <w:tc>
          <w:tcPr>
            <w:tcW w:w="4262" w:type="dxa"/>
          </w:tcPr>
          <w:p w:rsidR="00546CB0" w:rsidRPr="001E00AA" w:rsidRDefault="00546CB0" w:rsidP="00546CB0">
            <w:pPr>
              <w:pStyle w:val="ListParagraph"/>
              <w:jc w:val="center"/>
            </w:pPr>
            <w:r w:rsidRPr="001E00AA">
              <w:t>July 16, 2018 (Monday)</w:t>
            </w:r>
          </w:p>
        </w:tc>
        <w:tc>
          <w:tcPr>
            <w:tcW w:w="4278" w:type="dxa"/>
          </w:tcPr>
          <w:p w:rsidR="00546CB0" w:rsidRDefault="00546CB0" w:rsidP="00546CB0">
            <w:pPr>
              <w:pStyle w:val="ListParagraph"/>
              <w:ind w:left="0"/>
              <w:jc w:val="center"/>
            </w:pPr>
            <w:r>
              <w:t>To be announced</w:t>
            </w:r>
          </w:p>
        </w:tc>
      </w:tr>
      <w:tr w:rsidR="00546CB0" w:rsidTr="00546CB0">
        <w:trPr>
          <w:trHeight w:val="125"/>
        </w:trPr>
        <w:tc>
          <w:tcPr>
            <w:tcW w:w="4262" w:type="dxa"/>
          </w:tcPr>
          <w:p w:rsidR="00546CB0" w:rsidRPr="001E00AA" w:rsidRDefault="00546CB0" w:rsidP="00546CB0">
            <w:pPr>
              <w:pStyle w:val="ListParagraph"/>
              <w:jc w:val="center"/>
            </w:pPr>
            <w:r w:rsidRPr="001E00AA">
              <w:t>October 15, 2018 (Monday)</w:t>
            </w:r>
          </w:p>
        </w:tc>
        <w:tc>
          <w:tcPr>
            <w:tcW w:w="4278" w:type="dxa"/>
          </w:tcPr>
          <w:p w:rsidR="00546CB0" w:rsidRDefault="00546CB0" w:rsidP="00546CB0">
            <w:pPr>
              <w:pStyle w:val="ListParagraph"/>
              <w:ind w:left="0"/>
              <w:jc w:val="center"/>
            </w:pPr>
            <w:r>
              <w:t>To be announced</w:t>
            </w:r>
          </w:p>
        </w:tc>
      </w:tr>
    </w:tbl>
    <w:p w:rsidR="00884471" w:rsidRDefault="00884471" w:rsidP="00884471">
      <w:pPr>
        <w:jc w:val="both"/>
      </w:pPr>
    </w:p>
    <w:p w:rsidR="00884471" w:rsidRDefault="000759D5" w:rsidP="00884471">
      <w:pPr>
        <w:jc w:val="both"/>
      </w:pPr>
      <w:r>
        <w:tab/>
        <w:t>Likewise, r</w:t>
      </w:r>
      <w:r w:rsidR="00884471">
        <w:t xml:space="preserve">eferrals of blood donors </w:t>
      </w:r>
      <w:r>
        <w:t xml:space="preserve">by the clusters </w:t>
      </w:r>
      <w:r w:rsidR="00884471">
        <w:t xml:space="preserve">from outside the DOH </w:t>
      </w:r>
      <w:r>
        <w:t>are</w:t>
      </w:r>
      <w:r w:rsidR="00884471">
        <w:t xml:space="preserve"> welcome provided they meet the criteria and guidelines outlined by the NVBSP.</w:t>
      </w:r>
    </w:p>
    <w:p w:rsidR="00884471" w:rsidRDefault="00884471" w:rsidP="00884471">
      <w:pPr>
        <w:jc w:val="both"/>
      </w:pPr>
    </w:p>
    <w:p w:rsidR="00884471" w:rsidRPr="001A1D73" w:rsidRDefault="00884471" w:rsidP="00884471">
      <w:pPr>
        <w:jc w:val="both"/>
      </w:pPr>
      <w:r>
        <w:tab/>
        <w:t xml:space="preserve">Thank you very much. </w:t>
      </w:r>
    </w:p>
    <w:p w:rsidR="00C23758" w:rsidRDefault="00C23758" w:rsidP="00186CFE"/>
    <w:p w:rsidR="007D6743" w:rsidRDefault="007D6743" w:rsidP="00186CFE"/>
    <w:p w:rsidR="00652D5F" w:rsidRDefault="00652D5F" w:rsidP="00186CFE"/>
    <w:p w:rsidR="00652D5F" w:rsidRDefault="00652D5F" w:rsidP="00186CFE"/>
    <w:p w:rsidR="00652D5F" w:rsidRDefault="00652D5F" w:rsidP="00186CFE"/>
    <w:p w:rsidR="00652D5F" w:rsidRDefault="00652D5F" w:rsidP="00186CFE"/>
    <w:p w:rsidR="00652D5F" w:rsidRDefault="00652D5F" w:rsidP="00186CFE"/>
    <w:p w:rsidR="00652D5F" w:rsidRDefault="00652D5F" w:rsidP="00186CFE"/>
    <w:p w:rsidR="00652D5F" w:rsidRDefault="00652D5F" w:rsidP="00186CFE"/>
    <w:p w:rsidR="00652D5F" w:rsidRDefault="00652D5F" w:rsidP="00186CFE"/>
    <w:p w:rsidR="00652D5F" w:rsidRDefault="00652D5F" w:rsidP="00186CFE"/>
    <w:p w:rsidR="00652D5F" w:rsidRDefault="00652D5F" w:rsidP="00186CFE"/>
    <w:p w:rsidR="00652D5F" w:rsidRDefault="00652D5F" w:rsidP="00186CFE"/>
    <w:p w:rsidR="00652D5F" w:rsidRDefault="00652D5F" w:rsidP="00652D5F">
      <w:pPr>
        <w:jc w:val="right"/>
      </w:pPr>
    </w:p>
    <w:p w:rsidR="00652D5F" w:rsidRDefault="00652D5F" w:rsidP="00652D5F">
      <w:pPr>
        <w:jc w:val="right"/>
      </w:pPr>
    </w:p>
    <w:p w:rsidR="003512C5" w:rsidRPr="007D6743" w:rsidRDefault="00A72A94" w:rsidP="003512C5">
      <w:pPr>
        <w:jc w:val="right"/>
      </w:pPr>
      <w:r>
        <w:t>06 April</w:t>
      </w:r>
      <w:r w:rsidR="003512C5" w:rsidRPr="007D6743">
        <w:t xml:space="preserve"> 2018</w:t>
      </w:r>
    </w:p>
    <w:p w:rsidR="003512C5" w:rsidRDefault="003512C5" w:rsidP="003512C5">
      <w:pPr>
        <w:rPr>
          <w:b/>
        </w:rPr>
      </w:pPr>
    </w:p>
    <w:p w:rsidR="003512C5" w:rsidRDefault="003512C5" w:rsidP="003512C5">
      <w:pPr>
        <w:rPr>
          <w:b/>
        </w:rPr>
      </w:pPr>
      <w:r>
        <w:rPr>
          <w:b/>
        </w:rPr>
        <w:t>MEMORANDUM</w:t>
      </w:r>
    </w:p>
    <w:p w:rsidR="003512C5" w:rsidRDefault="003512C5" w:rsidP="003512C5">
      <w:pPr>
        <w:rPr>
          <w:b/>
        </w:rPr>
      </w:pPr>
    </w:p>
    <w:p w:rsidR="003512C5" w:rsidRDefault="00025793" w:rsidP="003512C5">
      <w:pPr>
        <w:rPr>
          <w:lang w:eastAsia="en-PH"/>
        </w:rPr>
      </w:pPr>
      <w:r>
        <w:rPr>
          <w:b/>
        </w:rPr>
        <w:tab/>
        <w:t>FOR</w:t>
      </w:r>
      <w:bookmarkStart w:id="0" w:name="_GoBack"/>
      <w:bookmarkEnd w:id="0"/>
      <w:r w:rsidR="003512C5">
        <w:rPr>
          <w:b/>
        </w:rPr>
        <w:tab/>
      </w:r>
      <w:r w:rsidR="003512C5">
        <w:rPr>
          <w:b/>
        </w:rPr>
        <w:tab/>
        <w:t>:</w:t>
      </w:r>
      <w:r w:rsidR="003512C5">
        <w:rPr>
          <w:b/>
        </w:rPr>
        <w:tab/>
      </w:r>
      <w:r w:rsidR="003512C5" w:rsidRPr="007D6743">
        <w:rPr>
          <w:b/>
          <w:u w:val="single"/>
        </w:rPr>
        <w:t xml:space="preserve">ALL DOH </w:t>
      </w:r>
      <w:r w:rsidR="003512C5">
        <w:rPr>
          <w:b/>
          <w:u w:val="single"/>
        </w:rPr>
        <w:t xml:space="preserve">CLUSTERS AND </w:t>
      </w:r>
      <w:r w:rsidR="003512C5" w:rsidRPr="007D6743">
        <w:rPr>
          <w:b/>
          <w:u w:val="single"/>
        </w:rPr>
        <w:t>PERSONNEL</w:t>
      </w:r>
    </w:p>
    <w:p w:rsidR="003512C5" w:rsidRDefault="003512C5" w:rsidP="003512C5">
      <w:pPr>
        <w:rPr>
          <w:lang w:eastAsia="en-PH"/>
        </w:rPr>
      </w:pPr>
    </w:p>
    <w:p w:rsidR="003512C5" w:rsidRDefault="003512C5" w:rsidP="003512C5">
      <w:pPr>
        <w:rPr>
          <w:lang w:eastAsia="en-PH"/>
        </w:rPr>
      </w:pPr>
    </w:p>
    <w:p w:rsidR="003512C5" w:rsidRDefault="003512C5" w:rsidP="003512C5">
      <w:pPr>
        <w:rPr>
          <w:lang w:eastAsia="en-PH"/>
        </w:rPr>
      </w:pPr>
    </w:p>
    <w:p w:rsidR="003512C5" w:rsidRDefault="003512C5" w:rsidP="003512C5">
      <w:pPr>
        <w:rPr>
          <w:lang w:eastAsia="en-PH"/>
        </w:rPr>
      </w:pPr>
    </w:p>
    <w:p w:rsidR="003512C5" w:rsidRDefault="003512C5" w:rsidP="003512C5">
      <w:pPr>
        <w:rPr>
          <w:lang w:eastAsia="en-PH"/>
        </w:rPr>
      </w:pPr>
      <w:r>
        <w:rPr>
          <w:lang w:eastAsia="en-PH"/>
        </w:rPr>
        <w:tab/>
      </w:r>
      <w:r>
        <w:rPr>
          <w:b/>
        </w:rPr>
        <w:t>FROM</w:t>
      </w:r>
      <w:r>
        <w:rPr>
          <w:b/>
        </w:rPr>
        <w:tab/>
        <w:t>:</w:t>
      </w:r>
      <w:r>
        <w:rPr>
          <w:b/>
        </w:rPr>
        <w:tab/>
        <w:t>HERMINIGILDO V. VALLE, MD, MPA</w:t>
      </w:r>
    </w:p>
    <w:p w:rsidR="003512C5" w:rsidRDefault="003512C5" w:rsidP="003512C5">
      <w:pPr>
        <w:rPr>
          <w:lang w:eastAsia="en-PH"/>
        </w:rPr>
      </w:pPr>
      <w:r>
        <w:rPr>
          <w:lang w:eastAsia="en-PH"/>
        </w:rPr>
        <w:tab/>
      </w:r>
      <w:r>
        <w:rPr>
          <w:lang w:eastAsia="en-PH"/>
        </w:rPr>
        <w:tab/>
      </w:r>
      <w:r>
        <w:rPr>
          <w:lang w:eastAsia="en-PH"/>
        </w:rPr>
        <w:tab/>
      </w:r>
      <w:r>
        <w:rPr>
          <w:lang w:eastAsia="en-PH"/>
        </w:rPr>
        <w:tab/>
      </w:r>
      <w:r>
        <w:t>Undersecretary of Health</w:t>
      </w:r>
    </w:p>
    <w:p w:rsidR="003512C5" w:rsidRDefault="003512C5" w:rsidP="003512C5">
      <w:r>
        <w:tab/>
      </w:r>
      <w:r>
        <w:tab/>
      </w:r>
      <w:r>
        <w:tab/>
      </w:r>
      <w:r>
        <w:tab/>
        <w:t>Technical Services Cluster</w:t>
      </w:r>
    </w:p>
    <w:p w:rsidR="003512C5" w:rsidRDefault="003512C5" w:rsidP="003512C5"/>
    <w:p w:rsidR="003512C5" w:rsidRDefault="003512C5" w:rsidP="003512C5">
      <w:pPr>
        <w:jc w:val="both"/>
        <w:rPr>
          <w:b/>
          <w:u w:val="single"/>
        </w:rPr>
      </w:pPr>
      <w:r>
        <w:tab/>
      </w:r>
      <w:r>
        <w:rPr>
          <w:b/>
        </w:rPr>
        <w:t>SUBJECT</w:t>
      </w:r>
      <w:r>
        <w:rPr>
          <w:b/>
        </w:rPr>
        <w:tab/>
        <w:t>:</w:t>
      </w:r>
      <w:r>
        <w:rPr>
          <w:b/>
        </w:rPr>
        <w:tab/>
      </w:r>
      <w:r>
        <w:rPr>
          <w:b/>
          <w:u w:val="single"/>
        </w:rPr>
        <w:t>DOH Blood Olympics</w:t>
      </w:r>
    </w:p>
    <w:p w:rsidR="003512C5" w:rsidRDefault="003512C5" w:rsidP="003512C5">
      <w:pPr>
        <w:pBdr>
          <w:bottom w:val="single" w:sz="12" w:space="1" w:color="auto"/>
        </w:pBdr>
        <w:jc w:val="both"/>
        <w:rPr>
          <w:b/>
          <w:u w:val="single"/>
        </w:rPr>
      </w:pPr>
    </w:p>
    <w:p w:rsidR="003512C5" w:rsidRDefault="003512C5" w:rsidP="003512C5">
      <w:pPr>
        <w:jc w:val="both"/>
        <w:rPr>
          <w:b/>
          <w:u w:val="single"/>
        </w:rPr>
      </w:pPr>
    </w:p>
    <w:p w:rsidR="003512C5" w:rsidRDefault="003512C5" w:rsidP="003512C5">
      <w:pPr>
        <w:jc w:val="both"/>
      </w:pPr>
      <w:r>
        <w:tab/>
        <w:t>The Department of Health – National Voluntary Blood Services Program (DOH-NVBSP) is spearheading the Blood Olympics to create a unifying and synergistic approach in advocating voluntary blood donation. This event aims to achieve adequate supply of safe blood and address the blood needs of DOH employees and patients in general.</w:t>
      </w:r>
    </w:p>
    <w:p w:rsidR="003512C5" w:rsidRDefault="003512C5" w:rsidP="003512C5">
      <w:pPr>
        <w:jc w:val="both"/>
      </w:pPr>
    </w:p>
    <w:p w:rsidR="003512C5" w:rsidRDefault="003512C5" w:rsidP="003512C5">
      <w:pPr>
        <w:jc w:val="both"/>
      </w:pPr>
      <w:r>
        <w:tab/>
        <w:t>In view of this, all DOH personnel, across all clusters, are encouraged to participate in the Mobile Blood Donations to be conducted on the following dates:</w:t>
      </w:r>
    </w:p>
    <w:p w:rsidR="003512C5" w:rsidRDefault="003512C5" w:rsidP="003512C5">
      <w:pPr>
        <w:jc w:val="both"/>
      </w:pPr>
    </w:p>
    <w:tbl>
      <w:tblPr>
        <w:tblStyle w:val="TableGrid"/>
        <w:tblW w:w="0" w:type="auto"/>
        <w:tblInd w:w="720" w:type="dxa"/>
        <w:tblLook w:val="04A0" w:firstRow="1" w:lastRow="0" w:firstColumn="1" w:lastColumn="0" w:noHBand="0" w:noVBand="1"/>
      </w:tblPr>
      <w:tblGrid>
        <w:gridCol w:w="4262"/>
        <w:gridCol w:w="4278"/>
      </w:tblGrid>
      <w:tr w:rsidR="003512C5" w:rsidTr="002E3DE4">
        <w:tc>
          <w:tcPr>
            <w:tcW w:w="4262" w:type="dxa"/>
          </w:tcPr>
          <w:p w:rsidR="003512C5" w:rsidRPr="00546CB0" w:rsidRDefault="003512C5" w:rsidP="002E3DE4">
            <w:pPr>
              <w:pStyle w:val="ListParagraph"/>
              <w:ind w:left="0"/>
              <w:jc w:val="center"/>
              <w:rPr>
                <w:b/>
              </w:rPr>
            </w:pPr>
            <w:r w:rsidRPr="00546CB0">
              <w:rPr>
                <w:b/>
              </w:rPr>
              <w:t>Date</w:t>
            </w:r>
          </w:p>
        </w:tc>
        <w:tc>
          <w:tcPr>
            <w:tcW w:w="4278" w:type="dxa"/>
          </w:tcPr>
          <w:p w:rsidR="003512C5" w:rsidRPr="00546CB0" w:rsidRDefault="003512C5" w:rsidP="002E3DE4">
            <w:pPr>
              <w:pStyle w:val="ListParagraph"/>
              <w:ind w:left="0"/>
              <w:jc w:val="center"/>
              <w:rPr>
                <w:b/>
              </w:rPr>
            </w:pPr>
            <w:r w:rsidRPr="00546CB0">
              <w:rPr>
                <w:b/>
              </w:rPr>
              <w:t>Venue</w:t>
            </w:r>
          </w:p>
        </w:tc>
      </w:tr>
      <w:tr w:rsidR="003512C5" w:rsidTr="002E3DE4">
        <w:tc>
          <w:tcPr>
            <w:tcW w:w="4262" w:type="dxa"/>
          </w:tcPr>
          <w:p w:rsidR="003512C5" w:rsidRPr="001E00AA" w:rsidRDefault="003512C5" w:rsidP="002E3DE4">
            <w:pPr>
              <w:pStyle w:val="ListParagraph"/>
              <w:jc w:val="center"/>
            </w:pPr>
            <w:r w:rsidRPr="001E00AA">
              <w:t>April 16, 2018 (Monday)</w:t>
            </w:r>
          </w:p>
        </w:tc>
        <w:tc>
          <w:tcPr>
            <w:tcW w:w="4278" w:type="dxa"/>
          </w:tcPr>
          <w:p w:rsidR="003512C5" w:rsidRDefault="003512C5" w:rsidP="002E3DE4">
            <w:pPr>
              <w:pStyle w:val="ListParagraph"/>
              <w:ind w:left="0"/>
              <w:jc w:val="center"/>
            </w:pPr>
            <w:r>
              <w:t>DOH Gym</w:t>
            </w:r>
          </w:p>
        </w:tc>
      </w:tr>
      <w:tr w:rsidR="003512C5" w:rsidTr="002E3DE4">
        <w:tc>
          <w:tcPr>
            <w:tcW w:w="4262" w:type="dxa"/>
          </w:tcPr>
          <w:p w:rsidR="003512C5" w:rsidRPr="001E00AA" w:rsidRDefault="003512C5" w:rsidP="002E3DE4">
            <w:pPr>
              <w:pStyle w:val="ListParagraph"/>
              <w:jc w:val="center"/>
            </w:pPr>
            <w:r w:rsidRPr="001E00AA">
              <w:t>July 16, 2018 (Monday)</w:t>
            </w:r>
          </w:p>
        </w:tc>
        <w:tc>
          <w:tcPr>
            <w:tcW w:w="4278" w:type="dxa"/>
          </w:tcPr>
          <w:p w:rsidR="003512C5" w:rsidRDefault="003512C5" w:rsidP="002E3DE4">
            <w:pPr>
              <w:pStyle w:val="ListParagraph"/>
              <w:ind w:left="0"/>
              <w:jc w:val="center"/>
            </w:pPr>
            <w:r>
              <w:t>To be announced</w:t>
            </w:r>
          </w:p>
        </w:tc>
      </w:tr>
      <w:tr w:rsidR="003512C5" w:rsidTr="002E3DE4">
        <w:trPr>
          <w:trHeight w:val="125"/>
        </w:trPr>
        <w:tc>
          <w:tcPr>
            <w:tcW w:w="4262" w:type="dxa"/>
          </w:tcPr>
          <w:p w:rsidR="003512C5" w:rsidRPr="001E00AA" w:rsidRDefault="003512C5" w:rsidP="002E3DE4">
            <w:pPr>
              <w:pStyle w:val="ListParagraph"/>
              <w:jc w:val="center"/>
            </w:pPr>
            <w:r w:rsidRPr="001E00AA">
              <w:t>October 15, 2018 (Monday)</w:t>
            </w:r>
          </w:p>
        </w:tc>
        <w:tc>
          <w:tcPr>
            <w:tcW w:w="4278" w:type="dxa"/>
          </w:tcPr>
          <w:p w:rsidR="003512C5" w:rsidRDefault="003512C5" w:rsidP="002E3DE4">
            <w:pPr>
              <w:pStyle w:val="ListParagraph"/>
              <w:ind w:left="0"/>
              <w:jc w:val="center"/>
            </w:pPr>
            <w:r>
              <w:t>To be announced</w:t>
            </w:r>
          </w:p>
        </w:tc>
      </w:tr>
    </w:tbl>
    <w:p w:rsidR="003512C5" w:rsidRDefault="003512C5" w:rsidP="003512C5">
      <w:pPr>
        <w:jc w:val="both"/>
      </w:pPr>
    </w:p>
    <w:p w:rsidR="003512C5" w:rsidRDefault="003512C5" w:rsidP="003512C5">
      <w:pPr>
        <w:jc w:val="both"/>
      </w:pPr>
      <w:r>
        <w:tab/>
        <w:t>Likewise, referrals of blood donors by the clusters from outside the DOH are welcome provided they meet the criteria and guidelines outlined by the NVBSP.</w:t>
      </w:r>
    </w:p>
    <w:p w:rsidR="003512C5" w:rsidRDefault="003512C5" w:rsidP="003512C5">
      <w:pPr>
        <w:jc w:val="both"/>
      </w:pPr>
    </w:p>
    <w:p w:rsidR="003512C5" w:rsidRPr="001A1D73" w:rsidRDefault="003512C5" w:rsidP="003512C5">
      <w:pPr>
        <w:jc w:val="both"/>
      </w:pPr>
      <w:r>
        <w:tab/>
        <w:t xml:space="preserve">Thank you very much. </w:t>
      </w:r>
    </w:p>
    <w:p w:rsidR="00652D5F" w:rsidRDefault="00652D5F" w:rsidP="003512C5">
      <w:pPr>
        <w:jc w:val="right"/>
      </w:pPr>
    </w:p>
    <w:p w:rsidR="003512C5" w:rsidRDefault="003512C5" w:rsidP="003512C5">
      <w:pPr>
        <w:jc w:val="right"/>
      </w:pPr>
    </w:p>
    <w:p w:rsidR="003512C5" w:rsidRPr="009C68D5" w:rsidRDefault="003512C5" w:rsidP="003512C5">
      <w:pPr>
        <w:jc w:val="right"/>
        <w:rPr>
          <w:sz w:val="10"/>
          <w:szCs w:val="10"/>
        </w:rPr>
      </w:pPr>
    </w:p>
    <w:tbl>
      <w:tblPr>
        <w:tblStyle w:val="TableGrid"/>
        <w:tblW w:w="9260" w:type="dxa"/>
        <w:tblInd w:w="0" w:type="dxa"/>
        <w:tblLook w:val="04A0" w:firstRow="1" w:lastRow="0" w:firstColumn="1" w:lastColumn="0" w:noHBand="0" w:noVBand="1"/>
      </w:tblPr>
      <w:tblGrid>
        <w:gridCol w:w="2315"/>
        <w:gridCol w:w="2315"/>
        <w:gridCol w:w="2475"/>
        <w:gridCol w:w="2155"/>
      </w:tblGrid>
      <w:tr w:rsidR="003512C5" w:rsidTr="002E3DE4">
        <w:tc>
          <w:tcPr>
            <w:tcW w:w="2315" w:type="dxa"/>
          </w:tcPr>
          <w:p w:rsidR="003512C5" w:rsidRPr="009C68D5" w:rsidRDefault="003512C5" w:rsidP="002E3DE4">
            <w:pPr>
              <w:jc w:val="center"/>
              <w:rPr>
                <w:b/>
                <w:sz w:val="16"/>
                <w:szCs w:val="16"/>
              </w:rPr>
            </w:pPr>
            <w:r w:rsidRPr="009C68D5">
              <w:rPr>
                <w:b/>
                <w:sz w:val="16"/>
                <w:szCs w:val="16"/>
              </w:rPr>
              <w:t>NVBSP</w:t>
            </w:r>
          </w:p>
        </w:tc>
        <w:tc>
          <w:tcPr>
            <w:tcW w:w="2315" w:type="dxa"/>
          </w:tcPr>
          <w:p w:rsidR="003512C5" w:rsidRPr="009C68D5" w:rsidRDefault="003512C5" w:rsidP="002E3DE4">
            <w:pPr>
              <w:jc w:val="center"/>
              <w:rPr>
                <w:b/>
                <w:sz w:val="16"/>
                <w:szCs w:val="16"/>
              </w:rPr>
            </w:pPr>
            <w:r w:rsidRPr="009C68D5">
              <w:rPr>
                <w:b/>
                <w:sz w:val="16"/>
                <w:szCs w:val="16"/>
              </w:rPr>
              <w:t>HFDB</w:t>
            </w:r>
          </w:p>
        </w:tc>
        <w:tc>
          <w:tcPr>
            <w:tcW w:w="4630" w:type="dxa"/>
            <w:gridSpan w:val="2"/>
          </w:tcPr>
          <w:p w:rsidR="003512C5" w:rsidRPr="009C68D5" w:rsidRDefault="003512C5" w:rsidP="002E3DE4">
            <w:pPr>
              <w:jc w:val="center"/>
              <w:rPr>
                <w:b/>
                <w:sz w:val="16"/>
                <w:szCs w:val="16"/>
              </w:rPr>
            </w:pPr>
            <w:r w:rsidRPr="009C68D5">
              <w:rPr>
                <w:b/>
                <w:sz w:val="16"/>
                <w:szCs w:val="16"/>
              </w:rPr>
              <w:t>TSC</w:t>
            </w:r>
          </w:p>
        </w:tc>
      </w:tr>
      <w:tr w:rsidR="003512C5" w:rsidTr="002E3DE4">
        <w:trPr>
          <w:trHeight w:val="593"/>
        </w:trPr>
        <w:tc>
          <w:tcPr>
            <w:tcW w:w="2315" w:type="dxa"/>
          </w:tcPr>
          <w:p w:rsidR="003512C5" w:rsidRPr="009C68D5" w:rsidRDefault="003512C5" w:rsidP="002E3DE4">
            <w:pPr>
              <w:jc w:val="center"/>
              <w:rPr>
                <w:sz w:val="16"/>
                <w:szCs w:val="16"/>
              </w:rPr>
            </w:pPr>
          </w:p>
        </w:tc>
        <w:tc>
          <w:tcPr>
            <w:tcW w:w="2315" w:type="dxa"/>
          </w:tcPr>
          <w:p w:rsidR="003512C5" w:rsidRPr="009C68D5" w:rsidRDefault="003512C5" w:rsidP="002E3DE4">
            <w:pPr>
              <w:jc w:val="center"/>
              <w:rPr>
                <w:sz w:val="16"/>
                <w:szCs w:val="16"/>
              </w:rPr>
            </w:pPr>
          </w:p>
        </w:tc>
        <w:tc>
          <w:tcPr>
            <w:tcW w:w="2475" w:type="dxa"/>
          </w:tcPr>
          <w:p w:rsidR="003512C5" w:rsidRPr="009C68D5" w:rsidRDefault="003512C5" w:rsidP="002E3DE4">
            <w:pPr>
              <w:jc w:val="center"/>
              <w:rPr>
                <w:sz w:val="16"/>
                <w:szCs w:val="16"/>
              </w:rPr>
            </w:pPr>
          </w:p>
        </w:tc>
        <w:tc>
          <w:tcPr>
            <w:tcW w:w="2155" w:type="dxa"/>
          </w:tcPr>
          <w:p w:rsidR="003512C5" w:rsidRPr="009C68D5" w:rsidRDefault="003512C5" w:rsidP="002E3DE4">
            <w:pPr>
              <w:jc w:val="center"/>
              <w:rPr>
                <w:sz w:val="16"/>
                <w:szCs w:val="16"/>
              </w:rPr>
            </w:pPr>
          </w:p>
        </w:tc>
      </w:tr>
      <w:tr w:rsidR="003512C5" w:rsidTr="002E3DE4">
        <w:tc>
          <w:tcPr>
            <w:tcW w:w="2315" w:type="dxa"/>
          </w:tcPr>
          <w:p w:rsidR="003512C5" w:rsidRPr="009C68D5" w:rsidRDefault="003512C5" w:rsidP="002E3DE4">
            <w:pPr>
              <w:jc w:val="center"/>
              <w:rPr>
                <w:b/>
                <w:sz w:val="16"/>
                <w:szCs w:val="16"/>
              </w:rPr>
            </w:pPr>
            <w:r w:rsidRPr="009C68D5">
              <w:rPr>
                <w:b/>
                <w:sz w:val="16"/>
                <w:szCs w:val="16"/>
              </w:rPr>
              <w:t xml:space="preserve">Ms. </w:t>
            </w:r>
            <w:proofErr w:type="spellStart"/>
            <w:r w:rsidRPr="009C68D5">
              <w:rPr>
                <w:b/>
                <w:sz w:val="16"/>
                <w:szCs w:val="16"/>
              </w:rPr>
              <w:t>Marites</w:t>
            </w:r>
            <w:proofErr w:type="spellEnd"/>
            <w:r w:rsidRPr="009C68D5">
              <w:rPr>
                <w:b/>
                <w:sz w:val="16"/>
                <w:szCs w:val="16"/>
              </w:rPr>
              <w:t xml:space="preserve"> Estrella</w:t>
            </w:r>
          </w:p>
        </w:tc>
        <w:tc>
          <w:tcPr>
            <w:tcW w:w="2315" w:type="dxa"/>
          </w:tcPr>
          <w:p w:rsidR="003512C5" w:rsidRPr="009C68D5" w:rsidRDefault="003512C5" w:rsidP="002E3DE4">
            <w:pPr>
              <w:jc w:val="center"/>
              <w:rPr>
                <w:b/>
                <w:sz w:val="16"/>
                <w:szCs w:val="16"/>
              </w:rPr>
            </w:pPr>
            <w:r w:rsidRPr="009C68D5">
              <w:rPr>
                <w:b/>
                <w:sz w:val="16"/>
                <w:szCs w:val="16"/>
              </w:rPr>
              <w:t xml:space="preserve">Dr. </w:t>
            </w:r>
            <w:proofErr w:type="spellStart"/>
            <w:r w:rsidRPr="009C68D5">
              <w:rPr>
                <w:b/>
                <w:sz w:val="16"/>
                <w:szCs w:val="16"/>
              </w:rPr>
              <w:t>Criselda</w:t>
            </w:r>
            <w:proofErr w:type="spellEnd"/>
            <w:r w:rsidRPr="009C68D5">
              <w:rPr>
                <w:b/>
                <w:sz w:val="16"/>
                <w:szCs w:val="16"/>
              </w:rPr>
              <w:t xml:space="preserve"> </w:t>
            </w:r>
            <w:proofErr w:type="spellStart"/>
            <w:r w:rsidRPr="009C68D5">
              <w:rPr>
                <w:b/>
                <w:sz w:val="16"/>
                <w:szCs w:val="16"/>
              </w:rPr>
              <w:t>Abesamis</w:t>
            </w:r>
            <w:proofErr w:type="spellEnd"/>
          </w:p>
        </w:tc>
        <w:tc>
          <w:tcPr>
            <w:tcW w:w="2475" w:type="dxa"/>
          </w:tcPr>
          <w:p w:rsidR="003512C5" w:rsidRPr="009C68D5" w:rsidRDefault="003512C5" w:rsidP="002E3DE4">
            <w:pPr>
              <w:jc w:val="center"/>
              <w:rPr>
                <w:b/>
                <w:sz w:val="16"/>
                <w:szCs w:val="16"/>
              </w:rPr>
            </w:pPr>
            <w:r w:rsidRPr="009C68D5">
              <w:rPr>
                <w:b/>
                <w:sz w:val="16"/>
                <w:szCs w:val="16"/>
              </w:rPr>
              <w:t xml:space="preserve">Dr. Maria Rosario </w:t>
            </w:r>
            <w:proofErr w:type="spellStart"/>
            <w:r w:rsidRPr="009C68D5">
              <w:rPr>
                <w:b/>
                <w:sz w:val="16"/>
                <w:szCs w:val="16"/>
              </w:rPr>
              <w:t>Vergeire</w:t>
            </w:r>
            <w:proofErr w:type="spellEnd"/>
          </w:p>
        </w:tc>
        <w:tc>
          <w:tcPr>
            <w:tcW w:w="2155" w:type="dxa"/>
          </w:tcPr>
          <w:p w:rsidR="003512C5" w:rsidRPr="009C68D5" w:rsidRDefault="003512C5" w:rsidP="002E3DE4">
            <w:pPr>
              <w:jc w:val="center"/>
              <w:rPr>
                <w:sz w:val="16"/>
                <w:szCs w:val="16"/>
              </w:rPr>
            </w:pPr>
          </w:p>
        </w:tc>
      </w:tr>
      <w:tr w:rsidR="003512C5" w:rsidTr="002E3DE4">
        <w:tc>
          <w:tcPr>
            <w:tcW w:w="2315" w:type="dxa"/>
          </w:tcPr>
          <w:p w:rsidR="003512C5" w:rsidRPr="009C68D5" w:rsidRDefault="003512C5" w:rsidP="002E3DE4">
            <w:pPr>
              <w:jc w:val="center"/>
              <w:rPr>
                <w:sz w:val="16"/>
                <w:szCs w:val="16"/>
              </w:rPr>
            </w:pPr>
            <w:r w:rsidRPr="009C68D5">
              <w:rPr>
                <w:sz w:val="16"/>
                <w:szCs w:val="16"/>
              </w:rPr>
              <w:t>Designated Program Manager</w:t>
            </w:r>
          </w:p>
        </w:tc>
        <w:tc>
          <w:tcPr>
            <w:tcW w:w="2315" w:type="dxa"/>
          </w:tcPr>
          <w:p w:rsidR="003512C5" w:rsidRPr="009C68D5" w:rsidRDefault="003512C5" w:rsidP="002E3DE4">
            <w:pPr>
              <w:jc w:val="center"/>
              <w:rPr>
                <w:sz w:val="16"/>
                <w:szCs w:val="16"/>
              </w:rPr>
            </w:pPr>
            <w:r w:rsidRPr="009C68D5">
              <w:rPr>
                <w:sz w:val="16"/>
                <w:szCs w:val="16"/>
              </w:rPr>
              <w:t>Director IV</w:t>
            </w:r>
          </w:p>
        </w:tc>
        <w:tc>
          <w:tcPr>
            <w:tcW w:w="2475" w:type="dxa"/>
          </w:tcPr>
          <w:p w:rsidR="003512C5" w:rsidRPr="009C68D5" w:rsidRDefault="003512C5" w:rsidP="002E3DE4">
            <w:pPr>
              <w:jc w:val="center"/>
              <w:rPr>
                <w:sz w:val="16"/>
                <w:szCs w:val="16"/>
              </w:rPr>
            </w:pPr>
            <w:r w:rsidRPr="009C68D5">
              <w:rPr>
                <w:sz w:val="16"/>
                <w:szCs w:val="16"/>
              </w:rPr>
              <w:t>Assistant Secretary of Health</w:t>
            </w:r>
          </w:p>
        </w:tc>
        <w:tc>
          <w:tcPr>
            <w:tcW w:w="2155" w:type="dxa"/>
          </w:tcPr>
          <w:p w:rsidR="003512C5" w:rsidRPr="009C68D5" w:rsidRDefault="003512C5" w:rsidP="002E3DE4">
            <w:pPr>
              <w:jc w:val="center"/>
              <w:rPr>
                <w:sz w:val="16"/>
                <w:szCs w:val="16"/>
              </w:rPr>
            </w:pPr>
          </w:p>
        </w:tc>
      </w:tr>
      <w:tr w:rsidR="003512C5" w:rsidTr="002E3DE4">
        <w:trPr>
          <w:trHeight w:val="70"/>
        </w:trPr>
        <w:tc>
          <w:tcPr>
            <w:tcW w:w="2315" w:type="dxa"/>
          </w:tcPr>
          <w:p w:rsidR="003512C5" w:rsidRPr="009C68D5" w:rsidRDefault="003512C5" w:rsidP="002E3DE4">
            <w:pPr>
              <w:rPr>
                <w:sz w:val="16"/>
                <w:szCs w:val="16"/>
              </w:rPr>
            </w:pPr>
            <w:r w:rsidRPr="009C68D5">
              <w:rPr>
                <w:sz w:val="16"/>
                <w:szCs w:val="16"/>
              </w:rPr>
              <w:t>Date</w:t>
            </w:r>
          </w:p>
        </w:tc>
        <w:tc>
          <w:tcPr>
            <w:tcW w:w="2315" w:type="dxa"/>
          </w:tcPr>
          <w:p w:rsidR="003512C5" w:rsidRPr="009C68D5" w:rsidRDefault="003512C5" w:rsidP="002E3DE4">
            <w:pPr>
              <w:jc w:val="right"/>
              <w:rPr>
                <w:sz w:val="16"/>
                <w:szCs w:val="16"/>
              </w:rPr>
            </w:pPr>
          </w:p>
        </w:tc>
        <w:tc>
          <w:tcPr>
            <w:tcW w:w="2475" w:type="dxa"/>
          </w:tcPr>
          <w:p w:rsidR="003512C5" w:rsidRPr="009C68D5" w:rsidRDefault="003512C5" w:rsidP="002E3DE4">
            <w:pPr>
              <w:jc w:val="right"/>
              <w:rPr>
                <w:sz w:val="16"/>
                <w:szCs w:val="16"/>
              </w:rPr>
            </w:pPr>
          </w:p>
        </w:tc>
        <w:tc>
          <w:tcPr>
            <w:tcW w:w="2155" w:type="dxa"/>
          </w:tcPr>
          <w:p w:rsidR="003512C5" w:rsidRPr="009C68D5" w:rsidRDefault="003512C5" w:rsidP="002E3DE4">
            <w:pPr>
              <w:jc w:val="right"/>
              <w:rPr>
                <w:sz w:val="16"/>
                <w:szCs w:val="16"/>
              </w:rPr>
            </w:pPr>
          </w:p>
        </w:tc>
      </w:tr>
    </w:tbl>
    <w:p w:rsidR="003512C5" w:rsidRPr="00186CFE" w:rsidRDefault="003512C5" w:rsidP="003512C5">
      <w:pPr>
        <w:jc w:val="right"/>
      </w:pPr>
    </w:p>
    <w:sectPr w:rsidR="003512C5" w:rsidRPr="00186CFE" w:rsidSect="003512C5">
      <w:headerReference w:type="default" r:id="rId7"/>
      <w:footerReference w:type="default" r:id="rId8"/>
      <w:pgSz w:w="12240" w:h="15840"/>
      <w:pgMar w:top="900" w:right="1530" w:bottom="0"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1C2" w:rsidRDefault="002061C2" w:rsidP="00FF6227">
      <w:r>
        <w:separator/>
      </w:r>
    </w:p>
  </w:endnote>
  <w:endnote w:type="continuationSeparator" w:id="0">
    <w:p w:rsidR="002061C2" w:rsidRDefault="002061C2" w:rsidP="00FF6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478" w:rsidRPr="00AF0DFC" w:rsidRDefault="00353741" w:rsidP="00B62478">
    <w:pPr>
      <w:pStyle w:val="Footer"/>
      <w:jc w:val="center"/>
      <w:rPr>
        <w:sz w:val="18"/>
        <w:szCs w:val="18"/>
      </w:rPr>
    </w:pPr>
    <w:r>
      <w:rPr>
        <w:noProof/>
        <w:sz w:val="18"/>
        <w:szCs w:val="18"/>
        <w:lang w:val="en-PH" w:eastAsia="en-PH"/>
      </w:rPr>
      <mc:AlternateContent>
        <mc:Choice Requires="wps">
          <w:drawing>
            <wp:anchor distT="4294967295" distB="4294967295" distL="114300" distR="114300" simplePos="0" relativeHeight="251663360" behindDoc="0" locked="0" layoutInCell="1" allowOverlap="1">
              <wp:simplePos x="0" y="0"/>
              <wp:positionH relativeFrom="column">
                <wp:posOffset>-103505</wp:posOffset>
              </wp:positionH>
              <wp:positionV relativeFrom="paragraph">
                <wp:posOffset>-1906</wp:posOffset>
              </wp:positionV>
              <wp:extent cx="6400800" cy="0"/>
              <wp:effectExtent l="0" t="0" r="19050" b="190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651233" id="_x0000_t32" coordsize="21600,21600" o:spt="32" o:oned="t" path="m,l21600,21600e" filled="f">
              <v:path arrowok="t" fillok="f" o:connecttype="none"/>
              <o:lock v:ext="edit" shapetype="t"/>
            </v:shapetype>
            <v:shape id="AutoShape 3" o:spid="_x0000_s1026" type="#_x0000_t32" style="position:absolute;margin-left:-8.15pt;margin-top:-.15pt;width:7in;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e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"/>
          </w:pict>
        </mc:Fallback>
      </mc:AlternateContent>
    </w:r>
    <w:r w:rsidR="00B62478">
      <w:rPr>
        <w:sz w:val="18"/>
        <w:szCs w:val="18"/>
      </w:rPr>
      <w:t xml:space="preserve">         </w:t>
    </w:r>
    <w:r w:rsidR="00B62478" w:rsidRPr="00AF0DFC">
      <w:rPr>
        <w:sz w:val="18"/>
        <w:szCs w:val="18"/>
      </w:rPr>
      <w:t>Building 1, San Lazaro Compound, Rizal Avenue, Sta. Cruz, 1003 Manila ● Trunk Line 651-7800</w:t>
    </w:r>
    <w:r w:rsidR="00B62478">
      <w:rPr>
        <w:sz w:val="18"/>
        <w:szCs w:val="18"/>
      </w:rPr>
      <w:t xml:space="preserve"> local 1113, 1108, 1135</w:t>
    </w:r>
  </w:p>
  <w:p w:rsidR="00B62478" w:rsidRPr="005C3EF0" w:rsidRDefault="00B62478" w:rsidP="00B62478">
    <w:pPr>
      <w:pStyle w:val="Header"/>
      <w:jc w:val="center"/>
    </w:pPr>
    <w:r>
      <w:rPr>
        <w:sz w:val="18"/>
        <w:szCs w:val="18"/>
      </w:rPr>
      <w:t xml:space="preserve">       Direct Line: 711-9502; 711-9503</w:t>
    </w:r>
    <w:r w:rsidRPr="00AF0DFC">
      <w:rPr>
        <w:sz w:val="18"/>
        <w:szCs w:val="18"/>
      </w:rPr>
      <w:t xml:space="preserve"> Fax: 743-1829</w:t>
    </w:r>
    <w:r>
      <w:rPr>
        <w:sz w:val="18"/>
        <w:szCs w:val="18"/>
      </w:rPr>
      <w:t xml:space="preserve"> </w:t>
    </w:r>
    <w:r w:rsidRPr="00AF0DFC">
      <w:rPr>
        <w:sz w:val="18"/>
        <w:szCs w:val="18"/>
      </w:rPr>
      <w:t>● URL: http://www.doh.</w:t>
    </w:r>
    <w:r>
      <w:rPr>
        <w:sz w:val="18"/>
        <w:szCs w:val="18"/>
      </w:rPr>
      <w:t xml:space="preserve">gov.ph; e-mail: </w:t>
    </w:r>
    <w:hyperlink r:id="rId1" w:history="1">
      <w:r w:rsidR="00D6053C" w:rsidRPr="00F139A7">
        <w:rPr>
          <w:rStyle w:val="Hyperlink"/>
          <w:sz w:val="18"/>
          <w:szCs w:val="18"/>
        </w:rPr>
        <w:t>ftduque@doh.gov.ph</w:t>
      </w:r>
    </w:hyperlink>
  </w:p>
  <w:p w:rsidR="007A2AF1" w:rsidRDefault="007A2A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1C2" w:rsidRDefault="002061C2" w:rsidP="00FF6227">
      <w:r>
        <w:separator/>
      </w:r>
    </w:p>
  </w:footnote>
  <w:footnote w:type="continuationSeparator" w:id="0">
    <w:p w:rsidR="002061C2" w:rsidRDefault="002061C2" w:rsidP="00FF62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227" w:rsidRDefault="00FF6227" w:rsidP="00FF6227">
    <w:pPr>
      <w:pStyle w:val="Header"/>
      <w:tabs>
        <w:tab w:val="left" w:pos="3412"/>
      </w:tabs>
      <w:jc w:val="center"/>
      <w:rPr>
        <w:b/>
        <w:bCs/>
        <w:sz w:val="20"/>
      </w:rPr>
    </w:pPr>
    <w:r>
      <w:rPr>
        <w:b/>
        <w:bCs/>
        <w:noProof/>
        <w:sz w:val="20"/>
        <w:lang w:val="en-PH" w:eastAsia="en-PH"/>
      </w:rPr>
      <w:drawing>
        <wp:anchor distT="0" distB="0" distL="114300" distR="114300" simplePos="0" relativeHeight="251660800" behindDoc="0" locked="0" layoutInCell="1" allowOverlap="1">
          <wp:simplePos x="0" y="0"/>
          <wp:positionH relativeFrom="column">
            <wp:posOffset>66675</wp:posOffset>
          </wp:positionH>
          <wp:positionV relativeFrom="paragraph">
            <wp:posOffset>-247650</wp:posOffset>
          </wp:positionV>
          <wp:extent cx="1014730" cy="969645"/>
          <wp:effectExtent l="0" t="0" r="0" b="1905"/>
          <wp:wrapNone/>
          <wp:docPr id="3" name="Picture 2" descr="DOH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colored"/>
                  <pic:cNvPicPr>
                    <a:picLocks noChangeAspect="1" noChangeArrowheads="1"/>
                  </pic:cNvPicPr>
                </pic:nvPicPr>
                <pic:blipFill>
                  <a:blip r:embed="rId1">
                    <a:clrChange>
                      <a:clrFrom>
                        <a:srgbClr val="FFFFFF"/>
                      </a:clrFrom>
                      <a:clrTo>
                        <a:srgbClr val="FFFFFF">
                          <a:alpha val="0"/>
                        </a:srgbClr>
                      </a:clrTo>
                    </a:clrChange>
                    <a:lum bright="-6000" contrast="48000"/>
                  </a:blip>
                  <a:srcRect/>
                  <a:stretch>
                    <a:fillRect/>
                  </a:stretch>
                </pic:blipFill>
                <pic:spPr bwMode="auto">
                  <a:xfrm>
                    <a:off x="0" y="0"/>
                    <a:ext cx="1014730" cy="969645"/>
                  </a:xfrm>
                  <a:prstGeom prst="rect">
                    <a:avLst/>
                  </a:prstGeom>
                  <a:noFill/>
                </pic:spPr>
              </pic:pic>
            </a:graphicData>
          </a:graphic>
          <wp14:sizeRelV relativeFrom="margin">
            <wp14:pctHeight>0</wp14:pctHeight>
          </wp14:sizeRelV>
        </wp:anchor>
      </w:drawing>
    </w:r>
  </w:p>
  <w:p w:rsidR="00FF6227" w:rsidRPr="00AC1C80" w:rsidRDefault="00FF6227" w:rsidP="00FF6227">
    <w:pPr>
      <w:pStyle w:val="Header"/>
      <w:tabs>
        <w:tab w:val="left" w:pos="583"/>
        <w:tab w:val="left" w:pos="3412"/>
      </w:tabs>
      <w:rPr>
        <w:bCs/>
        <w:sz w:val="20"/>
      </w:rPr>
    </w:pPr>
    <w:r>
      <w:rPr>
        <w:bCs/>
        <w:sz w:val="20"/>
      </w:rPr>
      <w:tab/>
    </w:r>
    <w:r>
      <w:rPr>
        <w:bCs/>
        <w:sz w:val="20"/>
      </w:rPr>
      <w:tab/>
    </w:r>
    <w:r>
      <w:rPr>
        <w:bCs/>
        <w:sz w:val="20"/>
      </w:rPr>
      <w:tab/>
    </w:r>
    <w:r w:rsidRPr="00AC1C80">
      <w:rPr>
        <w:bCs/>
        <w:sz w:val="20"/>
      </w:rPr>
      <w:t>Republic of the Philippines</w:t>
    </w:r>
  </w:p>
  <w:p w:rsidR="00FF6227" w:rsidRPr="00AC1C80" w:rsidRDefault="00FF6227" w:rsidP="00FF6227">
    <w:pPr>
      <w:pStyle w:val="Header"/>
      <w:jc w:val="center"/>
      <w:rPr>
        <w:bCs/>
        <w:iCs/>
      </w:rPr>
    </w:pPr>
    <w:r w:rsidRPr="00AC1C80">
      <w:rPr>
        <w:bCs/>
        <w:iCs/>
      </w:rPr>
      <w:t>Department of Health</w:t>
    </w:r>
  </w:p>
  <w:p w:rsidR="00FF6227" w:rsidRDefault="00FF6227" w:rsidP="00FF6227">
    <w:pPr>
      <w:pStyle w:val="Header"/>
      <w:jc w:val="center"/>
    </w:pPr>
    <w:r>
      <w:rPr>
        <w:b/>
        <w:bCs/>
        <w:iCs/>
        <w:sz w:val="28"/>
        <w:szCs w:val="28"/>
      </w:rPr>
      <w:t>OFFICE OF THE SECRETARY</w:t>
    </w:r>
  </w:p>
  <w:p w:rsidR="007A2AF1" w:rsidRDefault="007A2A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E0807"/>
    <w:multiLevelType w:val="hybridMultilevel"/>
    <w:tmpl w:val="448ACC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2530503"/>
    <w:multiLevelType w:val="hybridMultilevel"/>
    <w:tmpl w:val="C88E6A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8C04AE0"/>
    <w:multiLevelType w:val="hybridMultilevel"/>
    <w:tmpl w:val="5E6A91A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0B06B51"/>
    <w:multiLevelType w:val="hybridMultilevel"/>
    <w:tmpl w:val="ACA81E4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 w15:restartNumberingAfterBreak="0">
    <w:nsid w:val="5BE4757F"/>
    <w:multiLevelType w:val="hybridMultilevel"/>
    <w:tmpl w:val="BEF8DC68"/>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AD52C2A6">
      <w:start w:val="1"/>
      <w:numFmt w:val="bullet"/>
      <w:lvlText w:val="-"/>
      <w:lvlJc w:val="left"/>
      <w:pPr>
        <w:ind w:left="2880" w:hanging="360"/>
      </w:pPr>
      <w:rPr>
        <w:rFonts w:ascii="Times New Roman" w:eastAsia="Calibri" w:hAnsi="Times New Roman" w:cs="Times New Roman" w:hint="default"/>
      </w:r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C363AAA"/>
    <w:multiLevelType w:val="hybridMultilevel"/>
    <w:tmpl w:val="B3F8A88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4372ED3"/>
    <w:multiLevelType w:val="hybridMultilevel"/>
    <w:tmpl w:val="6010C8E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7" w15:restartNumberingAfterBreak="0">
    <w:nsid w:val="777F12F0"/>
    <w:multiLevelType w:val="hybridMultilevel"/>
    <w:tmpl w:val="524E15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227"/>
    <w:rsid w:val="00025793"/>
    <w:rsid w:val="000417D3"/>
    <w:rsid w:val="000759D5"/>
    <w:rsid w:val="00083C68"/>
    <w:rsid w:val="000C57DB"/>
    <w:rsid w:val="000E0D14"/>
    <w:rsid w:val="000F2263"/>
    <w:rsid w:val="000F2E8C"/>
    <w:rsid w:val="000F30BD"/>
    <w:rsid w:val="0012372D"/>
    <w:rsid w:val="0012785E"/>
    <w:rsid w:val="00142956"/>
    <w:rsid w:val="00161B51"/>
    <w:rsid w:val="00177A82"/>
    <w:rsid w:val="00186CFE"/>
    <w:rsid w:val="00187437"/>
    <w:rsid w:val="001E47CC"/>
    <w:rsid w:val="001E52BA"/>
    <w:rsid w:val="001E5C92"/>
    <w:rsid w:val="002061C2"/>
    <w:rsid w:val="0023164A"/>
    <w:rsid w:val="002A161D"/>
    <w:rsid w:val="002D5112"/>
    <w:rsid w:val="002F3C5E"/>
    <w:rsid w:val="00304E47"/>
    <w:rsid w:val="0031050D"/>
    <w:rsid w:val="003256FB"/>
    <w:rsid w:val="00341711"/>
    <w:rsid w:val="0034299A"/>
    <w:rsid w:val="003512C5"/>
    <w:rsid w:val="00353741"/>
    <w:rsid w:val="00360049"/>
    <w:rsid w:val="003703E0"/>
    <w:rsid w:val="003A6E6B"/>
    <w:rsid w:val="003C4634"/>
    <w:rsid w:val="003D52CD"/>
    <w:rsid w:val="003F2720"/>
    <w:rsid w:val="00401F48"/>
    <w:rsid w:val="00462BD1"/>
    <w:rsid w:val="004638D7"/>
    <w:rsid w:val="004C722A"/>
    <w:rsid w:val="004F78F8"/>
    <w:rsid w:val="00502998"/>
    <w:rsid w:val="00503118"/>
    <w:rsid w:val="005054CC"/>
    <w:rsid w:val="005100EE"/>
    <w:rsid w:val="00511FC8"/>
    <w:rsid w:val="0052792C"/>
    <w:rsid w:val="00546CB0"/>
    <w:rsid w:val="005654F6"/>
    <w:rsid w:val="00570F7A"/>
    <w:rsid w:val="005856A4"/>
    <w:rsid w:val="005A3E82"/>
    <w:rsid w:val="005A6104"/>
    <w:rsid w:val="005B3AB2"/>
    <w:rsid w:val="005C3EF0"/>
    <w:rsid w:val="005C62FE"/>
    <w:rsid w:val="005C69D1"/>
    <w:rsid w:val="005F5A63"/>
    <w:rsid w:val="00620992"/>
    <w:rsid w:val="00634ED5"/>
    <w:rsid w:val="0064266C"/>
    <w:rsid w:val="00652D5F"/>
    <w:rsid w:val="006558C2"/>
    <w:rsid w:val="00683403"/>
    <w:rsid w:val="006B1FD8"/>
    <w:rsid w:val="006E1DBC"/>
    <w:rsid w:val="006E6BC4"/>
    <w:rsid w:val="006F2718"/>
    <w:rsid w:val="00701563"/>
    <w:rsid w:val="007061F7"/>
    <w:rsid w:val="00707470"/>
    <w:rsid w:val="00707AD8"/>
    <w:rsid w:val="00715CEF"/>
    <w:rsid w:val="00755692"/>
    <w:rsid w:val="0076230E"/>
    <w:rsid w:val="00765394"/>
    <w:rsid w:val="007A2AF1"/>
    <w:rsid w:val="007D6743"/>
    <w:rsid w:val="007F24CB"/>
    <w:rsid w:val="00813FFD"/>
    <w:rsid w:val="008402D3"/>
    <w:rsid w:val="00871CBB"/>
    <w:rsid w:val="00884471"/>
    <w:rsid w:val="008C6B1B"/>
    <w:rsid w:val="008F366D"/>
    <w:rsid w:val="00922699"/>
    <w:rsid w:val="0092532C"/>
    <w:rsid w:val="00926789"/>
    <w:rsid w:val="00941671"/>
    <w:rsid w:val="00942415"/>
    <w:rsid w:val="0097278C"/>
    <w:rsid w:val="00985DEE"/>
    <w:rsid w:val="00992B10"/>
    <w:rsid w:val="009959DE"/>
    <w:rsid w:val="009B4CBC"/>
    <w:rsid w:val="009D12DB"/>
    <w:rsid w:val="009E7D4E"/>
    <w:rsid w:val="00A04B80"/>
    <w:rsid w:val="00A20FE7"/>
    <w:rsid w:val="00A30733"/>
    <w:rsid w:val="00A72A94"/>
    <w:rsid w:val="00AA723A"/>
    <w:rsid w:val="00AB4CCE"/>
    <w:rsid w:val="00AD7854"/>
    <w:rsid w:val="00AE6929"/>
    <w:rsid w:val="00AF0C13"/>
    <w:rsid w:val="00B03FAC"/>
    <w:rsid w:val="00B12451"/>
    <w:rsid w:val="00B1333A"/>
    <w:rsid w:val="00B325BC"/>
    <w:rsid w:val="00B44CE3"/>
    <w:rsid w:val="00B44DC4"/>
    <w:rsid w:val="00B62478"/>
    <w:rsid w:val="00B82EA5"/>
    <w:rsid w:val="00B85788"/>
    <w:rsid w:val="00BA0DC8"/>
    <w:rsid w:val="00BA6177"/>
    <w:rsid w:val="00BB5285"/>
    <w:rsid w:val="00BC6210"/>
    <w:rsid w:val="00BE34CA"/>
    <w:rsid w:val="00BE55D1"/>
    <w:rsid w:val="00BE7CDE"/>
    <w:rsid w:val="00C123B4"/>
    <w:rsid w:val="00C17343"/>
    <w:rsid w:val="00C23758"/>
    <w:rsid w:val="00C61BAA"/>
    <w:rsid w:val="00C83E9C"/>
    <w:rsid w:val="00C9495C"/>
    <w:rsid w:val="00CA7193"/>
    <w:rsid w:val="00CC41E0"/>
    <w:rsid w:val="00CD0FA6"/>
    <w:rsid w:val="00CD573C"/>
    <w:rsid w:val="00CE6232"/>
    <w:rsid w:val="00CF65F5"/>
    <w:rsid w:val="00D059EF"/>
    <w:rsid w:val="00D25064"/>
    <w:rsid w:val="00D31A09"/>
    <w:rsid w:val="00D33D92"/>
    <w:rsid w:val="00D3434E"/>
    <w:rsid w:val="00D548FF"/>
    <w:rsid w:val="00D6053C"/>
    <w:rsid w:val="00D93E9C"/>
    <w:rsid w:val="00E303E7"/>
    <w:rsid w:val="00E47B8A"/>
    <w:rsid w:val="00E65CD9"/>
    <w:rsid w:val="00EB26C9"/>
    <w:rsid w:val="00EC3543"/>
    <w:rsid w:val="00ED732B"/>
    <w:rsid w:val="00EF67BA"/>
    <w:rsid w:val="00F12BED"/>
    <w:rsid w:val="00F14B8E"/>
    <w:rsid w:val="00F92A21"/>
    <w:rsid w:val="00FC6F90"/>
    <w:rsid w:val="00FF366A"/>
    <w:rsid w:val="00FF6227"/>
    <w:rsid w:val="00FF7ECB"/>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F6B876-D734-44B8-AB75-C00CEE468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227"/>
    <w:pPr>
      <w:spacing w:after="0" w:line="240" w:lineRule="auto"/>
      <w:ind w:left="0" w:firstLine="0"/>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6227"/>
    <w:pPr>
      <w:spacing w:after="0" w:line="240" w:lineRule="auto"/>
      <w:ind w:left="0" w:firstLine="0"/>
      <w:jc w:val="left"/>
    </w:pPr>
    <w:rPr>
      <w:rFonts w:ascii="Calibri" w:eastAsia="Calibri" w:hAnsi="Calibri" w:cs="Times New Roman"/>
    </w:rPr>
  </w:style>
  <w:style w:type="paragraph" w:styleId="Header">
    <w:name w:val="header"/>
    <w:basedOn w:val="Normal"/>
    <w:link w:val="HeaderChar"/>
    <w:uiPriority w:val="99"/>
    <w:rsid w:val="00FF6227"/>
    <w:pPr>
      <w:tabs>
        <w:tab w:val="center" w:pos="4680"/>
        <w:tab w:val="right" w:pos="9360"/>
      </w:tabs>
    </w:pPr>
  </w:style>
  <w:style w:type="character" w:customStyle="1" w:styleId="HeaderChar">
    <w:name w:val="Header Char"/>
    <w:basedOn w:val="DefaultParagraphFont"/>
    <w:link w:val="Header"/>
    <w:uiPriority w:val="99"/>
    <w:rsid w:val="00FF6227"/>
    <w:rPr>
      <w:rFonts w:ascii="Times New Roman" w:eastAsia="Times New Roman" w:hAnsi="Times New Roman" w:cs="Times New Roman"/>
      <w:sz w:val="24"/>
      <w:szCs w:val="24"/>
    </w:rPr>
  </w:style>
  <w:style w:type="paragraph" w:styleId="Footer">
    <w:name w:val="footer"/>
    <w:basedOn w:val="Normal"/>
    <w:link w:val="FooterChar"/>
    <w:uiPriority w:val="99"/>
    <w:rsid w:val="00FF6227"/>
    <w:pPr>
      <w:tabs>
        <w:tab w:val="center" w:pos="4680"/>
        <w:tab w:val="right" w:pos="9360"/>
      </w:tabs>
    </w:pPr>
  </w:style>
  <w:style w:type="character" w:customStyle="1" w:styleId="FooterChar">
    <w:name w:val="Footer Char"/>
    <w:basedOn w:val="DefaultParagraphFont"/>
    <w:link w:val="Footer"/>
    <w:uiPriority w:val="99"/>
    <w:rsid w:val="00FF622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6227"/>
    <w:rPr>
      <w:rFonts w:ascii="Tahoma" w:hAnsi="Tahoma" w:cs="Tahoma"/>
      <w:sz w:val="16"/>
      <w:szCs w:val="16"/>
    </w:rPr>
  </w:style>
  <w:style w:type="character" w:customStyle="1" w:styleId="BalloonTextChar">
    <w:name w:val="Balloon Text Char"/>
    <w:basedOn w:val="DefaultParagraphFont"/>
    <w:link w:val="BalloonText"/>
    <w:uiPriority w:val="99"/>
    <w:semiHidden/>
    <w:rsid w:val="00FF6227"/>
    <w:rPr>
      <w:rFonts w:ascii="Tahoma" w:eastAsia="Times New Roman" w:hAnsi="Tahoma" w:cs="Tahoma"/>
      <w:sz w:val="16"/>
      <w:szCs w:val="16"/>
    </w:rPr>
  </w:style>
  <w:style w:type="character" w:customStyle="1" w:styleId="apple-converted-space">
    <w:name w:val="apple-converted-space"/>
    <w:basedOn w:val="DefaultParagraphFont"/>
    <w:rsid w:val="005A3E82"/>
  </w:style>
  <w:style w:type="paragraph" w:styleId="ListParagraph">
    <w:name w:val="List Paragraph"/>
    <w:basedOn w:val="Normal"/>
    <w:uiPriority w:val="34"/>
    <w:qFormat/>
    <w:rsid w:val="00BE34CA"/>
    <w:pPr>
      <w:ind w:left="720"/>
      <w:contextualSpacing/>
    </w:pPr>
  </w:style>
  <w:style w:type="character" w:styleId="Hyperlink">
    <w:name w:val="Hyperlink"/>
    <w:basedOn w:val="DefaultParagraphFont"/>
    <w:uiPriority w:val="99"/>
    <w:unhideWhenUsed/>
    <w:rsid w:val="003C4634"/>
    <w:rPr>
      <w:color w:val="0000FF" w:themeColor="hyperlink"/>
      <w:u w:val="single"/>
    </w:rPr>
  </w:style>
  <w:style w:type="table" w:styleId="TableGrid">
    <w:name w:val="Table Grid"/>
    <w:basedOn w:val="TableNormal"/>
    <w:uiPriority w:val="39"/>
    <w:rsid w:val="00A20FE7"/>
    <w:pPr>
      <w:spacing w:after="0" w:line="240" w:lineRule="auto"/>
      <w:ind w:left="0" w:firstLine="0"/>
      <w:jc w:val="left"/>
    </w:pPr>
    <w:rPr>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D6743"/>
    <w:rPr>
      <w:b/>
      <w:bCs/>
    </w:rPr>
  </w:style>
  <w:style w:type="character" w:customStyle="1" w:styleId="NoSpacingChar">
    <w:name w:val="No Spacing Char"/>
    <w:link w:val="NoSpacing"/>
    <w:uiPriority w:val="1"/>
    <w:rsid w:val="00652D5F"/>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86155">
      <w:bodyDiv w:val="1"/>
      <w:marLeft w:val="0"/>
      <w:marRight w:val="0"/>
      <w:marTop w:val="0"/>
      <w:marBottom w:val="0"/>
      <w:divBdr>
        <w:top w:val="none" w:sz="0" w:space="0" w:color="auto"/>
        <w:left w:val="none" w:sz="0" w:space="0" w:color="auto"/>
        <w:bottom w:val="none" w:sz="0" w:space="0" w:color="auto"/>
        <w:right w:val="none" w:sz="0" w:space="0" w:color="auto"/>
      </w:divBdr>
    </w:div>
    <w:div w:id="380524748">
      <w:bodyDiv w:val="1"/>
      <w:marLeft w:val="0"/>
      <w:marRight w:val="0"/>
      <w:marTop w:val="0"/>
      <w:marBottom w:val="0"/>
      <w:divBdr>
        <w:top w:val="none" w:sz="0" w:space="0" w:color="auto"/>
        <w:left w:val="none" w:sz="0" w:space="0" w:color="auto"/>
        <w:bottom w:val="none" w:sz="0" w:space="0" w:color="auto"/>
        <w:right w:val="none" w:sz="0" w:space="0" w:color="auto"/>
      </w:divBdr>
    </w:div>
    <w:div w:id="657878532">
      <w:bodyDiv w:val="1"/>
      <w:marLeft w:val="0"/>
      <w:marRight w:val="0"/>
      <w:marTop w:val="0"/>
      <w:marBottom w:val="0"/>
      <w:divBdr>
        <w:top w:val="none" w:sz="0" w:space="0" w:color="auto"/>
        <w:left w:val="none" w:sz="0" w:space="0" w:color="auto"/>
        <w:bottom w:val="none" w:sz="0" w:space="0" w:color="auto"/>
        <w:right w:val="none" w:sz="0" w:space="0" w:color="auto"/>
      </w:divBdr>
    </w:div>
    <w:div w:id="877472992">
      <w:bodyDiv w:val="1"/>
      <w:marLeft w:val="0"/>
      <w:marRight w:val="0"/>
      <w:marTop w:val="0"/>
      <w:marBottom w:val="0"/>
      <w:divBdr>
        <w:top w:val="none" w:sz="0" w:space="0" w:color="auto"/>
        <w:left w:val="none" w:sz="0" w:space="0" w:color="auto"/>
        <w:bottom w:val="none" w:sz="0" w:space="0" w:color="auto"/>
        <w:right w:val="none" w:sz="0" w:space="0" w:color="auto"/>
      </w:divBdr>
    </w:div>
    <w:div w:id="1009599338">
      <w:bodyDiv w:val="1"/>
      <w:marLeft w:val="0"/>
      <w:marRight w:val="0"/>
      <w:marTop w:val="0"/>
      <w:marBottom w:val="0"/>
      <w:divBdr>
        <w:top w:val="none" w:sz="0" w:space="0" w:color="auto"/>
        <w:left w:val="none" w:sz="0" w:space="0" w:color="auto"/>
        <w:bottom w:val="none" w:sz="0" w:space="0" w:color="auto"/>
        <w:right w:val="none" w:sz="0" w:space="0" w:color="auto"/>
      </w:divBdr>
    </w:div>
    <w:div w:id="1146357631">
      <w:bodyDiv w:val="1"/>
      <w:marLeft w:val="0"/>
      <w:marRight w:val="0"/>
      <w:marTop w:val="0"/>
      <w:marBottom w:val="0"/>
      <w:divBdr>
        <w:top w:val="none" w:sz="0" w:space="0" w:color="auto"/>
        <w:left w:val="none" w:sz="0" w:space="0" w:color="auto"/>
        <w:bottom w:val="none" w:sz="0" w:space="0" w:color="auto"/>
        <w:right w:val="none" w:sz="0" w:space="0" w:color="auto"/>
      </w:divBdr>
    </w:div>
    <w:div w:id="1283924331">
      <w:bodyDiv w:val="1"/>
      <w:marLeft w:val="0"/>
      <w:marRight w:val="0"/>
      <w:marTop w:val="0"/>
      <w:marBottom w:val="0"/>
      <w:divBdr>
        <w:top w:val="none" w:sz="0" w:space="0" w:color="auto"/>
        <w:left w:val="none" w:sz="0" w:space="0" w:color="auto"/>
        <w:bottom w:val="none" w:sz="0" w:space="0" w:color="auto"/>
        <w:right w:val="none" w:sz="0" w:space="0" w:color="auto"/>
      </w:divBdr>
    </w:div>
    <w:div w:id="201749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ftduque@doh.gov.p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edomingo</dc:creator>
  <cp:lastModifiedBy>DOHDesktop</cp:lastModifiedBy>
  <cp:revision>5</cp:revision>
  <cp:lastPrinted>2018-04-10T06:25:00Z</cp:lastPrinted>
  <dcterms:created xsi:type="dcterms:W3CDTF">2018-04-06T08:34:00Z</dcterms:created>
  <dcterms:modified xsi:type="dcterms:W3CDTF">2018-04-10T09:43:00Z</dcterms:modified>
</cp:coreProperties>
</file>