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Adoption Paradox</w:t>
      </w:r>
    </w:p>
    <w:p>
      <w:pPr>
        <w:pStyle w:val="Heading1"/>
      </w:pPr>
      <w:r>
        <w:t>CDM/DRR and the Strategic Divergence of Tier 1 US Banks (2025–2035)</w:t>
      </w:r>
    </w:p>
    <w:p>
      <w:r>
        <w:t>Every major US bank participates in the governance of the ISDA Common Domain Model. Only one has taken it to production. This paradox—universal engagement, singular commitment—defines the strategic landscape for derivatives infrastructure through 2035. And the stakes are rising: since transferring to FINOS in February 2023, CDM has expanded beyond OTC derivatives to encompass repos, securities lending, and cash securities under tri-association governance with ICMA and ISLA [FINOS CDM SCOPE.md]. What began as a derivatives standard is becoming cross-asset infrastructure.</w:t>
      </w:r>
    </w:p>
    <w:p>
      <w:r>
        <w:t>On October 21, 2024, JPMorgan went live with CDM/DRR for ASIC and MAS reporting [ISDA JPM Webinar]. Bank of America, Citi, Goldman Sachs, Morgan Stanley, and Wells Fargo remain active in CDM governance but have not followed [FINOS CDM Working Group]. The divergence is deliberate. Each institution is making a calculated bet about timing, architecture, and risk.</w:t>
      </w:r>
    </w:p>
    <w:p>
      <w:pPr>
        <w:pStyle w:val="Heading1"/>
      </w:pPr>
      <w:r>
        <w:t>Three Strategic Postures</w:t>
      </w:r>
    </w:p>
    <w:p>
      <w:r>
        <w:t>Three integration strategies have emerged [ISDA/Capgemini Industry Perspectives]. None is inherently superior; each reflects a different calculation about cost, risk, and optionality.</w:t>
      </w:r>
    </w:p>
    <w:p>
      <w:r/>
      <w:r>
        <w:rPr>
          <w:b/>
        </w:rPr>
        <w:t>Native Integration</w:t>
      </w:r>
      <w:r>
        <w:t xml:space="preserve"> embeds CDM directly into booking and risk systems. High upfront cost, but positions the firm for lifecycle automation beyond reporting.</w:t>
      </w:r>
    </w:p>
    <w:p>
      <w:r/>
      <w:r>
        <w:rPr>
          <w:b/>
        </w:rPr>
        <w:t>Post-trade Conversion</w:t>
      </w:r>
      <w:r>
        <w:t xml:space="preserve"> implements CDM in data lakes and warehouses. Preserves legacy platforms while enabling compliance.</w:t>
      </w:r>
    </w:p>
    <w:p>
      <w:r/>
      <w:r>
        <w:rPr>
          <w:b/>
        </w:rPr>
        <w:t>Reporting-Layer Conversion</w:t>
      </w:r>
      <w:r>
        <w:t xml:space="preserve"> transforms data to CDM only at regulatory submission. Minimal upstream disruption.</w:t>
      </w:r>
    </w:p>
    <w:p>
      <w:pPr>
        <w:pStyle w:val="Heading1"/>
      </w:pPr>
      <w:r>
        <w:t>JPMorgan: The Semi-Native Bet</w:t>
      </w:r>
    </w:p>
    <w:p>
      <w:r>
        <w:t>JPMorgan calls their approach "semi-native"—and the distinction matters. In a November 2024 ISDA webinar, Nick Mosher, JPMorgan's Product Director for Regulatory Technology, explained the architecture: risk management events map directly to CDM, which feeds the DRR logic [ISDA JPM Webinar, 32:04]. This is not a full rebuild of upstream systems. It's a strategic middle ground.</w:t>
      </w:r>
    </w:p>
    <w:p>
      <w:r>
        <w:t>The key design choice: CDM sits outside the reporting solution. "Primary use case is reg reporting," Mosher said, "but it was built with a preemptive view for other uses. It is currently used in post-trade processing, not pre-trade yet" [ISDA JPM Webinar, 1:24:38]. By keeping CDM upstream—a canonical layer that reporting consumes but doesn't contain—JPMorgan preserves optionality for collateral, B2B messaging, and tokenization.</w:t>
      </w:r>
    </w:p>
    <w:p>
      <w:r>
        <w:t>The architecture also bypasses FpML entirely. "We use a Java layer to translate native RMS events directly into CDM," Mosher noted. "FpML is not in the flow" [ISDA JPM Webinar, 1:26:05]. This reflects JPMorgan's existing Athena investment—and creates an approach that peers with different platforms may not replicate directly [INFERENCE].</w:t>
      </w:r>
    </w:p>
    <w:p>
      <w:r>
        <w:t>Implementation was not trivial. When asked about the biggest challenge, Mosher was direct: "Mapping internal products to CDM takes the largest proportion of build time" [ISDA JPM Webinar, 1:28:22]. JPMorgan's scale made this feasible. For others, it's the central question [INFERENCE].</w:t>
      </w:r>
    </w:p>
    <w:p>
      <w:pPr>
        <w:pStyle w:val="Heading1"/>
      </w:pPr>
      <w:r>
        <w:t>Goldman Sachs: The Interoperability Play</w:t>
      </w:r>
    </w:p>
    <w:p>
      <w:r>
        <w:t>Goldman contributed its Legend data modeling platform to FINOS and piloted FX option extensions to CDM [Google Cloud/Goldman Sachs]. But Goldman isn't replacing SecDB. Instead, Legend speaks CDM—interoperability without transformation. The bet: ecosystem influence and client connectivity deliver sufficient value without rearchitecting battle-tested systems [INFERENCE].</w:t>
      </w:r>
    </w:p>
    <w:p>
      <w:pPr>
        <w:pStyle w:val="Heading1"/>
      </w:pPr>
      <w:r>
        <w:t>Bank of America: The Bridge Strategy</w:t>
      </w:r>
    </w:p>
    <w:p>
      <w:r>
        <w:t>Bank of America participates in CDM working groups but isn't a code maintainer [FINOS CDM TAWG Minutes; FINOS Active Project]. Evidence suggests a bridging approach: preserve Quartz, the Python-based risk platform, while building translation layers at the edge [INFERENCE]. Quartz encodes decades of regulatory interpretation and operational refinement. A translation layer trades ongoing conversion costs for reduced transformation risk. Given the CDM standard's continued evolution, that's a defensible calculation.</w:t>
      </w:r>
    </w:p>
    <w:p>
      <w:r>
        <w:t>The math reinforces the logic. Derivatives represents roughly 15% of Bank of America's revenue, compared to 40% at JPMorgan and 60% at Morgan Stanley [Bank 10-K Filings]. A CDM transformation program—likely $500 million to $1 billion for a firm-wide canonical model—yields different ROI when the affected business is one-seventh the size. Consumer and commercial banking dominate BofA's revenue mix; the calculus is different [INFERENCE].</w:t>
      </w:r>
    </w:p>
    <w:p>
      <w:pPr>
        <w:pStyle w:val="Heading1"/>
      </w:pPr>
      <w:r>
        <w:t>Citigroup: The Compliance Calculus</w:t>
      </w:r>
    </w:p>
    <w:p>
      <w:r>
        <w:t>Citigroup's global footprint—operations in 160+ countries—makes CDM a different problem. Where JPMorgan can mandate a single canonical model, Citi must satisfy EMIR, CFTC, MAS, ASIC, and a dozen other regimes simultaneously [INFERENCE].</w:t>
      </w:r>
    </w:p>
    <w:p>
      <w:r>
        <w:t>The likely architecture: CDM as a translation layer between legacy trading systems and multi-jurisdictional reporting. Internal models remain the source of truth; CDM becomes the compliance gateway [INFERENCE]. It's a pragmatic choice for a bank where regulatory alignment across geographies, not operational efficiency, is the primary driver.</w:t>
      </w:r>
    </w:p>
    <w:p>
      <w:r>
        <w:t>The Institutional Clients Group will lead. ISDA DRR is the entry point—not because Citi lacks ambition, but because the global regulatory patchwork makes compliance the clearest value proposition. Operational transformation may follow, but it won't lead [INFERENCE].</w:t>
      </w:r>
    </w:p>
    <w:p>
      <w:pPr>
        <w:pStyle w:val="Heading1"/>
      </w:pPr>
      <w:r>
        <w:t>Morgan Stanley: The Integration Bet</w:t>
      </w:r>
    </w:p>
    <w:p>
      <w:r>
        <w:t>Morgan Stanley's business mix creates different priorities. Wealth management and prime brokerage—not derivatives trading—dominate the revenue base [MS 10-K]. CDM's expansion into securities lending via ISLA makes the standard newly relevant, but not in the way JPMorgan experiences it [INFERENCE].</w:t>
      </w:r>
    </w:p>
    <w:p>
      <w:r>
        <w:t>The emerging approach: CDM as an integration hub for external connectivity. Internal proprietary models stay intact; CDM enables client interoperability, industry utility connections, and regulatory reporting without requiring transformation [INFERENCE]. Morgan Stanley's quantitative culture and prime brokerage strength position it to benefit from ISLA's securities lending work—a domain where CDM coverage is still maturing.</w:t>
      </w:r>
    </w:p>
    <w:p>
      <w:r>
        <w:t>It's a bet on flexibility over depth. If CDM becomes mandatory, Morgan Stanley can deepen integration. If it fragments or stalls, they've preserved optionality without over-committing [INFERENCE].</w:t>
      </w:r>
    </w:p>
    <w:p>
      <w:pPr>
        <w:pStyle w:val="Heading1"/>
      </w:pPr>
      <w:r>
        <w:t>The Case for Patience</w:t>
      </w:r>
    </w:p>
    <w:p>
      <w:r>
        <w:t>Early adoption has costs. Institutions taking a measured approach aren't asleep—they're calculating.</w:t>
      </w:r>
    </w:p>
    <w:p>
      <w:pPr>
        <w:pStyle w:val="ListBullet"/>
      </w:pPr>
      <w:r>
        <w:t>Sunk costs are real. Quartz, SecDB, and Athena represent billions in investment and decades of embedded expertise. That knowledge doesn't transfer easily to a new canonical model.</w:t>
      </w:r>
    </w:p>
    <w:p>
      <w:pPr>
        <w:pStyle w:val="ListBullet"/>
      </w:pPr>
      <w:r>
        <w:t>History favors wrappers. The FpML adoption cycle proved translation strategies can succeed for decades. JPMorgan's own architecture bypasses FpML—an implicit acknowledgment that multiple approaches coexist.</w:t>
      </w:r>
    </w:p>
    <w:p>
      <w:pPr>
        <w:pStyle w:val="ListBullet"/>
      </w:pPr>
      <w:r>
        <w:t>The standard is still moving. ISDA is extending CDM to 12 regulatory regimes across 9 jurisdictions [ISDA DRR InfoHub]. Adopt today, and you may face multiple migration cycles as coverage expands.</w:t>
      </w:r>
    </w:p>
    <w:p>
      <w:pPr>
        <w:pStyle w:val="ListBullet"/>
      </w:pPr>
      <w:r>
        <w:t>First movers absorb pain. JPMorgan acknowledged that product mapping "takes the largest proportion of build time" [ISDA JPM Webinar, 1:28:22]. Later adopters inherit a more refined standard—at no cost.</w:t>
      </w:r>
    </w:p>
    <w:p>
      <w:pPr>
        <w:pStyle w:val="Heading1"/>
      </w:pPr>
      <w:r>
        <w:t>The Regulatory Ratchet</w:t>
      </w:r>
    </w:p>
    <w:p>
      <w:r>
        <w:t>The CFTC imposed $17.1 billion in monetary relief in FY2024, including $2.6 billion in civil penalties [CFTC Press Release 9011-24]. Derivatives reporting failures are expensive: BNY Mellon paid $5 million for misreporting 5 million swaps; Barclays paid $4 million; Goldman, Bank of America, and JPMorgan collectively paid over $50 million in 2023 [Regnosys Industry News].</w:t>
      </w:r>
    </w:p>
    <w:p>
      <w:r>
        <w:t>CFTC Director Ian McGinley in October 2023: "It has been 13 years since Dodd-Frank and well past time for swap dealers to ensure they are in full compliance" [CFTC]. The message is clear. The question is whether CDM is the answer—or one answer among several.</w:t>
      </w:r>
    </w:p>
    <w:p>
      <w:pPr>
        <w:pStyle w:val="Heading1"/>
      </w:pPr>
      <w:r>
        <w:t>The Economics of Adoption</w:t>
      </w:r>
    </w:p>
    <w:p>
      <w:r>
        <w:t>Early adopters report significant benefits [ISDA/Capgemini Industry Perspectives]:</w:t>
      </w:r>
    </w:p>
    <w:p>
      <w:pPr>
        <w:pStyle w:val="ListBullet"/>
      </w:pPr>
      <w:r>
        <w:t>98–100% trade repository acknowledgment rates</w:t>
      </w:r>
    </w:p>
    <w:p>
      <w:pPr>
        <w:pStyle w:val="ListBullet"/>
      </w:pPr>
      <w:r>
        <w:t>Up to 50% reduction in maintenance costs</w:t>
      </w:r>
    </w:p>
    <w:p>
      <w:pPr>
        <w:pStyle w:val="ListBullet"/>
      </w:pPr>
      <w:r>
        <w:t>85–92% code reuse across jurisdictions</w:t>
      </w:r>
    </w:p>
    <w:p>
      <w:pPr>
        <w:pStyle w:val="ListBullet"/>
      </w:pPr>
      <w:r>
        <w:t>Under 3 months to add jurisdictions after initial 12–21 month build</w:t>
      </w:r>
    </w:p>
    <w:p>
      <w:r>
        <w:t>Four firms are in production—JPMorgan, BNP Paribas, JSCC, and Banque Pictet. Fifteen are running proofs of concept [ISDA/Capgemini]. The numbers suggest momentum, but also the weight of the implementation lift.</w:t>
      </w:r>
    </w:p>
    <w:p>
      <w:pPr>
        <w:pStyle w:val="Heading1"/>
      </w:pPr>
      <w:r>
        <w:t>The Translation Tax</w:t>
      </w:r>
    </w:p>
    <w:p>
      <w:r>
        <w:t>Bridging strategies carry ongoing costs [Broadridge Analysis]. Internal systems and CDM define fields differently—"Trade Date" versus "Execution Timestamp"—and mapping layers can introduce systematic errors. If translation logic is flawed, a bank may misreport despite using the "correct" standard.</w:t>
      </w:r>
    </w:p>
    <w:p>
      <w:r>
        <w:t>But translation is a solved engineering problem. The real risk isn't technical—it's strategic. If native adopters achieve significant cost advantages, translation architectures become a permanent tax. If CDM adoption stalls or fragments, the tax was worth paying for optionality [INFERENCE].</w:t>
      </w:r>
    </w:p>
    <w:p>
      <w:pPr>
        <w:pStyle w:val="Heading1"/>
      </w:pPr>
      <w:r>
        <w:t>The Strategic Choice</w:t>
      </w:r>
    </w:p>
    <w:p>
      <w:r>
        <w:t>Three paths. Each a bet.</w:t>
      </w:r>
    </w:p>
    <w:p>
      <w:r/>
      <w:r>
        <w:rPr>
          <w:b/>
        </w:rPr>
        <w:t>Path A: Deep Integration.</w:t>
      </w:r>
      <w:r>
        <w:t xml:space="preserve"> Bet that CDM becomes core infrastructure. Accept the upfront cost; position for lifecycle automation. JPMorgan's "semi-native" architecture is one template—but their FpML bypass and Athena integration reflect choices others may not replicate. Risk: the standard keeps evolving, and benefits depend on ecosystem adoption [INFERENCE].</w:t>
      </w:r>
    </w:p>
    <w:p>
      <w:r/>
      <w:r>
        <w:rPr>
          <w:b/>
        </w:rPr>
        <w:t>Path B: Strategic Bridging.</w:t>
      </w:r>
      <w:r>
        <w:t xml:space="preserve"> Bet on optionality. Preserve platform investments; build translation layers. Deepen integration as the standard matures. Risk: ongoing translation costs, and competitive disadvantage if native adopters pull ahead [INFERENCE].</w:t>
      </w:r>
    </w:p>
    <w:p>
      <w:r/>
      <w:r>
        <w:rPr>
          <w:b/>
        </w:rPr>
        <w:t>Path C: Current Architecture.</w:t>
      </w:r>
      <w:r>
        <w:t xml:space="preserve"> Bet on regulatory stability. Continue bespoke implementations. Risk: if global regulators align on CDM logic, bespoke approaches become unsustainable. By 2030, CDM or something functionally equivalent may be the default—mandate or not [INFERENCE; Regnosys DRR Roadmap].</w:t>
      </w:r>
    </w:p>
    <w:p>
      <w:pPr>
        <w:pStyle w:val="Heading1"/>
      </w:pPr>
      <w:r>
        <w:t>Beyond Reporting: The Smart Contract Question</w:t>
      </w:r>
    </w:p>
    <w:p>
      <w:r>
        <w:t>CDM's implications extend past regulatory compliance. ISDA's 2018 Smart Derivatives Contracts whitepaper positioned CDM as the foundation for executable contracts—machine-readable agreements that could automate lifecycle events from novation to termination [ISDA Smart Derivatives Contracts]. JPMorgan's Onyx blockchain platform already demonstrates the connection between CDM adoption and distributed ledger capability [JPMorgan Onyx].</w:t>
      </w:r>
    </w:p>
    <w:p>
      <w:r>
        <w:t>Integration depth may determine smart contract readiness. A bank with CDM as canonical model can write smart contracts directly against CDM structures—one translation, consistent data. A bank with CDM at the translation layer faces additional complexity: smart contracts must bridge multiple internal systems before reaching CDM, multiplying integration points and maintenance burden [INFERENCE].</w:t>
      </w:r>
    </w:p>
    <w:p>
      <w:r>
        <w:t>The competitive implication: if smart contract adoption accelerates in derivatives—for collateral management, automated margining, or cross-chain settlement—institutions with shallow CDM integration may face a capability gap that's expensive to close. The same logic applies to tokenized assets, AI/ML model training on standardized data, and automated collateral optimization [INFERENCE].</w:t>
      </w:r>
    </w:p>
    <w:p>
      <w:r>
        <w:t>Network effects compound the risk. If JPMorgan, Goldman, and other early movers create interoperability networks based on CDM, those networks may become industry utilities. Institutions outside the network would face higher costs to participate—or risk exclusion from emerging market infrastructure [INFERENCE].</w:t>
      </w:r>
    </w:p>
    <w:p>
      <w:pPr>
        <w:pStyle w:val="Heading1"/>
      </w:pPr>
      <w:r>
        <w:t>Uncertainties to Monitor</w:t>
      </w:r>
    </w:p>
    <w:p>
      <w:r>
        <w:t>Which path wins depends on factors still in motion:</w:t>
      </w:r>
    </w:p>
    <w:p>
      <w:pPr>
        <w:pStyle w:val="ListNumber"/>
      </w:pPr>
      <w:r>
        <w:t>Regulatory trajectory. Will regulators mandate CDM, or let the market decide?</w:t>
      </w:r>
    </w:p>
    <w:p>
      <w:pPr>
        <w:pStyle w:val="ListNumber"/>
      </w:pPr>
      <w:r>
        <w:t>Standard maturity. How fast will ISDA close product and jurisdiction gaps?</w:t>
      </w:r>
    </w:p>
    <w:p>
      <w:pPr>
        <w:pStyle w:val="ListNumber"/>
      </w:pPr>
      <w:r>
        <w:t>Adoption velocity. Will the 4-firm production base expand meaningfully by 2027?</w:t>
      </w:r>
    </w:p>
    <w:p>
      <w:pPr>
        <w:pStyle w:val="ListNumber"/>
      </w:pPr>
      <w:r>
        <w:t>Competitive dynamics. Will early adopters realize client-facing advantages that force peers to follow?</w:t>
      </w:r>
    </w:p>
    <w:p>
      <w:pPr>
        <w:pStyle w:val="ListNumber"/>
      </w:pPr>
      <w:r>
        <w:t>Network effects. Will early adopters create interoperability networks that become industry utilities—making later adoption more costly?</w:t>
      </w:r>
    </w:p>
    <w:p>
      <w:pPr>
        <w:pStyle w:val="ListNumber"/>
      </w:pPr>
      <w:r>
        <w:t>Scope expansion. How fast will CDM's coverage of repos, securities lending, and cash securities mature? Banks focused only on derivatives may find CDM newly relevant to other business lines.</w:t>
      </w:r>
    </w:p>
    <w:p>
      <w:pPr>
        <w:pStyle w:val="Heading1"/>
      </w:pPr>
      <w:r>
        <w:t>The Choice Ahead</w:t>
      </w:r>
    </w:p>
    <w:p>
      <w:r>
        <w:t>The paradox is real: every major bank is engaged, but only one is in production. This isn't inertia—it's strategic divergence. Each institution is weighing the same evidence and reaching different conclusions about timing and architecture.</w:t>
      </w:r>
    </w:p>
    <w:p>
      <w:r>
        <w:t>JPMorgan's October 2024 deployment offers one answer: a semi-native architecture that keeps CDM upstream, bypasses FpML, and bets on future use cases beyond reporting. It's a bold move—and it may prove prescient.</w:t>
      </w:r>
    </w:p>
    <w:p>
      <w:r>
        <w:t>Or it may prove early. The standard is still evolving. The regulatory trajectory is uncertain. And institutions with billions invested in proven platforms have legitimate reasons to wait.</w:t>
      </w:r>
    </w:p>
    <w:p>
      <w:r>
        <w:t>Citigroup's compliance-first approach reflects its global complexity. Morgan Stanley's integration-layer bet preserves flexibility while the standard matures. Bank of America's targeted adoption aligns with a business mix where derivatives is a smaller share. Goldman's interoperability play balances ecosystem influence against transformation risk. Each is defensible. None is guaranteed.</w:t>
      </w:r>
    </w:p>
    <w:p>
      <w:r>
        <w:t>The question for every Tier 1 bank isn't whether to engage with CDM—they already are. The question is how deeply, how soon, and with what architecture. The next three years will reveal which bet was right. Until then, the paradox holds: universal participation, strategic divergence, and no predetermined answer.</w:t>
      </w:r>
    </w:p>
    <w:p>
      <w:pPr>
        <w:pStyle w:val="Heading1"/>
      </w:pPr>
      <w:r>
        <w:t>Source References</w:t>
      </w:r>
    </w:p>
    <w:p>
      <w:pPr>
        <w:pStyle w:val="Heading2"/>
      </w:pPr>
      <w:r>
        <w:t>Primary Source</w:t>
      </w:r>
    </w:p>
    <w:p>
      <w:r/>
      <w:r>
        <w:rPr>
          <w:b/>
        </w:rPr>
        <w:t>[ISDA JPM Webinar]</w:t>
      </w:r>
      <w:r>
        <w:t xml:space="preserve"> ISDA Webinar: "One firm's DRR implementation journey, from the perspective of JPM" (November 2024). Speaker: Nick Mosher, Product Director, Regulatory Technology, JPMorgan. Timestamps reference webinar recording.</w:t>
      </w:r>
    </w:p>
    <w:p>
      <w:pPr>
        <w:pStyle w:val="Heading2"/>
      </w:pPr>
      <w:r>
        <w:t>Secondary Sources</w:t>
      </w:r>
    </w:p>
    <w:tbl>
      <w:tblPr>
        <w:tblStyle w:val="TableGrid"/>
        <w:tblW w:type="auto" w:w="0"/>
        <w:tblLook w:firstColumn="1" w:firstRow="1" w:lastColumn="0" w:lastRow="0" w:noHBand="0" w:noVBand="1" w:val="04A0"/>
      </w:tblPr>
      <w:tblGrid>
        <w:gridCol w:w="4320"/>
        <w:gridCol w:w="4320"/>
      </w:tblGrid>
      <w:tr>
        <w:tc>
          <w:tcPr>
            <w:tcW w:type="dxa" w:w="4320"/>
          </w:tcPr>
          <w:p>
            <w:r>
              <w:rPr>
                <w:b/>
              </w:rPr>
              <w:t>Reference</w:t>
            </w:r>
          </w:p>
        </w:tc>
        <w:tc>
          <w:tcPr>
            <w:tcW w:type="dxa" w:w="4320"/>
          </w:tcPr>
          <w:p>
            <w:r>
              <w:rPr>
                <w:b/>
              </w:rPr>
              <w:t>URL</w:t>
            </w:r>
          </w:p>
        </w:tc>
      </w:tr>
      <w:tr>
        <w:tc>
          <w:tcPr>
            <w:tcW w:type="dxa" w:w="4320"/>
          </w:tcPr>
          <w:p>
            <w:r>
              <w:t>[JPMorgan Chase Tech Blog]</w:t>
            </w:r>
          </w:p>
        </w:tc>
        <w:tc>
          <w:tcPr>
            <w:tcW w:type="dxa" w:w="4320"/>
          </w:tcPr>
          <w:p>
            <w:r>
              <w:t>jpmorganchase.com/about/technology/blog/jpmc-launches-finos-open-source-solution</w:t>
            </w:r>
          </w:p>
        </w:tc>
      </w:tr>
      <w:tr>
        <w:tc>
          <w:tcPr>
            <w:tcW w:type="dxa" w:w="4320"/>
          </w:tcPr>
          <w:p>
            <w:r>
              <w:t>[ISDA/Capgemini Industry Perspectives]</w:t>
            </w:r>
          </w:p>
        </w:tc>
        <w:tc>
          <w:tcPr>
            <w:tcW w:type="dxa" w:w="4320"/>
          </w:tcPr>
          <w:p>
            <w:r>
              <w:t>isda.org/a/LhRgE/Industry-Perspectives-on-the-ISDA-DRR.pdf</w:t>
            </w:r>
          </w:p>
        </w:tc>
      </w:tr>
      <w:tr>
        <w:tc>
          <w:tcPr>
            <w:tcW w:type="dxa" w:w="4320"/>
          </w:tcPr>
          <w:p>
            <w:r>
              <w:t>[FINOS CDM Working Group]</w:t>
            </w:r>
          </w:p>
        </w:tc>
        <w:tc>
          <w:tcPr>
            <w:tcW w:type="dxa" w:w="4320"/>
          </w:tcPr>
          <w:p>
            <w:r>
              <w:t>github.com/finos/common-domain-model/discussions/4006</w:t>
            </w:r>
          </w:p>
        </w:tc>
      </w:tr>
      <w:tr>
        <w:tc>
          <w:tcPr>
            <w:tcW w:type="dxa" w:w="4320"/>
          </w:tcPr>
          <w:p>
            <w:r>
              <w:t>[FINOS Active Project]</w:t>
            </w:r>
          </w:p>
        </w:tc>
        <w:tc>
          <w:tcPr>
            <w:tcW w:type="dxa" w:w="4320"/>
          </w:tcPr>
          <w:p>
            <w:r>
              <w:t>finos.org/blog/from-standards-to-impact-cdm-becomes-an-active-finos-project</w:t>
            </w:r>
          </w:p>
        </w:tc>
      </w:tr>
      <w:tr>
        <w:tc>
          <w:tcPr>
            <w:tcW w:type="dxa" w:w="4320"/>
          </w:tcPr>
          <w:p>
            <w:r>
              <w:t>[FINOS CDM SCOPE.md]</w:t>
            </w:r>
          </w:p>
        </w:tc>
        <w:tc>
          <w:tcPr>
            <w:tcW w:type="dxa" w:w="4320"/>
          </w:tcPr>
          <w:p>
            <w:r>
              <w:t>github.com/finos/common-domain-model/blob/master/SCOPE.md</w:t>
            </w:r>
          </w:p>
        </w:tc>
      </w:tr>
      <w:tr>
        <w:tc>
          <w:tcPr>
            <w:tcW w:type="dxa" w:w="4320"/>
          </w:tcPr>
          <w:p>
            <w:r>
              <w:t>[FINOS CDM TAWG Minutes]</w:t>
            </w:r>
          </w:p>
        </w:tc>
        <w:tc>
          <w:tcPr>
            <w:tcW w:type="dxa" w:w="4320"/>
          </w:tcPr>
          <w:p>
            <w:r>
              <w:t>CDM Technology Architecture Working Group minutes, September 2025</w:t>
            </w:r>
          </w:p>
        </w:tc>
      </w:tr>
      <w:tr>
        <w:tc>
          <w:tcPr>
            <w:tcW w:type="dxa" w:w="4320"/>
          </w:tcPr>
          <w:p>
            <w:r>
              <w:t>[Regnosys Industry News]</w:t>
            </w:r>
          </w:p>
        </w:tc>
        <w:tc>
          <w:tcPr>
            <w:tcW w:type="dxa" w:w="4320"/>
          </w:tcPr>
          <w:p>
            <w:r>
              <w:t>regnosys.com/industry-news/isda-launches-full-open-source-version-of-digital-regulatory-reporting-model/</w:t>
            </w:r>
          </w:p>
        </w:tc>
      </w:tr>
      <w:tr>
        <w:tc>
          <w:tcPr>
            <w:tcW w:type="dxa" w:w="4320"/>
          </w:tcPr>
          <w:p>
            <w:r>
              <w:t>[Regnosys DRR Roadmap]</w:t>
            </w:r>
          </w:p>
        </w:tc>
        <w:tc>
          <w:tcPr>
            <w:tcW w:type="dxa" w:w="4320"/>
          </w:tcPr>
          <w:p>
            <w:r>
              <w:t>regnosys.com/drr-roadmap</w:t>
            </w:r>
          </w:p>
        </w:tc>
      </w:tr>
      <w:tr>
        <w:tc>
          <w:tcPr>
            <w:tcW w:type="dxa" w:w="4320"/>
          </w:tcPr>
          <w:p>
            <w:r>
              <w:t>[CFTC Press Release 9011-24]</w:t>
            </w:r>
          </w:p>
        </w:tc>
        <w:tc>
          <w:tcPr>
            <w:tcW w:type="dxa" w:w="4320"/>
          </w:tcPr>
          <w:p>
            <w:r>
              <w:t>cftc.gov/PressRoom/PressReleases/9011-24</w:t>
            </w:r>
          </w:p>
        </w:tc>
      </w:tr>
      <w:tr>
        <w:tc>
          <w:tcPr>
            <w:tcW w:type="dxa" w:w="4320"/>
          </w:tcPr>
          <w:p>
            <w:r>
              <w:t>[ISDA DRR InfoHub]</w:t>
            </w:r>
          </w:p>
        </w:tc>
        <w:tc>
          <w:tcPr>
            <w:tcW w:type="dxa" w:w="4320"/>
          </w:tcPr>
          <w:p>
            <w:r>
              <w:t>isda.org/isda-solutions-infohub/isda-digital-regulatory-reporting/</w:t>
            </w:r>
          </w:p>
        </w:tc>
      </w:tr>
      <w:tr>
        <w:tc>
          <w:tcPr>
            <w:tcW w:type="dxa" w:w="4320"/>
          </w:tcPr>
          <w:p>
            <w:r>
              <w:t>[Broadridge Analysis]</w:t>
            </w:r>
          </w:p>
        </w:tc>
        <w:tc>
          <w:tcPr>
            <w:tcW w:type="dxa" w:w="4320"/>
          </w:tcPr>
          <w:p>
            <w:r>
              <w:t>broadridge.com/_assets/pdf/broadridge-challenges-in-adopting-a-common-domain-model.pdf</w:t>
            </w:r>
          </w:p>
        </w:tc>
      </w:tr>
      <w:tr>
        <w:tc>
          <w:tcPr>
            <w:tcW w:type="dxa" w:w="4320"/>
          </w:tcPr>
          <w:p>
            <w:r>
              <w:t>[Google Cloud/Goldman Sachs]</w:t>
            </w:r>
          </w:p>
        </w:tc>
        <w:tc>
          <w:tcPr>
            <w:tcW w:type="dxa" w:w="4320"/>
          </w:tcPr>
          <w:p>
            <w:r>
              <w:t>cloud.google.com/transform/goldman-sachs-legend-open-source-data-management</w:t>
            </w:r>
          </w:p>
        </w:tc>
      </w:tr>
      <w:tr>
        <w:tc>
          <w:tcPr>
            <w:tcW w:type="dxa" w:w="4320"/>
          </w:tcPr>
          <w:p>
            <w:r>
              <w:t>[ISDA Smart Derivatives Contracts]</w:t>
            </w:r>
          </w:p>
        </w:tc>
        <w:tc>
          <w:tcPr>
            <w:tcW w:type="dxa" w:w="4320"/>
          </w:tcPr>
          <w:p>
            <w:r>
              <w:t>isda.org/a/cHvEE/Smart-Derivatives-Contracts-From-Concept-to-Construction-Oct-2018.pdf</w:t>
            </w:r>
          </w:p>
        </w:tc>
      </w:tr>
      <w:tr>
        <w:tc>
          <w:tcPr>
            <w:tcW w:type="dxa" w:w="4320"/>
          </w:tcPr>
          <w:p>
            <w:r>
              <w:t>[JPMorgan Onyx]</w:t>
            </w:r>
          </w:p>
        </w:tc>
        <w:tc>
          <w:tcPr>
            <w:tcW w:type="dxa" w:w="4320"/>
          </w:tcPr>
          <w:p>
            <w:r>
              <w:t>jpmorgan.com/onyx</w:t>
            </w:r>
          </w:p>
        </w:tc>
      </w:tr>
      <w:tr>
        <w:tc>
          <w:tcPr>
            <w:tcW w:type="dxa" w:w="4320"/>
          </w:tcPr>
          <w:p>
            <w:r>
              <w:t>[Bank 10-K Filings]</w:t>
            </w:r>
          </w:p>
        </w:tc>
        <w:tc>
          <w:tcPr>
            <w:tcW w:type="dxa" w:w="4320"/>
          </w:tcPr>
          <w:p>
            <w:r>
              <w:t>SEC EDGAR: Annual reports for JPMorgan Chase, Bank of America, Morgan Stanley, Citigroup, Goldman Sachs</w:t>
            </w:r>
          </w:p>
        </w:tc>
      </w:tr>
      <w:tr>
        <w:tc>
          <w:tcPr>
            <w:tcW w:type="dxa" w:w="4320"/>
          </w:tcPr>
          <w:p>
            <w:r>
              <w:t>[MS 10-K]</w:t>
            </w:r>
          </w:p>
        </w:tc>
        <w:tc>
          <w:tcPr>
            <w:tcW w:type="dxa" w:w="4320"/>
          </w:tcPr>
          <w:p>
            <w:r>
              <w:t>Morgan Stanley 2024 Annual Report, SEC Filing</w:t>
            </w:r>
          </w:p>
        </w:tc>
      </w:tr>
    </w:tbl>
    <w:p/>
    <w:p>
      <w:pPr>
        <w:pStyle w:val="Heading2"/>
      </w:pPr>
      <w:r>
        <w:t>Notation</w:t>
      </w:r>
    </w:p>
    <w:p>
      <w:r/>
      <w:r>
        <w:rPr>
          <w:rFonts w:ascii="Courier New" w:hAnsi="Courier New"/>
        </w:rPr>
        <w:t>[INFERENCE]</w:t>
      </w:r>
      <w:r>
        <w:t xml:space="preserve"> denotes author analysis or projection not directly attributable to cited sources.</w:t>
      </w:r>
    </w:p>
    <w:p>
      <w:r>
        <w:rPr>
          <w:i/>
        </w:rPr>
        <w:t>— Version 10.0 —</w:t>
      </w:r>
    </w:p>
    <w:p>
      <w:r>
        <w:rPr>
          <w:i/>
        </w:rPr>
        <w:t>Expanded analysis covering all major US Tier 1 banks with smart contract implications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