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Adoption Paradox</w:t>
      </w:r>
    </w:p>
    <w:p>
      <w:pPr>
        <w:pStyle w:val="Subtitle"/>
      </w:pPr>
      <w:r>
        <w:t xml:space="preserve">CDM/DRR and the Strategic Divergence of Tier 1 US Banks (2025–2035)</w:t>
      </w:r>
    </w:p>
    <w:p>
      <w:r>
        <w:t xml:space="preserve">Every major US bank participates in the governance of the ISDA Common Domain Model. Only one has taken it to production. This paradox—universal engagement, singular commitment—defines the strategic landscape for derivatives infrastructure through 2035.</w:t>
      </w:r>
    </w:p>
    <w:p>
      <w:r>
        <w:t xml:space="preserve">On October 21, 2024, JPMorgan went live with CDM/DRR for ASIC and MAS reporting [ISDA JPM Webinar]. Bank of America, Citi, Goldman Sachs, Morgan Stanley, and Wells Fargo remain active in CDM governance but have not followed [FINOS CDM Working Group]. The divergence is deliberate. Each institution is making a calculated bet about timing, architecture, and risk.</w:t>
      </w:r>
    </w:p>
    <w:p>
      <w:pPr>
        <w:pStyle w:val="Heading1"/>
      </w:pPr>
      <w:r>
        <w:t xml:space="preserve">Four Integration Archetypes</w:t>
      </w:r>
    </w:p>
    <w:p>
      <w:r>
        <w:t xml:space="preserve">Four distinct integration strategies have emerged [ISDA/Capgemini Industry Perspectives; </w:t>
      </w:r>
      <w:r>
        <w:rPr>
          <w:i/>
          <w:iCs/>
        </w:rPr>
        <w:t xml:space="preserve">INFERENCE</w:t>
      </w:r>
      <w:r>
        <w:t xml:space="preserve">]. None is inherently superior; each reflects a different calculation about cost, risk, and optionality. Critically, archetype selection is not primarily a technology choice—it's a capital allocation decision shaped by business model. Revenue mix, organizational structure, and transformation capacity constrain what's rational for each institution.</w:t>
      </w:r>
    </w:p>
    <w:p>
      <w:r>
        <w:rPr>
          <w:b/>
          <w:bCs/>
        </w:rPr>
        <w:t xml:space="preserve">Native Integration</w:t>
      </w:r>
      <w:r>
        <w:t xml:space="preserve"> makes CDM the firm's canonical data model. Trade and event data flows through CDM as the single source of truth, enabling downstream consumers—reporting, collateral, settlement—to inherit a unified representation. Highest upfront investment; lowest ongoing translation cost; best positioned for smart contracts and tokenization.</w:t>
      </w:r>
    </w:p>
    <w:p>
      <w:r>
        <w:rPr>
          <w:b/>
          <w:bCs/>
        </w:rPr>
        <w:t xml:space="preserve">Integration Layer</w:t>
      </w:r>
      <w:r>
        <w:t xml:space="preserve"> preserves proprietary internal models while using CDM as the external interface standard. Internal systems remain source of truth; CDM serves as translation hub for counterparty connectivity, client services, and industry utilities. Protects platform investments; enables interoperability without transformation.</w:t>
      </w:r>
    </w:p>
    <w:p>
      <w:r>
        <w:rPr>
          <w:b/>
          <w:bCs/>
        </w:rPr>
        <w:t xml:space="preserve">Compliance Layer</w:t>
      </w:r>
      <w:r>
        <w:t xml:space="preserve"> implements CDM specifically for regulatory reporting. Internal systems and processes remain unchanged; CDM transformation occurs only at submission boundaries. Minimal upstream disruption; regulatory-first value proposition; limited reuse beyond reporting.</w:t>
      </w:r>
    </w:p>
    <w:p>
      <w:r>
        <w:rPr>
          <w:b/>
          <w:bCs/>
        </w:rPr>
        <w:t xml:space="preserve">Siloed/Departmental</w:t>
      </w:r>
      <w:r>
        <w:t xml:space="preserve"> adopts CDM within specific business units with no firm-wide strategy. Different divisions may use different approaches—or none at all. Fragmentation is explicitly accepted. Lowest firm-wide investment; preserves optionality; trades scale economies for capital discipline.</w:t>
      </w:r>
    </w:p>
    <w:p>
      <w:pPr>
        <w:pStyle w:val="Heading2"/>
      </w:pPr>
      <w:r>
        <w:t xml:space="preserve">Business Model as Strategy Driver</w:t>
      </w:r>
    </w:p>
    <w:p>
      <w:r>
        <w:t xml:space="preserve">Revenue composition correlates directly with rational CDM investment levels. The following table illustrates how business mix shapes archetype selection </w:t>
      </w:r>
      <w:r>
        <w:rPr>
          <w:i/>
          <w:iCs/>
        </w:rPr>
        <w:t xml:space="preserve">[INFERENCE]</w:t>
      </w:r>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960"/>
      </w:tblGrid>
      <w:tr>
        <w:trPr>
          <w:tblHeader/>
        </w:trPr>
        <w:tc>
          <w:tcPr>
            <w:tcW w:type="dxa" w:w="18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Revenue Source</w:t>
            </w:r>
          </w:p>
        </w:tc>
        <w:tc>
          <w:tcPr>
            <w:tcW w:type="dxa" w:w="14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JPMorgan</w:t>
            </w:r>
          </w:p>
        </w:tc>
        <w:tc>
          <w:tcPr>
            <w:tcW w:type="dxa" w:w="14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Morgan Stanley</w:t>
            </w:r>
          </w:p>
        </w:tc>
        <w:tc>
          <w:tcPr>
            <w:tcW w:type="dxa" w:w="14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Citigroup</w:t>
            </w:r>
          </w:p>
        </w:tc>
        <w:tc>
          <w:tcPr>
            <w:tcW w:type="dxa" w:w="14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BofA</w:t>
            </w:r>
          </w:p>
        </w:tc>
        <w:tc>
          <w:tcPr>
            <w:tcW w:type="dxa" w:w="196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CDM Relevance</w:t>
            </w:r>
          </w:p>
        </w:tc>
      </w:tr>
      <w:tr>
        <w:tc>
          <w:tcPr>
            <w:tcW w:type="dxa" w:w="1800"/>
            <w:tcBorders>
              <w:top w:val="single" w:color="999999" w:sz="1"/>
              <w:left w:val="single" w:color="999999" w:sz="1"/>
              <w:bottom w:val="single" w:color="999999" w:sz="1"/>
              <w:right w:val="single" w:color="999999" w:sz="1"/>
            </w:tcBorders>
          </w:tcPr>
          <w:p>
            <w:r>
              <w:rPr>
                <w:sz w:val="20"/>
                <w:szCs w:val="20"/>
              </w:rPr>
              <w:t xml:space="preserve">IB/Trading</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40%</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60%</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30%</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15%</w:t>
            </w:r>
          </w:p>
        </w:tc>
        <w:tc>
          <w:tcPr>
            <w:tcW w:type="dxa" w:w="1960"/>
            <w:tcBorders>
              <w:top w:val="single" w:color="999999" w:sz="1"/>
              <w:left w:val="single" w:color="999999" w:sz="1"/>
              <w:bottom w:val="single" w:color="999999" w:sz="1"/>
              <w:right w:val="single" w:color="999999" w:sz="1"/>
            </w:tcBorders>
          </w:tcPr>
          <w:p>
            <w:r>
              <w:rPr>
                <w:sz w:val="20"/>
                <w:szCs w:val="20"/>
              </w:rPr>
              <w:t xml:space="preserve">Primary</w:t>
            </w:r>
          </w:p>
        </w:tc>
      </w:tr>
      <w:tr>
        <w:tc>
          <w:tcPr>
            <w:tcW w:type="dxa" w:w="1800"/>
            <w:tcBorders>
              <w:top w:val="single" w:color="999999" w:sz="1"/>
              <w:left w:val="single" w:color="999999" w:sz="1"/>
              <w:bottom w:val="single" w:color="999999" w:sz="1"/>
              <w:right w:val="single" w:color="999999" w:sz="1"/>
            </w:tcBorders>
          </w:tcPr>
          <w:p>
            <w:r>
              <w:rPr>
                <w:sz w:val="20"/>
                <w:szCs w:val="20"/>
              </w:rPr>
              <w:t xml:space="preserve">Consumer</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25%</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30%</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45%</w:t>
            </w:r>
          </w:p>
        </w:tc>
        <w:tc>
          <w:tcPr>
            <w:tcW w:type="dxa" w:w="1960"/>
            <w:tcBorders>
              <w:top w:val="single" w:color="999999" w:sz="1"/>
              <w:left w:val="single" w:color="999999" w:sz="1"/>
              <w:bottom w:val="single" w:color="999999" w:sz="1"/>
              <w:right w:val="single" w:color="999999" w:sz="1"/>
            </w:tcBorders>
          </w:tcPr>
          <w:p>
            <w:r>
              <w:rPr>
                <w:sz w:val="20"/>
                <w:szCs w:val="20"/>
              </w:rPr>
              <w:t xml:space="preserve">None</w:t>
            </w:r>
          </w:p>
        </w:tc>
      </w:tr>
      <w:tr>
        <w:tc>
          <w:tcPr>
            <w:tcW w:type="dxa" w:w="1800"/>
            <w:tcBorders>
              <w:top w:val="single" w:color="999999" w:sz="1"/>
              <w:left w:val="single" w:color="999999" w:sz="1"/>
              <w:bottom w:val="single" w:color="999999" w:sz="1"/>
              <w:right w:val="single" w:color="999999" w:sz="1"/>
            </w:tcBorders>
          </w:tcPr>
          <w:p>
            <w:r>
              <w:rPr>
                <w:sz w:val="20"/>
                <w:szCs w:val="20"/>
              </w:rPr>
              <w:t xml:space="preserve">Commercial</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20%</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10%</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25%</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30%</w:t>
            </w:r>
          </w:p>
        </w:tc>
        <w:tc>
          <w:tcPr>
            <w:tcW w:type="dxa" w:w="1960"/>
            <w:tcBorders>
              <w:top w:val="single" w:color="999999" w:sz="1"/>
              <w:left w:val="single" w:color="999999" w:sz="1"/>
              <w:bottom w:val="single" w:color="999999" w:sz="1"/>
              <w:right w:val="single" w:color="999999" w:sz="1"/>
            </w:tcBorders>
          </w:tcPr>
          <w:p>
            <w:r>
              <w:rPr>
                <w:sz w:val="20"/>
                <w:szCs w:val="20"/>
              </w:rPr>
              <w:t xml:space="preserve">Limited</w:t>
            </w:r>
          </w:p>
        </w:tc>
      </w:tr>
      <w:tr>
        <w:tc>
          <w:tcPr>
            <w:tcW w:type="dxa" w:w="1800"/>
            <w:tcBorders>
              <w:top w:val="single" w:color="999999" w:sz="1"/>
              <w:left w:val="single" w:color="999999" w:sz="1"/>
              <w:bottom w:val="single" w:color="999999" w:sz="1"/>
              <w:right w:val="single" w:color="999999" w:sz="1"/>
            </w:tcBorders>
          </w:tcPr>
          <w:p>
            <w:r>
              <w:rPr>
                <w:sz w:val="20"/>
                <w:szCs w:val="20"/>
              </w:rPr>
              <w:t xml:space="preserve">Wealth Mgmt</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15%</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25%</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15%</w:t>
            </w:r>
          </w:p>
        </w:tc>
        <w:tc>
          <w:tcPr>
            <w:tcW w:type="dxa" w:w="1400"/>
            <w:tcBorders>
              <w:top w:val="single" w:color="999999" w:sz="1"/>
              <w:left w:val="single" w:color="999999" w:sz="1"/>
              <w:bottom w:val="single" w:color="999999" w:sz="1"/>
              <w:right w:val="single" w:color="999999" w:sz="1"/>
            </w:tcBorders>
          </w:tcPr>
          <w:p>
            <w:pPr>
              <w:jc w:val="center"/>
            </w:pPr>
            <w:r>
              <w:rPr>
                <w:sz w:val="20"/>
                <w:szCs w:val="20"/>
              </w:rPr>
              <w:t xml:space="preserve">10%</w:t>
            </w:r>
          </w:p>
        </w:tc>
        <w:tc>
          <w:tcPr>
            <w:tcW w:type="dxa" w:w="1960"/>
            <w:tcBorders>
              <w:top w:val="single" w:color="999999" w:sz="1"/>
              <w:left w:val="single" w:color="999999" w:sz="1"/>
              <w:bottom w:val="single" w:color="999999" w:sz="1"/>
              <w:right w:val="single" w:color="999999" w:sz="1"/>
            </w:tcBorders>
          </w:tcPr>
          <w:p>
            <w:r>
              <w:rPr>
                <w:sz w:val="20"/>
                <w:szCs w:val="20"/>
              </w:rPr>
              <w:t xml:space="preserve">Limited</w:t>
            </w:r>
          </w:p>
        </w:tc>
      </w:tr>
      <w:tr>
        <w:trPr>
          <w:tblHeader/>
        </w:trPr>
        <w:tc>
          <w:tcPr>
            <w:tcW w:type="dxa" w:w="1800"/>
            <w:tcBorders>
              <w:top w:val="single" w:color="999999" w:sz="1"/>
              <w:left w:val="single" w:color="999999" w:sz="1"/>
              <w:bottom w:val="single" w:color="999999" w:sz="1"/>
              <w:right w:val="single" w:color="999999" w:sz="1"/>
            </w:tcBorders>
            <w:shd w:fill="E8E8E8" w:val="clear"/>
          </w:tcPr>
          <w:p>
            <w:r>
              <w:rPr>
                <w:b/>
                <w:bCs/>
                <w:sz w:val="20"/>
                <w:szCs w:val="20"/>
              </w:rPr>
              <w:t xml:space="preserve">Archetype</w:t>
            </w:r>
          </w:p>
        </w:tc>
        <w:tc>
          <w:tcPr>
            <w:tcW w:type="dxa" w:w="14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Native</w:t>
            </w:r>
          </w:p>
        </w:tc>
        <w:tc>
          <w:tcPr>
            <w:tcW w:type="dxa" w:w="14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Integration</w:t>
            </w:r>
          </w:p>
        </w:tc>
        <w:tc>
          <w:tcPr>
            <w:tcW w:type="dxa" w:w="14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Compliance</w:t>
            </w:r>
          </w:p>
        </w:tc>
        <w:tc>
          <w:tcPr>
            <w:tcW w:type="dxa" w:w="140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Siloed</w:t>
            </w:r>
          </w:p>
        </w:tc>
        <w:tc>
          <w:tcPr>
            <w:tcW w:type="dxa" w:w="1960"/>
            <w:tcBorders>
              <w:top w:val="single" w:color="999999" w:sz="1"/>
              <w:left w:val="single" w:color="999999" w:sz="1"/>
              <w:bottom w:val="single" w:color="999999" w:sz="1"/>
              <w:right w:val="single" w:color="999999" w:sz="1"/>
            </w:tcBorders>
            <w:shd w:fill="E8E8E8" w:val="clear"/>
          </w:tcPr>
          <w:p>
            <w:r>
              <w:rPr>
                <w:sz w:val="20"/>
                <w:szCs w:val="20"/>
              </w:rPr>
              <w:t xml:space="preserve"/>
            </w:r>
          </w:p>
        </w:tc>
      </w:tr>
    </w:tbl>
    <w:p>
      <w:pPr>
        <w:spacing w:before="200"/>
      </w:pPr>
      <w:r>
        <w:t xml:space="preserve">The correlation is direct: when derivatives represent 40–60% of revenue, firm-wide CDM transformation has clear ROI. When derivatives account for 15%, the same investment competes against consumer digital transformation and commercial lending platforms—initiatives with higher returns for that business mix.</w:t>
      </w:r>
    </w:p>
    <w:p>
      <w:pPr>
        <w:pStyle w:val="Heading1"/>
      </w:pPr>
      <w:r>
        <w:t xml:space="preserve">JPMorgan: Native Integration</w:t>
      </w:r>
    </w:p>
    <w:p>
      <w:r>
        <w:t xml:space="preserve">With 40% of revenue from investment banking and trading, JPMorgan can justify the $500M–$1B transformation investment. But business mix alone doesn't explain the choice. JPMorgan's integrated institutional client model—where a corporate client hedging FX exposure also has cash management, trade finance, and lending relationships—creates spillover value. CDM as canonical infrastructure enables unified client views across products, cross-sell efficiency through collateral optimization, and operational leverage where one model serves multiple businesses </w:t>
      </w:r>
      <w:r>
        <w:rPr>
          <w:i/>
          <w:iCs/>
        </w:rPr>
        <w:t xml:space="preserve">[INFERENCE]</w:t>
      </w:r>
      <w:r>
        <w:t xml:space="preserve">.</w:t>
      </w:r>
    </w:p>
    <w:p>
      <w:r>
        <w:t xml:space="preserve">JPMorgan calls their approach "semi-native"—and the distinction matters. In a November 2024 ISDA webinar, Nick Mosher, JPMorgan's Product Director for Regulatory Technology, explained the architecture: risk management events map directly to CDM, which feeds the DRR logic [ISDA JPM Webinar, 32:04]. This is not a full rebuild of upstream systems. It's a strategic middle ground.</w:t>
      </w:r>
    </w:p>
    <w:p>
      <w:r>
        <w:t xml:space="preserve">The key design choice: CDM sits outside the reporting solution. "Primary use case is reg reporting," Mosher said, "but it was built with a preemptive view for other uses. It is currently used in post-trade processing, not pre-trade yet" [ISDA JPM Webinar, 1:24:38]. By keeping CDM upstream—a canonical layer that reporting consumes but doesn't contain—JPMorgan preserves optionality for collateral, B2B messaging, and tokenization.</w:t>
      </w:r>
    </w:p>
    <w:p>
      <w:r>
        <w:t xml:space="preserve">The architecture also bypasses FpML entirely. "We use a Java layer to translate native RMS events directly into CDM," Mosher noted. "FpML is not in the flow" [ISDA JPM Webinar, 1:26:05]. This reflects JPMorgan's existing Athena investment—and creates an approach that peers with different platforms may not replicate directly </w:t>
      </w:r>
      <w:r>
        <w:rPr>
          <w:i/>
          <w:iCs/>
        </w:rPr>
        <w:t xml:space="preserve">[INFERENCE]</w:t>
      </w:r>
      <w:r>
        <w:t xml:space="preserve">.</w:t>
      </w:r>
    </w:p>
    <w:p>
      <w:r>
        <w:t xml:space="preserve">Implementation was not trivial. When asked about the biggest challenge, Mosher was direct: "Mapping internal products to CDM takes the largest proportion of build time" [ISDA JPM Webinar, 1:28:22]. JPMorgan's scale made this feasible. For others, it's the central question </w:t>
      </w:r>
      <w:r>
        <w:rPr>
          <w:i/>
          <w:iCs/>
        </w:rPr>
        <w:t xml:space="preserve">[INFERENCE]</w:t>
      </w:r>
      <w:r>
        <w:t xml:space="preserve">.</w:t>
      </w:r>
    </w:p>
    <w:p>
      <w:pPr>
        <w:pStyle w:val="Heading1"/>
      </w:pPr>
      <w:r>
        <w:t xml:space="preserve">Goldman Sachs: Integration Layer</w:t>
      </w:r>
    </w:p>
    <w:p>
      <w:r>
        <w:t xml:space="preserve">Goldman contributed its Legend data modeling platform to FINOS and piloted FX option extensions to CDM [Google Cloud/Goldman Sachs]. But Goldman isn't replacing SecDB. Instead, Legend speaks CDM—interoperability without transformation. The bet: ecosystem influence and client connectivity deliver sufficient value without rearchitecting battle-tested systems </w:t>
      </w:r>
      <w:r>
        <w:rPr>
          <w:i/>
          <w:iCs/>
        </w:rPr>
        <w:t xml:space="preserve">[INFERENCE]</w:t>
      </w:r>
      <w:r>
        <w:t xml:space="preserve">.</w:t>
      </w:r>
    </w:p>
    <w:p>
      <w:r>
        <w:t xml:space="preserve">Morgan Stanley follows a similar pattern. With the highest derivatives concentration (60%) but significant wealth management (25%) and prime brokerage operations, a single canonical model across all three is harder to justify. Integration Layer allows both firms to preserve proprietary models that encode quantitative IP, speak CDM to clients and counterparties for connectivity value, and extend adoption incrementally as value is demonstrated </w:t>
      </w:r>
      <w:r>
        <w:rPr>
          <w:i/>
          <w:iCs/>
        </w:rPr>
        <w:t xml:space="preserve">[INFERENCE]</w:t>
      </w:r>
      <w:r>
        <w:t xml:space="preserve">.</w:t>
      </w:r>
    </w:p>
    <w:p>
      <w:pPr>
        <w:pStyle w:val="Heading1"/>
      </w:pPr>
      <w:r>
        <w:t xml:space="preserve">Citigroup: Compliance Layer</w:t>
      </w:r>
    </w:p>
    <w:p>
      <w:r>
        <w:t xml:space="preserve">Citigroup's global footprint—operations in 90+ countries—makes regulatory alignment the primary CDM value driver. EMIR, CFTC, MAS, ASIC, JFSA: each regime imposes reporting requirements. CDM/DRR's 85–92% code reuse directly addresses this operational reality. But consumer and commercial banking (55% of revenue) have no CDM use case. Firm-wide Native Integration would force CDM onto businesses that don't need it </w:t>
      </w:r>
      <w:r>
        <w:rPr>
          <w:i/>
          <w:iCs/>
        </w:rPr>
        <w:t xml:space="preserve">[INFERENCE]</w:t>
      </w:r>
      <w:r>
        <w:t xml:space="preserve">.</w:t>
      </w:r>
    </w:p>
    <w:p>
      <w:r>
        <w:t xml:space="preserve">Compliance Layer minimizes investment while solving the actual problem: multi-jurisdictional reporting as a cost to be managed, not a competitive weapon. Citigroup's global regulatory relationships provide early visibility into mandate trajectories—if upstream CDM requirements emerge, the reporting factory becomes a beachhead for broader adoption </w:t>
      </w:r>
      <w:r>
        <w:rPr>
          <w:i/>
          <w:iCs/>
        </w:rPr>
        <w:t xml:space="preserve">[INFERENCE]</w:t>
      </w:r>
      <w:r>
        <w:t xml:space="preserve">.</w:t>
      </w:r>
    </w:p>
    <w:p>
      <w:pPr>
        <w:pStyle w:val="Heading1"/>
      </w:pPr>
      <w:r>
        <w:t xml:space="preserve">Bank of America: Siloed/Departmental</w:t>
      </w:r>
    </w:p>
    <w:p>
      <w:r>
        <w:t xml:space="preserve">Bank of America participates in CDM working groups but isn't a code maintainer [FINOS CDM TAWG Minutes; FINOS Active Project]. The approach reflects business model reality: consumer banking dominates (45%); investment banking and trading account for just 15%. The same transformation budget could fund consumer digital improvements serving 45% of revenue or commercial lending modernization serving 30% </w:t>
      </w:r>
      <w:r>
        <w:rPr>
          <w:i/>
          <w:iCs/>
        </w:rPr>
        <w:t xml:space="preserve">[INFERENCE]</w:t>
      </w:r>
      <w:r>
        <w:t xml:space="preserve">.</w:t>
      </w:r>
    </w:p>
    <w:p>
      <w:r>
        <w:t xml:space="preserve">M&amp;A legacy compounds the constraint: Merrill Lynch, Countrywide, FleetBoston, and MBNA each brought different technology stacks. BofA has spent 15 years integrating acquisitions; another firm-wide transformation competes for the same organizational bandwidth. Departmental CDM adoption in Global Markets can be justified—preserving Quartz, the Python-based risk platform, while building translation layers at the edge. Firm-wide mandate cannot </w:t>
      </w:r>
      <w:r>
        <w:rPr>
          <w:i/>
          <w:iCs/>
        </w:rPr>
        <w:t xml:space="preserve">[INFERENCE]</w:t>
      </w:r>
      <w:r>
        <w:t xml:space="preserve">.</w:t>
      </w:r>
    </w:p>
    <w:p>
      <w:pPr>
        <w:pStyle w:val="Heading1"/>
      </w:pPr>
      <w:r>
        <w:t xml:space="preserve">The Case for Patience</w:t>
      </w:r>
    </w:p>
    <w:p>
      <w:r>
        <w:t xml:space="preserve">Early adoption has costs. Institutions taking a measured approach aren't asleep—they're calculating.</w:t>
      </w:r>
    </w:p>
    <w:p>
      <w:r>
        <w:rPr>
          <w:b/>
          <w:bCs/>
        </w:rPr>
        <w:t xml:space="preserve">Sunk costs are real.</w:t>
      </w:r>
      <w:r>
        <w:t xml:space="preserve"> Quartz, SecDB, and Athena represent billions in investment and decades of embedded expertise. That knowledge doesn't transfer easily to a new canonical model.</w:t>
      </w:r>
    </w:p>
    <w:p>
      <w:r>
        <w:rPr>
          <w:b/>
          <w:bCs/>
        </w:rPr>
        <w:t xml:space="preserve">History favors wrappers.</w:t>
      </w:r>
      <w:r>
        <w:t xml:space="preserve"> The FpML adoption cycle proved translation strategies can succeed for decades. JPMorgan's own architecture bypasses FpML—an implicit acknowledgment that multiple approaches coexist.</w:t>
      </w:r>
    </w:p>
    <w:p>
      <w:r>
        <w:rPr>
          <w:b/>
          <w:bCs/>
        </w:rPr>
        <w:t xml:space="preserve">The standard is still moving.</w:t>
      </w:r>
      <w:r>
        <w:t xml:space="preserve"> ISDA is extending CDM to 12 regulatory regimes across 9 jurisdictions [ISDA DRR InfoHub]. Adopt today, and you may face multiple migration cycles as coverage expands.</w:t>
      </w:r>
    </w:p>
    <w:p>
      <w:r>
        <w:rPr>
          <w:b/>
          <w:bCs/>
        </w:rPr>
        <w:t xml:space="preserve">First movers absorb pain.</w:t>
      </w:r>
      <w:r>
        <w:t xml:space="preserve"> JPMorgan acknowledged that product mapping "takes the largest proportion of build time" [ISDA JPM Webinar, 1:28:22]. Later adopters inherit a more refined standard—at no cost.</w:t>
      </w:r>
    </w:p>
    <w:p>
      <w:pPr>
        <w:pStyle w:val="Heading1"/>
      </w:pPr>
      <w:r>
        <w:t xml:space="preserve">The Regulatory Ratchet</w:t>
      </w:r>
    </w:p>
    <w:p>
      <w:r>
        <w:t xml:space="preserve">The CFTC imposed $17.1 billion in monetary relief in FY2024, including $2.6 billion in civil penalties [CFTC Press Release 9011-24]. Derivatives reporting failures are expensive: BNY Mellon paid $5 million for misreporting 5 million swaps; Barclays paid $4 million; Goldman, Bank of America, and JPMorgan collectively paid over $50 million in 2023 [Regnosys Industry News].</w:t>
      </w:r>
    </w:p>
    <w:p>
      <w:r>
        <w:t xml:space="preserve">CFTC Director Ian McGinley in October 2023: "It has been 13 years since Dodd-Frank and well past time for swap dealers to ensure they are in full compliance" [CFTC]. The message is clear. The question is whether CDM is the answer—or one answer among several.</w:t>
      </w:r>
    </w:p>
    <w:p>
      <w:pPr>
        <w:pStyle w:val="Heading1"/>
      </w:pPr>
      <w:r>
        <w:t xml:space="preserve">The Economics of Adoption</w:t>
      </w:r>
    </w:p>
    <w:p>
      <w:r>
        <w:t xml:space="preserve">Early adopters report significant benefits [ISDA/Capgemini Industry Perspectives]:</w:t>
      </w:r>
    </w:p>
    <w:p>
      <w:pPr>
        <w:pStyle w:val="ListParagraph"/>
        <w:numPr>
          <w:ilvl w:val="0"/>
          <w:numId w:val="2"/>
        </w:numPr>
      </w:pPr>
      <w:r>
        <w:t xml:space="preserve">98–100% trade repository acknowledgment rates</w:t>
      </w:r>
    </w:p>
    <w:p>
      <w:pPr>
        <w:pStyle w:val="ListParagraph"/>
        <w:numPr>
          <w:ilvl w:val="0"/>
          <w:numId w:val="2"/>
        </w:numPr>
      </w:pPr>
      <w:r>
        <w:t xml:space="preserve">Up to 50% reduction in maintenance costs</w:t>
      </w:r>
    </w:p>
    <w:p>
      <w:pPr>
        <w:pStyle w:val="ListParagraph"/>
        <w:numPr>
          <w:ilvl w:val="0"/>
          <w:numId w:val="2"/>
        </w:numPr>
      </w:pPr>
      <w:r>
        <w:t xml:space="preserve">85–92% code reuse across jurisdictions</w:t>
      </w:r>
    </w:p>
    <w:p>
      <w:pPr>
        <w:pStyle w:val="ListParagraph"/>
        <w:numPr>
          <w:ilvl w:val="0"/>
          <w:numId w:val="2"/>
        </w:numPr>
      </w:pPr>
      <w:r>
        <w:t xml:space="preserve">Under 3 months to add jurisdictions after initial 12–21 month build</w:t>
      </w:r>
    </w:p>
    <w:p>
      <w:r>
        <w:t xml:space="preserve">Four firms are in production—JPMorgan, BNP Paribas, JSCC, and Banque Pictet. Fifteen are running proofs of concept [ISDA/Capgemini]. The numbers suggest momentum, but also the weight of the implementation lift.</w:t>
      </w:r>
    </w:p>
    <w:p>
      <w:pPr>
        <w:pStyle w:val="Heading1"/>
      </w:pPr>
      <w:r>
        <w:t xml:space="preserve">The Translation Tax</w:t>
      </w:r>
    </w:p>
    <w:p>
      <w:r>
        <w:t xml:space="preserve">Integration Layer, Compliance Layer, and Siloed architectures all carry ongoing translation costs [Broadridge Analysis]. Internal systems and CDM define fields differently—"Trade Date" versus "Execution Timestamp"—and mapping layers can introduce systematic errors. If translation logic is flawed, a bank may misreport despite using the "correct" standard.</w:t>
      </w:r>
    </w:p>
    <w:p>
      <w:r>
        <w:t xml:space="preserve">But translation is a solved engineering problem. The real risk isn't technical—it's strategic. If Native Integration adopters achieve significant cost advantages, translation architectures become a permanent tax. If CDM adoption stalls or fragments, the tax was worth paying for optionality </w:t>
      </w:r>
      <w:r>
        <w:rPr>
          <w:i/>
          <w:iCs/>
        </w:rPr>
        <w:t xml:space="preserve">[INFERENCE]</w:t>
      </w:r>
      <w:r>
        <w:t xml:space="preserve">.</w:t>
      </w:r>
    </w:p>
    <w:p>
      <w:pPr>
        <w:pStyle w:val="Heading1"/>
      </w:pPr>
      <w:r>
        <w:t xml:space="preserve">Archetype Risks and Mitigations</w:t>
      </w:r>
    </w:p>
    <w:p>
      <w:r>
        <w:rPr>
          <w:b/>
          <w:bCs/>
        </w:rPr>
        <w:t xml:space="preserve">Native Integration risks</w:t>
      </w:r>
      <w:r>
        <w:t xml:space="preserve"> center on timing and ecosystem dependency. The standard continues evolving; early commitment may require rework as ISDA extends coverage. Benefits depend on counterparty adoption—if peers don't follow, interoperability advantages remain theoretical. </w:t>
      </w:r>
      <w:r>
        <w:rPr>
          <w:i/>
          <w:iCs/>
        </w:rPr>
        <w:t xml:space="preserve">Mitigation:</w:t>
      </w:r>
      <w:r>
        <w:t xml:space="preserve"> JPMorgan's "semi-native" architecture hedges by keeping CDM upstream of reporting rather than embedding it in core booking systems. This preserves flexibility to adapt as the standard matures while capturing immediate DRR benefits </w:t>
      </w:r>
      <w:r>
        <w:rPr>
          <w:i/>
          <w:iCs/>
        </w:rPr>
        <w:t xml:space="preserve">[INFERENCE]</w:t>
      </w:r>
      <w:r>
        <w:t xml:space="preserve">.</w:t>
      </w:r>
    </w:p>
    <w:p>
      <w:r>
        <w:rPr>
          <w:b/>
          <w:bCs/>
        </w:rPr>
        <w:t xml:space="preserve">Integration Layer risks</w:t>
      </w:r>
      <w:r>
        <w:t xml:space="preserve"> involve dual maintenance burden and translation complexity. Proprietary models and CDM mappings must both stay current. Smart contracts require orchestration across the internal/CDM boundary, adding architectural complexity. </w:t>
      </w:r>
      <w:r>
        <w:rPr>
          <w:i/>
          <w:iCs/>
        </w:rPr>
        <w:t xml:space="preserve">Mitigation:</w:t>
      </w:r>
      <w:r>
        <w:t xml:space="preserve"> Goldman's Legend platform creates a structured translation layer with version control and lineage tracking. Morgan Stanley's quantitative culture provides the engineering depth to manage complexity. Both can extend CDM integration incrementally as value is demonstrated </w:t>
      </w:r>
      <w:r>
        <w:rPr>
          <w:i/>
          <w:iCs/>
        </w:rPr>
        <w:t xml:space="preserve">[INFERENCE]</w:t>
      </w:r>
      <w:r>
        <w:t xml:space="preserve">.</w:t>
      </w:r>
    </w:p>
    <w:p>
      <w:r>
        <w:rPr>
          <w:b/>
          <w:bCs/>
        </w:rPr>
        <w:t xml:space="preserve">Compliance Layer risks</w:t>
      </w:r>
      <w:r>
        <w:t xml:space="preserve"> include permanent translation tax and missed efficiency gains. CDM benefits beyond reporting—collateral automation, B2B messaging, settlement optimization—remain inaccessible. If regulators mandate CDM upstream (not just at submission), architecture must change under pressure. </w:t>
      </w:r>
      <w:r>
        <w:rPr>
          <w:i/>
          <w:iCs/>
        </w:rPr>
        <w:t xml:space="preserve">Mitigation:</w:t>
      </w:r>
      <w:r>
        <w:t xml:space="preserve"> Citigroup's global regulatory relationships provide early visibility into mandate trajectories. The compliance-first approach can evolve toward Integration Layer if upstream CDM requirements emerge </w:t>
      </w:r>
      <w:r>
        <w:rPr>
          <w:i/>
          <w:iCs/>
        </w:rPr>
        <w:t xml:space="preserve">[INFERENCE]</w:t>
      </w:r>
      <w:r>
        <w:t xml:space="preserve">.</w:t>
      </w:r>
    </w:p>
    <w:p>
      <w:r>
        <w:rPr>
          <w:b/>
          <w:bCs/>
        </w:rPr>
        <w:t xml:space="preserve">Siloed/Departmental risks</w:t>
      </w:r>
      <w:r>
        <w:t xml:space="preserve"> are the most significant long-term. Network effects may create exclusion costs: if CDM-native firms build interoperable utilities, late adopters face structural disadvantage. No economies of scale emerge across departments. NFRR factory complexity multiplies if reporting must output CDM from multiple non-CDM sources. </w:t>
      </w:r>
      <w:r>
        <w:rPr>
          <w:i/>
          <w:iCs/>
        </w:rPr>
        <w:t xml:space="preserve">Mitigation:</w:t>
      </w:r>
      <w:r>
        <w:t xml:space="preserve"> BofA can preserve optionality by maintaining minimum viable CDM capability for external connectivity, participating in FINOS governance to influence standards, monitoring utility solutions for rapid adoption when proven, and defining explicit trigger points—client losses, regulatory mandates, competitor utility adoption—that would force strategy reassessment </w:t>
      </w:r>
      <w:r>
        <w:rPr>
          <w:i/>
          <w:iCs/>
        </w:rPr>
        <w:t xml:space="preserve">[INFERENCE]</w:t>
      </w:r>
      <w:r>
        <w:t xml:space="preserve">.</w:t>
      </w:r>
    </w:p>
    <w:p>
      <w:pPr>
        <w:pStyle w:val="Heading1"/>
      </w:pPr>
      <w:r>
        <w:t xml:space="preserve">The Network Effects Question</w:t>
      </w:r>
    </w:p>
    <w:p>
      <w:r>
        <w:t xml:space="preserve">The archetype framework assumes institutions can choose independently. That assumption may not hold. If early adopters create interoperable CDM networks, the industry could reach a tipping point where non-participation carries escalating costs. Projected timeline: Years 1–3, leaders build CDM infrastructure; Years 3–5, leaders create interoperability networks; Years 5–7, networks become industry utilities; Years 7+, non-participants face exclusion costs </w:t>
      </w:r>
      <w:r>
        <w:rPr>
          <w:i/>
          <w:iCs/>
        </w:rPr>
        <w:t xml:space="preserve">[INFERENCE]</w:t>
      </w:r>
      <w:r>
        <w:t xml:space="preserve">. Institutions selecting Compliance Layer or Siloed archetypes should monitor adoption velocity closely. The rational choice today may become the stranded investment of 2030.</w:t>
      </w:r>
    </w:p>
    <w:p>
      <w:pPr>
        <w:pStyle w:val="Heading1"/>
      </w:pPr>
      <w:r>
        <w:t xml:space="preserve">Uncertainties to Monitor</w:t>
      </w:r>
    </w:p>
    <w:p>
      <w:r>
        <w:t xml:space="preserve">Which archetype wins depends on factors still in motion:</w:t>
      </w:r>
    </w:p>
    <w:p>
      <w:pPr>
        <w:pStyle w:val="ListParagraph"/>
        <w:numPr>
          <w:ilvl w:val="0"/>
          <w:numId w:val="3"/>
        </w:numPr>
      </w:pPr>
      <w:r>
        <w:rPr>
          <w:b/>
          <w:bCs/>
        </w:rPr>
        <w:t xml:space="preserve">Regulatory trajectory.</w:t>
      </w:r>
      <w:r>
        <w:t xml:space="preserve"> Will regulators mandate CDM, or let the market decide?</w:t>
      </w:r>
    </w:p>
    <w:p>
      <w:pPr>
        <w:pStyle w:val="ListParagraph"/>
        <w:numPr>
          <w:ilvl w:val="0"/>
          <w:numId w:val="3"/>
        </w:numPr>
      </w:pPr>
      <w:r>
        <w:rPr>
          <w:b/>
          <w:bCs/>
        </w:rPr>
        <w:t xml:space="preserve">Standard maturity.</w:t>
      </w:r>
      <w:r>
        <w:t xml:space="preserve"> How fast will ISDA close product and jurisdiction gaps?</w:t>
      </w:r>
    </w:p>
    <w:p>
      <w:pPr>
        <w:pStyle w:val="ListParagraph"/>
        <w:numPr>
          <w:ilvl w:val="0"/>
          <w:numId w:val="3"/>
        </w:numPr>
      </w:pPr>
      <w:r>
        <w:rPr>
          <w:b/>
          <w:bCs/>
        </w:rPr>
        <w:t xml:space="preserve">Adoption velocity.</w:t>
      </w:r>
      <w:r>
        <w:t xml:space="preserve"> Will the 4-firm production base expand meaningfully by 2027?</w:t>
      </w:r>
    </w:p>
    <w:p>
      <w:pPr>
        <w:pStyle w:val="ListParagraph"/>
        <w:numPr>
          <w:ilvl w:val="0"/>
          <w:numId w:val="3"/>
        </w:numPr>
      </w:pPr>
      <w:r>
        <w:rPr>
          <w:b/>
          <w:bCs/>
        </w:rPr>
        <w:t xml:space="preserve">Competitive dynamics.</w:t>
      </w:r>
      <w:r>
        <w:t xml:space="preserve"> Will early adopters realize client-facing advantages that force peers to follow?</w:t>
      </w:r>
    </w:p>
    <w:p>
      <w:pPr>
        <w:pStyle w:val="Heading1"/>
      </w:pPr>
      <w:r>
        <w:t xml:space="preserve">The Choice Ahead</w:t>
      </w:r>
    </w:p>
    <w:p>
      <w:r>
        <w:t xml:space="preserve">The paradox is real: every major bank is engaged, but only one is in production. This isn't inertia—it's strategic divergence. Each institution is weighing the same evidence and reaching different conclusions about timing and architecture.</w:t>
      </w:r>
    </w:p>
    <w:p>
      <w:r>
        <w:t xml:space="preserve">JPMorgan's October 2024 deployment offers one answer: a semi-native architecture that keeps CDM upstream, bypasses FpML, and bets on future use cases beyond reporting. It's a bold move—and it may prove prescient.</w:t>
      </w:r>
    </w:p>
    <w:p>
      <w:r>
        <w:t xml:space="preserve">Or it may prove early. The standard is still evolving. The regulatory trajectory is uncertain. And institutions with billions invested in proven platforms have legitimate reasons to wait.</w:t>
      </w:r>
    </w:p>
    <w:p>
      <w:r>
        <w:t xml:space="preserve">For Bank of America and its peers, the question isn't whether to engage with CDM—they already are. The question is how deeply, how soon, and with what architecture. The next three years will reveal which bet was right. Until then, the paradox holds: universal participation, strategic divergence, and no predetermined answer.</w:t>
      </w:r>
    </w:p>
    <w:p>
      <w:pPr>
        <w:pStyle w:val="Heading1"/>
      </w:pPr>
      <w:r>
        <w:t xml:space="preserve">Source References</w:t>
      </w:r>
    </w:p>
    <w:p>
      <w:r>
        <w:rPr>
          <w:b/>
          <w:bCs/>
        </w:rPr>
        <w:t xml:space="preserve">Primary Source</w:t>
      </w:r>
    </w:p>
    <w:p>
      <w:r>
        <w:t xml:space="preserve">[ISDA JPM Webinar] ISDA Webinar: "One firm's DRR implementation journey, from the perspective of JPM" (November 2024). Speaker: Nick Mosher, Product Director, Regulatory Technology, JPMorgan. Timestamps reference webinar recording.</w:t>
      </w:r>
    </w:p>
    <w:p>
      <w:r>
        <w:rPr>
          <w:b/>
          <w:bCs/>
        </w:rPr>
        <w:t xml:space="preserve">Secondary Sources</w:t>
      </w:r>
    </w:p>
    <w:p>
      <w:r>
        <w:t xml:space="preserve">[JPMorgan Chase Tech Blog] </w:t>
      </w:r>
      <w:r>
        <w:rPr>
          <w:i/>
          <w:iCs/>
        </w:rPr>
        <w:t xml:space="preserve">jpmorganchase.com/about/technology/blog/jpmc-launches-finos-open-source-solution</w:t>
      </w:r>
    </w:p>
    <w:p>
      <w:r>
        <w:t xml:space="preserve">[ISDA/Capgemini Industry Perspectives] </w:t>
      </w:r>
      <w:r>
        <w:rPr>
          <w:i/>
          <w:iCs/>
        </w:rPr>
        <w:t xml:space="preserve">isda.org/a/LhRgE/Industry-Perspectives-on-the-ISDA-DRR.pdf</w:t>
      </w:r>
    </w:p>
    <w:p>
      <w:r>
        <w:t xml:space="preserve">[FINOS CDM Working Group] </w:t>
      </w:r>
      <w:r>
        <w:rPr>
          <w:i/>
          <w:iCs/>
        </w:rPr>
        <w:t xml:space="preserve">github.com/finos/common-domain-model/discussions/4006</w:t>
      </w:r>
    </w:p>
    <w:p>
      <w:r>
        <w:t xml:space="preserve">[FINOS Active Project] </w:t>
      </w:r>
      <w:r>
        <w:rPr>
          <w:i/>
          <w:iCs/>
        </w:rPr>
        <w:t xml:space="preserve">finos.org/blog/from-standards-to-impact-cdm-becomes-an-active-finos-project</w:t>
      </w:r>
    </w:p>
    <w:p>
      <w:r>
        <w:t xml:space="preserve">[FINOS CDM TAWG Minutes] </w:t>
      </w:r>
      <w:r>
        <w:rPr>
          <w:i/>
          <w:iCs/>
        </w:rPr>
        <w:t xml:space="preserve">CDM Technology Architecture Working Group minutes, September 2025</w:t>
      </w:r>
    </w:p>
    <w:p>
      <w:r>
        <w:t xml:space="preserve">[Regnosys Industry News] </w:t>
      </w:r>
      <w:r>
        <w:rPr>
          <w:i/>
          <w:iCs/>
        </w:rPr>
        <w:t xml:space="preserve">regnosys.com/industry-news/isda-launches-full-open-source-version-of-digital-regulatory-reporting-model/</w:t>
      </w:r>
    </w:p>
    <w:p>
      <w:r>
        <w:t xml:space="preserve">[Regnosys DRR Roadmap] </w:t>
      </w:r>
      <w:r>
        <w:rPr>
          <w:i/>
          <w:iCs/>
        </w:rPr>
        <w:t xml:space="preserve">regnosys.com/drr-roadmap</w:t>
      </w:r>
    </w:p>
    <w:p>
      <w:r>
        <w:t xml:space="preserve">[CFTC Press Release 9011-24] </w:t>
      </w:r>
      <w:r>
        <w:rPr>
          <w:i/>
          <w:iCs/>
        </w:rPr>
        <w:t xml:space="preserve">cftc.gov/PressRoom/PressReleases/9011-24</w:t>
      </w:r>
    </w:p>
    <w:p>
      <w:r>
        <w:t xml:space="preserve">[ISDA DRR InfoHub] </w:t>
      </w:r>
      <w:r>
        <w:rPr>
          <w:i/>
          <w:iCs/>
        </w:rPr>
        <w:t xml:space="preserve">isda.org/isda-solutions-infohub/isda-digital-regulatory-reporting/</w:t>
      </w:r>
    </w:p>
    <w:p>
      <w:r>
        <w:t xml:space="preserve">[Broadridge Analysis] </w:t>
      </w:r>
      <w:r>
        <w:rPr>
          <w:i/>
          <w:iCs/>
        </w:rPr>
        <w:t xml:space="preserve">broadridge.com/_assets/pdf/broadridge-challenges-in-adopting-a-common-domain-model.pdf</w:t>
      </w:r>
    </w:p>
    <w:p>
      <w:r>
        <w:t xml:space="preserve">[Google Cloud/Goldman Sachs] </w:t>
      </w:r>
      <w:r>
        <w:rPr>
          <w:i/>
          <w:iCs/>
        </w:rPr>
        <w:t xml:space="preserve">cloud.google.com/transform/goldman-sachs-legend-open-source-data-management</w:t>
      </w:r>
    </w:p>
    <w:p>
      <w:r>
        <w:rPr>
          <w:b/>
          <w:bCs/>
        </w:rPr>
        <w:t xml:space="preserve">Notation</w:t>
      </w:r>
    </w:p>
    <w:p>
      <w:r>
        <w:rPr>
          <w:i/>
          <w:iCs/>
        </w:rPr>
        <w:t xml:space="preserve">[INFERENCE]</w:t>
      </w:r>
      <w:r>
        <w:t xml:space="preserve"> denotes author analysis or projection not directly attributable to cited sources.</w:t>
      </w:r>
    </w:p>
    <w:p>
      <w:pPr>
        <w:spacing w:before="360"/>
        <w:jc w:val="center"/>
      </w:pPr>
      <w:r>
        <w:rPr>
          <w:i/>
          <w:iCs/>
        </w:rPr>
        <w:t xml:space="preserve">— Version 9.0 —</w:t>
      </w:r>
    </w:p>
    <w:p>
      <w:pPr>
        <w:jc w:val="center"/>
      </w:pPr>
      <w:r>
        <w:rPr>
          <w:i/>
          <w:iCs/>
        </w:rPr>
        <w:t xml:space="preserve">Consolidated four-archetype framework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rFonts w:ascii="Times New Roman" w:cs="Times New Roman" w:eastAsia="Times New Roman" w:hAnsi="Times New Roman"/>
      <w:b/>
      <w:bCs/>
      <w:sz w:val="36"/>
      <w:szCs w:val="36"/>
    </w:rPr>
  </w:style>
  <w:style w:type="paragraph" w:styleId="Subtitle">
    <w:name w:val="Subtitle"/>
    <w:basedOn w:val="Normal"/>
    <w:pPr>
      <w:spacing w:after="240"/>
      <w:jc w:val="center"/>
    </w:pPr>
    <w:rPr>
      <w:rFonts w:ascii="Times New Roman" w:cs="Times New Roman" w:eastAsia="Times New Roman" w:hAnsi="Times New Roman"/>
      <w:i/>
      <w:iCs/>
      <w:sz w:val="24"/>
      <w:szCs w:val="24"/>
    </w:rPr>
  </w:style>
  <w:style w:type="paragraph" w:styleId="Heading1">
    <w:name w:val="Heading 1"/>
    <w:basedOn w:val="Normal"/>
    <w:next w:val="Normal"/>
    <w:qFormat/>
    <w:pPr>
      <w:spacing w:before="360" w:after="120"/>
    </w:pPr>
    <w:rPr>
      <w:rFonts w:ascii="Times New Roman" w:cs="Times New Roman" w:eastAsia="Times New Roman" w:hAnsi="Times New Roman"/>
      <w:b/>
      <w:bCs/>
      <w:sz w:val="26"/>
      <w:szCs w:val="26"/>
    </w:rPr>
  </w:style>
  <w:style w:type="paragraph" w:styleId="Heading2">
    <w:name w:val="Heading 2"/>
    <w:basedOn w:val="Normal"/>
    <w:next w:val="Normal"/>
    <w:qFormat/>
    <w:pPr>
      <w:spacing w:before="280" w:after="100"/>
    </w:pPr>
    <w:rPr>
      <w:rFonts w:ascii="Times New Roman" w:cs="Times New Roman" w:eastAsia="Times New Roman" w:hAnsi="Times New Roman"/>
      <w:b/>
      <w:bCs/>
      <w:sz w:val="24"/>
      <w:szCs w:val="24"/>
    </w:rPr>
  </w:style>
  <w:style w:type="paragraph" w:styleId="Normal">
    <w:name w:val="Normal"/>
    <w:pPr>
      <w:spacing w:after="200" w:line="276"/>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2025-12-09T18:58:07.208Z</dcterms:created>
  <dcterms:modified xsi:type="dcterms:W3CDTF">2025-12-09T18:58:07.209Z</dcterms:modified>
</cp:coreProperties>
</file>

<file path=docProps/custom.xml><?xml version="1.0" encoding="utf-8"?>
<Properties xmlns="http://schemas.openxmlformats.org/officeDocument/2006/custom-properties" xmlns:vt="http://schemas.openxmlformats.org/officeDocument/2006/docPropsVTypes"/>
</file>