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4200"/>
      </w:tblGrid>
      <w:tr>
        <w:tc>
          <w:tcPr>
            <w:tcW w:type="dxa" w:w="6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itle"/>
            </w:pPr>
            <w:r>
              <w:t xml:space="preserve">Deutsche Bank</w:t>
            </w:r>
          </w:p>
          <w:p>
            <w:pPr>
              <w:pStyle w:val="Subtitle"/>
            </w:pPr>
            <w:r>
              <w:t xml:space="preserve">CDM/DRR Engagement Profile</w:t>
            </w:r>
            <w:r>
              <w:rPr>
                <w:color w:val="EAEAEA"/>
              </w:rPr>
              <w:t xml:space="preserve">   |   </w:t>
            </w:r>
            <w:r>
              <w:rPr>
                <w:i/>
                <w:iCs/>
              </w:rPr>
              <w:t xml:space="preserve">December 2025</w:t>
            </w:r>
          </w:p>
        </w:tc>
        <w:tc>
          <w:tcPr>
            <w:tcW w:type="dxa" w:w="4200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500"/>
            </w:tblGrid>
            <w:tr>
              <w:tc>
                <w:tcPr>
                  <w:tcW w:type="dxa" w:w="2600"/>
                  <w:tcBorders>
                    <w:top w:val="single" w:color="EAEAEA" w:sz="4"/>
                    <w:left w:val="single" w:color="EAEAEA" w:sz="4"/>
                    <w:bottom w:val="single" w:color="EAEAEA" w:sz="4"/>
                    <w:right w:val="nil"/>
                  </w:tcBorders>
                  <w:shd w:fill="F59E0B" w:val="clear"/>
                  <w:vAlign w:val="center"/>
                </w:tcPr>
                <w:p>
                  <w:pPr>
                    <w:spacing w:before="100" w:after="10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8"/>
                      <w:szCs w:val="28"/>
                    </w:rPr>
                    <w:t xml:space="preserve">PRAGMATIST</w:t>
                  </w:r>
                </w:p>
              </w:tc>
              <w:tc>
                <w:tcPr>
                  <w:tcW w:type="dxa" w:w="1500"/>
                  <w:tcBorders>
                    <w:top w:val="single" w:color="EAEAEA" w:sz="4"/>
                    <w:left w:val="nil"/>
                    <w:bottom w:val="single" w:color="EAEAEA" w:sz="4"/>
                    <w:right w:val="single" w:color="EAEAEA" w:sz="4"/>
                  </w:tcBorders>
                  <w:shd w:fill="F5F5F5" w:val="clear"/>
                  <w:vAlign w:val="center"/>
                </w:tcPr>
                <w:p>
                  <w:pPr>
                    <w:spacing w:before="60" w:after="0"/>
                    <w:jc w:val="center"/>
                  </w:pPr>
                  <w:r>
                    <w:rPr>
                      <w:rFonts w:ascii="Work Sans" w:cs="Work Sans" w:eastAsia="Work Sans" w:hAnsi="Work Sans"/>
                      <w:color w:val="0C2340"/>
                      <w:sz w:val="32"/>
                      <w:szCs w:val="32"/>
                    </w:rPr>
                    <w:t xml:space="preserve">●●●●○</w:t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="Work Sans" w:cs="Work Sans" w:eastAsia="Work Sans" w:hAnsi="Work Sans"/>
                      <w:color w:val="777777"/>
                      <w:sz w:val="14"/>
                      <w:szCs w:val="14"/>
                    </w:rPr>
                    <w:t xml:space="preserve">confidence</w:t>
                  </w:r>
                </w:p>
              </w:tc>
            </w:tr>
          </w:tbl>
          <w:p/>
        </w:tc>
      </w:tr>
    </w:tbl>
    <w:p>
      <w:pPr>
        <w:pBdr>
          <w:bottom w:val="single" w:color="0C2340" w:sz="8"/>
        </w:pBdr>
        <w:spacing w:before="60"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0"/>
      </w:tblGrid>
      <w:tr>
        <w:tc>
          <w:tcPr>
            <w:tcW w:type="dxa" w:w="107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620"/>
            </w:tblGrid>
            <w:tr>
              <w:tc>
                <w:tcPr>
                  <w:tcW w:type="dxa" w:w="1062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POSITION SUMMARY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540"/>
            </w:tblGrid>
            <w:tr>
              <w:tc>
                <w:tcPr>
                  <w:tcW w:type="dxa" w:w="10540"/>
                  <w:tcBorders>
                    <w:top w:val="nil"/>
                    <w:left w:val="single" w:color="F59E0B" w:sz="24"/>
                    <w:bottom w:val="nil"/>
                    <w:right w:val="nil"/>
                  </w:tcBorders>
                  <w:shd w:fill="FFFBEB" w:val="clear"/>
                </w:tcPr>
                <w:p>
                  <w:pPr>
                    <w:spacing w:before="50" w:after="50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  KEY IMPLICATION:  </w:t>
                  </w:r>
                  <w:r>
                    <w:rPr>
                      <w:color w:val="333333"/>
                      <w:sz w:val="18"/>
                      <w:szCs w:val="18"/>
                    </w:rPr>
                    <w:t xml:space="preserve">They understand CDM's value but deprioritized it. Reopening requires linking CDM to their cloud/data strategy.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80" w:after="40"/>
            </w:pPr>
            <w:r>
              <w:rPr>
                <w:color w:val="333333"/>
                <w:sz w:val="17"/>
                <w:szCs w:val="17"/>
              </w:rPr>
              <w:t xml:space="preserve">Participated in FINOS Legend pilot (2020-21) — FX Options extensions still in production CDM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color w:val="333333"/>
                <w:sz w:val="17"/>
                <w:szCs w:val="17"/>
              </w:rPr>
              <w:t xml:space="preserve">No CDM-specific activity observed since (zero commits, no DRR announcements, no WG participation)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40"/>
            </w:pPr>
            <w:r>
              <w:rPr>
                <w:color w:val="333333"/>
                <w:sz w:val="17"/>
                <w:szCs w:val="17"/>
              </w:rPr>
              <w:t xml:space="preserve">Strategically pivoted to cloud infrastructure — active in FINOS CCC, but not derivatives domain modeling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540"/>
            </w:tblGrid>
            <w:tr>
              <w:tc>
                <w:tcPr>
                  <w:tcW w:type="dxa" w:w="10540"/>
                  <w:tcBorders>
                    <w:top w:val="nil"/>
                    <w:left w:val="single" w:color="0C2340" w:sz="24"/>
                    <w:bottom w:val="nil"/>
                    <w:right w:val="nil"/>
                  </w:tcBorders>
                  <w:shd w:fill="EFF6FF" w:val="clear"/>
                </w:tcPr>
                <w:p>
                  <w:pPr>
                    <w:spacing w:before="50" w:after="30"/>
                  </w:pPr>
                  <w:r>
                    <w:rPr>
                      <w:b/>
                      <w:bCs/>
                      <w:color w:val="0C2340"/>
                      <w:sz w:val="18"/>
                      <w:szCs w:val="18"/>
                    </w:rPr>
                    <w:t xml:space="preserve">  🎯 TIMING: </w:t>
                  </w:r>
                  <w:r>
                    <w:rPr>
                      <w:b/>
                      <w:bCs/>
                      <w:color w:val="DC2626"/>
                      <w:sz w:val="18"/>
                      <w:szCs w:val="18"/>
                    </w:rPr>
                    <w:t xml:space="preserve">URGENT — HK/Canada deadline imminent</w:t>
                  </w:r>
                </w:p>
                <w:p>
                  <w:pPr>
                    <w:spacing w:before="0" w:after="50"/>
                  </w:pPr>
                  <w:r>
                    <w:rPr>
                      <w:color w:val="555555"/>
                      <w:sz w:val="16"/>
                      <w:szCs w:val="16"/>
                    </w:rPr>
                    <w:t xml:space="preserve">       Outreach now catches year-end urgency or Q1 2026 budget planning for CFTC wave.</w:t>
                  </w:r>
                </w:p>
              </w:tc>
            </w:tr>
          </w:tbl>
          <w:p/>
        </w:tc>
      </w:tr>
    </w:tbl>
    <w:p>
      <w:pPr>
        <w:spacing w:before="9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5350"/>
      </w:tblGrid>
      <w:tr>
        <w:tc>
          <w:tcPr>
            <w:tcW w:type="dxa" w:w="535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70"/>
            </w:tblGrid>
            <w:tr>
              <w:tc>
                <w:tcPr>
                  <w:tcW w:type="dxa" w:w="527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EVIDENCE SNAPSHOT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80" w:after="5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[2021-25] </w:t>
            </w:r>
            <w:r>
              <w:rPr>
                <w:color w:val="333333"/>
                <w:sz w:val="16"/>
                <w:szCs w:val="16"/>
              </w:rPr>
              <w:t xml:space="preserve">Zero CDM commits, DRR announcements, or WG participation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[2023] </w:t>
            </w:r>
            <w:r>
              <w:rPr>
                <w:color w:val="333333"/>
                <w:sz w:val="16"/>
                <w:szCs w:val="16"/>
              </w:rPr>
              <w:t xml:space="preserve">Active CCC participant (cloud focus) — rapport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[2020] </w:t>
            </w:r>
            <w:r>
              <w:rPr>
                <w:color w:val="333333"/>
                <w:sz w:val="16"/>
                <w:szCs w:val="16"/>
              </w:rPr>
              <w:t xml:space="preserve">Waltz contributed to FINOS (proves OS capability)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[2020] </w:t>
            </w:r>
            <w:r>
              <w:rPr>
                <w:color w:val="333333"/>
                <w:sz w:val="16"/>
                <w:szCs w:val="16"/>
              </w:rPr>
              <w:t xml:space="preserve">Legend pilot — FX Options extensions accepted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[2021] </w:t>
            </w:r>
            <w:r>
              <w:rPr>
                <w:color w:val="333333"/>
                <w:sz w:val="16"/>
                <w:szCs w:val="16"/>
              </w:rPr>
              <w:t xml:space="preserve">Russell Green elected FINOS Board Vice Chair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90"/>
            </w:tblGrid>
            <w:tr>
              <w:tc>
                <w:tcPr>
                  <w:tcW w:type="dxa" w:w="5190"/>
                  <w:tcBorders>
                    <w:top w:val="nil"/>
                    <w:left w:val="nil"/>
                    <w:bottom w:val="nil"/>
                    <w:right w:val="nil"/>
                  </w:tcBorders>
                  <w:shd w:fill="FFFBEB" w:val="clear"/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5"/>
                      <w:szCs w:val="15"/>
                    </w:rPr>
                    <w:t xml:space="preserve">💡 LEAD WITH: </w:t>
                  </w:r>
                  <w:r>
                    <w:rPr>
                      <w:i/>
                      <w:iCs/>
                      <w:color w:val="333333"/>
                      <w:sz w:val="15"/>
                      <w:szCs w:val="15"/>
                    </w:rPr>
                    <w:t xml:space="preserve">"Your Legend FX Options model is still in production CDM today."</w:t>
                  </w:r>
                </w:p>
              </w:tc>
            </w:tr>
          </w:tbl>
          <w:p>
            <w:pPr>
              <w:pStyle w:val="Caption"/>
              <w:spacing w:before="40" w:after="30"/>
              <w:jc w:val="right"/>
            </w:pPr>
            <w:r>
              <w:rPr>
                <w:sz w:val="13"/>
                <w:szCs w:val="13"/>
              </w:rPr>
              <w:t xml:space="preserve">Sources: FINOS, GitHub, ISDA, Linux Foundation</w:t>
            </w:r>
          </w:p>
        </w:tc>
        <w:tc>
          <w:tcPr>
            <w:tcW w:type="dxa" w:w="5350"/>
            <w:tcBorders>
              <w:top w:val="single" w:color="EAEAEA" w:sz="4"/>
              <w:left w:val="nil"/>
              <w:bottom w:val="single" w:color="EAEAEA" w:sz="4"/>
              <w:right w:val="single" w:color="EAEAEA" w:sz="4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70"/>
            </w:tblGrid>
            <w:tr>
              <w:tc>
                <w:tcPr>
                  <w:tcW w:type="dxa" w:w="527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COMPETITIVE POSITION</w:t>
                  </w:r>
                </w:p>
              </w:tc>
            </w:tr>
          </w:tbl>
          <w:p>
            <w:pPr>
              <w:spacing w:before="70" w:after="4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400"/>
              <w:gridCol w:w="1100"/>
              <w:gridCol w:w="1000"/>
            </w:tblGrid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F5F5F5" w:val="clear"/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G-SIB Peer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F5F5F5" w:val="clear"/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CDM Status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F5F5F5" w:val="clear"/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DRR?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F5F5F5" w:val="clear"/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When?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BNP Paribas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10B981"/>
                      <w:sz w:val="16"/>
                      <w:szCs w:val="16"/>
                    </w:rPr>
                    <w:t xml:space="preserve">ARCHITECT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F59E0B"/>
                      <w:sz w:val="16"/>
                      <w:szCs w:val="16"/>
                    </w:rPr>
                    <w:t xml:space="preserve">Tested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555555"/>
                      <w:sz w:val="16"/>
                      <w:szCs w:val="16"/>
                    </w:rPr>
                    <w:t xml:space="preserve">Q4 2022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Barclays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F59E0B"/>
                      <w:sz w:val="16"/>
                      <w:szCs w:val="16"/>
                    </w:rPr>
                    <w:t xml:space="preserve">PRAGMATIST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DC2626"/>
                      <w:sz w:val="16"/>
                      <w:szCs w:val="16"/>
                    </w:rPr>
                    <w:t xml:space="preserve">No evid.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555555"/>
                      <w:sz w:val="16"/>
                      <w:szCs w:val="16"/>
                    </w:rPr>
                    <w:t xml:space="preserve">—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FFFBEB" w:val="clear"/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Deutsche Bank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FFFBEB" w:val="clear"/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F59E0B"/>
                      <w:sz w:val="16"/>
                      <w:szCs w:val="16"/>
                    </w:rPr>
                    <w:t xml:space="preserve">PRAGMATIST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FFFBEB" w:val="clear"/>
                </w:tcPr>
                <w:p>
                  <w:pPr>
                    <w:spacing w:before="40" w:after="40"/>
                  </w:pPr>
                  <w:r>
                    <w:rPr>
                      <w:color w:val="F59E0B"/>
                      <w:sz w:val="16"/>
                      <w:szCs w:val="16"/>
                    </w:rPr>
                    <w:t xml:space="preserve">Unknown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FFFBEB" w:val="clear"/>
                </w:tcPr>
                <w:p>
                  <w:pPr>
                    <w:spacing w:before="40" w:after="40"/>
                  </w:pPr>
                  <w:r>
                    <w:rPr>
                      <w:color w:val="555555"/>
                      <w:sz w:val="16"/>
                      <w:szCs w:val="16"/>
                    </w:rPr>
                    <w:t xml:space="preserve">—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JPMorgan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10B981"/>
                      <w:sz w:val="16"/>
                      <w:szCs w:val="16"/>
                    </w:rPr>
                    <w:t xml:space="preserve">ARCHITECT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2E7D32"/>
                      <w:sz w:val="16"/>
                      <w:szCs w:val="16"/>
                    </w:rPr>
                    <w:t xml:space="preserve">Yes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555555"/>
                      <w:sz w:val="16"/>
                      <w:szCs w:val="16"/>
                    </w:rPr>
                    <w:t xml:space="preserve">Q3 2024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b/>
                <w:bCs/>
                <w:color w:val="0C2340"/>
                <w:sz w:val="15"/>
                <w:szCs w:val="15"/>
              </w:rPr>
              <w:t xml:space="preserve">PEER PRESSURE SCRIPT:</w:t>
            </w:r>
          </w:p>
          <w:p>
            <w:pPr>
              <w:spacing w:before="0" w:after="3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"JPMorgan went live Q3 2024. BNP tested two years ago. How are you thinking about your position?"</w:t>
            </w:r>
          </w:p>
          <w:p>
            <w:pPr>
              <w:spacing w:before="0" w:after="30"/>
            </w:pPr>
            <w:r>
              <w:rPr>
                <w:color w:val="F59E0B"/>
                <w:sz w:val="14"/>
                <w:szCs w:val="14"/>
              </w:rPr>
              <w:t xml:space="preserve">⚠️ Frame as curiosity, not accusation.</w:t>
            </w:r>
          </w:p>
        </w:tc>
      </w:tr>
    </w:tbl>
    <w:p>
      <w:pPr>
        <w:spacing w:before="9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5350"/>
      </w:tblGrid>
      <w:tr>
        <w:tc>
          <w:tcPr>
            <w:tcW w:type="dxa" w:w="535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70"/>
            </w:tblGrid>
            <w:tr>
              <w:tc>
                <w:tcPr>
                  <w:tcW w:type="dxa" w:w="527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REGULATORY URGENCY</w:t>
                  </w:r>
                </w:p>
              </w:tc>
            </w:tr>
          </w:tbl>
          <w:p>
            <w:pPr>
              <w:spacing w:before="70" w:after="3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400"/>
              <w:gridCol w:w="1200"/>
              <w:gridCol w:w="1500"/>
            </w:tblGrid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AEAEA" w:val="clear"/>
                </w:tcPr>
                <w:p>
                  <w:pPr>
                    <w:spacing w:before="40" w:after="40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333333"/>
                      <w:sz w:val="16"/>
                      <w:szCs w:val="16"/>
                    </w:rPr>
                    <w:t xml:space="preserve">Deadline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AEAEA" w:val="clear"/>
                </w:tcPr>
                <w:p>
                  <w:pPr>
                    <w:spacing w:before="40" w:after="40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333333"/>
                      <w:sz w:val="16"/>
                      <w:szCs w:val="16"/>
                    </w:rPr>
                    <w:t xml:space="preserve">Regulation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AEAEA" w:val="clear"/>
                </w:tcPr>
                <w:p>
                  <w:pPr>
                    <w:spacing w:before="40" w:after="40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333333"/>
                      <w:sz w:val="16"/>
                      <w:szCs w:val="16"/>
                    </w:rPr>
                    <w:t xml:space="preserve">Status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AEAEA" w:val="clear"/>
                </w:tcPr>
                <w:p>
                  <w:pPr>
                    <w:spacing w:before="40" w:after="40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333333"/>
                      <w:sz w:val="16"/>
                      <w:szCs w:val="16"/>
                    </w:rPr>
                    <w:t xml:space="preserve">Penalty Risk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Apr 2024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EMIR Refit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color w:val="2E7D32"/>
                      <w:sz w:val="16"/>
                      <w:szCs w:val="16"/>
                    </w:rPr>
                    <w:t xml:space="preserve">✓ Done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color w:val="DC2626"/>
                      <w:sz w:val="15"/>
                      <w:szCs w:val="15"/>
                    </w:rPr>
                    <w:t xml:space="preserve">€5M / 10% turnover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Sep 2024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UK EMIR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color w:val="2E7D32"/>
                      <w:sz w:val="16"/>
                      <w:szCs w:val="16"/>
                    </w:rPr>
                    <w:t xml:space="preserve">✓ Done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color w:val="DC2626"/>
                      <w:sz w:val="15"/>
                      <w:szCs w:val="15"/>
                    </w:rPr>
                    <w:t xml:space="preserve">£1M + censure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0C2340"/>
                      <w:sz w:val="16"/>
                      <w:szCs w:val="16"/>
                    </w:rPr>
                    <w:t xml:space="preserve">End 2025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59E0B"/>
                      <w:sz w:val="16"/>
                      <w:szCs w:val="16"/>
                    </w:rPr>
                    <w:t xml:space="preserve">HK/Canada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color w:val="F59E0B"/>
                      <w:sz w:val="16"/>
                      <w:szCs w:val="16"/>
                    </w:rPr>
                    <w:t xml:space="preserve">⟳ Upcoming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color w:val="DC2626"/>
                      <w:sz w:val="15"/>
                      <w:szCs w:val="15"/>
                    </w:rPr>
                    <w:t xml:space="preserve">HK$10M; Admin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TBD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CFTC +40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color w:val="F59E0B"/>
                      <w:sz w:val="16"/>
                      <w:szCs w:val="16"/>
                    </w:rPr>
                    <w:t xml:space="preserve">⟳ Proposed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rFonts w:ascii="Work Sans" w:cs="Work Sans" w:eastAsia="Work Sans" w:hAnsi="Work Sans"/>
                      <w:color w:val="DC2626"/>
                      <w:sz w:val="15"/>
                      <w:szCs w:val="15"/>
                    </w:rPr>
                    <w:t xml:space="preserve">$1M+ per violation</w:t>
                  </w:r>
                </w:p>
              </w:tc>
            </w:tr>
          </w:tbl>
          <w:p>
            <w:pPr>
              <w:pStyle w:val="Caption"/>
              <w:spacing w:before="40" w:after="30"/>
            </w:pPr>
            <w:r>
              <w:rPr>
                <w:rFonts w:ascii="Work Sans" w:cs="Work Sans" w:eastAsia="Work Sans" w:hAnsi="Work Sans"/>
                <w:sz w:val="13"/>
                <w:szCs w:val="13"/>
              </w:rPr>
              <w:t xml:space="preserve">2023-24: ESMA issued €2.5M in EMIR fines; UK FCA fined G-SIB £1.8M for reporting gaps.</w:t>
            </w:r>
          </w:p>
          <w:p>
            <w:pPr>
              <w:spacing w:before="30" w:after="30"/>
            </w:pPr>
            <w:r>
              <w:rPr>
                <w:rFonts w:ascii="Work Sans" w:cs="Work Sans" w:eastAsia="Work Sans" w:hAnsi="Work Sans"/>
                <w:b/>
                <w:bCs/>
                <w:color w:val="0C2340"/>
                <w:sz w:val="16"/>
                <w:szCs w:val="16"/>
              </w:rPr>
              <w:t xml:space="preserve">DISCOVERY: </w:t>
            </w:r>
            <w:r>
              <w:rPr>
                <w:rFonts w:ascii="Work Sans" w:cs="Work Sans" w:eastAsia="Work Sans" w:hAnsi="Work Sans"/>
                <w:i/>
                <w:iCs/>
                <w:color w:val="333333"/>
                <w:sz w:val="16"/>
                <w:szCs w:val="16"/>
              </w:rPr>
              <w:t xml:space="preserve">"How did you approach HK/Canada — same as EMIR or different?"</w:t>
            </w:r>
          </w:p>
        </w:tc>
        <w:tc>
          <w:tcPr>
            <w:tcW w:type="dxa" w:w="5350"/>
            <w:tcBorders>
              <w:top w:val="single" w:color="EAEAEA" w:sz="4"/>
              <w:left w:val="nil"/>
              <w:bottom w:val="single" w:color="EAEAEA" w:sz="4"/>
              <w:right w:val="single" w:color="EAEAEA" w:sz="4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70"/>
            </w:tblGrid>
            <w:tr>
              <w:tc>
                <w:tcPr>
                  <w:tcW w:type="dxa" w:w="527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QUICK REFERENCE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3000"/>
            </w:tblGrid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FINOS Tier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333333"/>
                      <w:sz w:val="16"/>
                      <w:szCs w:val="16"/>
                    </w:rPr>
                    <w:t xml:space="preserve">Platinum Member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Derivatives Tier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333333"/>
                      <w:sz w:val="16"/>
                      <w:szCs w:val="16"/>
                    </w:rPr>
                    <w:t xml:space="preserve">G-SIB (Top 10 global)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Deriv. Notional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0C2340"/>
                      <w:sz w:val="16"/>
                      <w:szCs w:val="16"/>
                    </w:rPr>
                    <w:t xml:space="preserve">~€42 trillion (2023)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Revenue (2023)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333333"/>
                      <w:sz w:val="16"/>
                      <w:szCs w:val="16"/>
                    </w:rPr>
                    <w:t xml:space="preserve">€28.9B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Headquarters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333333"/>
                      <w:sz w:val="16"/>
                      <w:szCs w:val="16"/>
                    </w:rPr>
                    <w:t xml:space="preserve">Frankfurt, Germany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Tech Stack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color w:val="333333"/>
                      <w:sz w:val="16"/>
                      <w:szCs w:val="16"/>
                    </w:rPr>
                    <w:t xml:space="preserve">GitLab DevCloud; Waltz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EMIR Vendor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40" w:after="40"/>
                  </w:pPr>
                  <w:r>
                    <w:rPr>
                      <w:i/>
                      <w:iCs/>
                      <w:color w:val="DC2626"/>
                      <w:sz w:val="16"/>
                      <w:szCs w:val="16"/>
                    </w:rPr>
                    <w:t xml:space="preserve">Unknown — discovery target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FF6FF" w:val="clear"/>
                </w:tcPr>
                <w:p>
                  <w:pPr>
                    <w:spacing w:before="40" w:after="40"/>
                  </w:pP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Similar Banks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FF6FF" w:val="clear"/>
                </w:tcPr>
                <w:p>
                  <w:pPr>
                    <w:spacing w:before="40" w:after="40"/>
                  </w:pPr>
                  <w:r>
                    <w:rPr>
                      <w:color w:val="333333"/>
                      <w:sz w:val="16"/>
                      <w:szCs w:val="16"/>
                    </w:rPr>
                    <w:t xml:space="preserve">SocGen, Barclays</w:t>
                  </w:r>
                </w:p>
              </w:tc>
            </w:tr>
          </w:tbl>
          <w:p/>
        </w:tc>
      </w:tr>
    </w:tbl>
    <w:p>
      <w:pPr>
        <w:spacing w:before="9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0"/>
      </w:tblGrid>
      <w:tr>
        <w:tc>
          <w:tcPr>
            <w:tcW w:type="dxa" w:w="107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620"/>
            </w:tblGrid>
            <w:tr>
              <w:tc>
                <w:tcPr>
                  <w:tcW w:type="dxa" w:w="1062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ENGAGEMENT ANGLES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0"/>
              <w:gridCol w:w="5300"/>
            </w:tblGrid>
            <w:tr>
              <w:tc>
                <w:tcPr>
                  <w:tcW w:type="dxa" w:w="5300"/>
                  <w:tcBorders>
                    <w:top w:val="nil"/>
                    <w:left w:val="nil"/>
                    <w:bottom w:val="nil"/>
                    <w:right w:val="single" w:color="EAEAEA" w:sz="4"/>
                  </w:tcBorders>
                </w:tcPr>
                <w:p>
                  <w:pPr>
                    <w:spacing w:before="80" w:after="50"/>
                  </w:pPr>
                  <w:r>
                    <w:rPr>
                      <w:b/>
                      <w:bCs/>
                      <w:color w:val="0C2340"/>
                      <w:sz w:val="18"/>
                      <w:szCs w:val="18"/>
                    </w:rPr>
                    <w:t xml:space="preserve">RECOMMENDED OPENERS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60"/>
                  </w:pPr>
                  <w:r>
                    <w:rPr>
                      <w:b/>
                      <w:bCs/>
                      <w:color w:val="555555"/>
                      <w:sz w:val="15"/>
                      <w:szCs w:val="15"/>
                    </w:rPr>
                    <w:t xml:space="preserve">Reg Reporting: </w:t>
                  </w:r>
                  <w:r>
                    <w:rPr>
                      <w:i/>
                      <w:iCs/>
                      <w:color w:val="333333"/>
                      <w:sz w:val="15"/>
                      <w:szCs w:val="15"/>
                    </w:rPr>
                    <w:t xml:space="preserve">"Your Legend pilot shaped CDM's FX model — how did that factor into HK/Canada?"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60"/>
                  </w:pPr>
                  <w:r>
                    <w:rPr>
                      <w:b/>
                      <w:bCs/>
                      <w:color w:val="555555"/>
                      <w:sz w:val="15"/>
                      <w:szCs w:val="15"/>
                    </w:rPr>
                    <w:t xml:space="preserve">Architecture/CTO: </w:t>
                  </w:r>
                  <w:r>
                    <w:rPr>
                      <w:i/>
                      <w:iCs/>
                      <w:color w:val="333333"/>
                      <w:sz w:val="15"/>
                      <w:szCs w:val="15"/>
                    </w:rPr>
                    <w:t xml:space="preserve">"Given your CCC leadership, how are you thinking about CDM/DRR in cloud transformation?"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60"/>
                  </w:pPr>
                  <w:r>
                    <w:rPr>
                      <w:b/>
                      <w:bCs/>
                      <w:color w:val="555555"/>
                      <w:sz w:val="15"/>
                      <w:szCs w:val="15"/>
                    </w:rPr>
                    <w:t xml:space="preserve">Any stakeholder: </w:t>
                  </w:r>
                  <w:r>
                    <w:rPr>
                      <w:i/>
                      <w:iCs/>
                      <w:color w:val="333333"/>
                      <w:sz w:val="15"/>
                      <w:szCs w:val="15"/>
                    </w:rPr>
                    <w:t xml:space="preserve">"JPMorgan just published their DRR journey — would a briefing be useful?"</w:t>
                  </w:r>
                </w:p>
              </w:tc>
              <w:tc>
                <w:tcPr>
                  <w:tcW w:type="dxa" w:w="530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80" w:after="50"/>
                  </w:pPr>
                  <w:r>
                    <w:rPr>
                      <w:b/>
                      <w:bCs/>
                      <w:color w:val="0C2340"/>
                      <w:sz w:val="18"/>
                      <w:szCs w:val="18"/>
                    </w:rPr>
                    <w:t xml:space="preserve">RAPPORT BUILDERS</w:t>
                  </w:r>
                </w:p>
                <w:p>
                  <w:pPr>
                    <w:spacing w:before="0" w:after="60"/>
                  </w:pPr>
                  <w:r>
                    <w:rPr>
                      <w:color w:val="333333"/>
                      <w:sz w:val="16"/>
                      <w:szCs w:val="16"/>
                    </w:rPr>
                    <w:t xml:space="preserve">Reference </w:t>
                  </w: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Waltz</w:t>
                  </w:r>
                  <w:r>
                    <w:rPr>
                      <w:color w:val="333333"/>
                      <w:sz w:val="16"/>
                      <w:szCs w:val="16"/>
                    </w:rPr>
                    <w:t xml:space="preserve"> (FINOS app architecture tool) </w:t>
                  </w:r>
                  <w:r>
                    <w:rPr>
                      <w:color w:val="333333"/>
                      <w:sz w:val="16"/>
                      <w:szCs w:val="16"/>
                    </w:rPr>
                    <w:t xml:space="preserve">to show homework on their open source strategy.</w:t>
                  </w:r>
                </w:p>
                <w:p>
                  <w:pPr>
                    <w:spacing w:before="0" w:after="60"/>
                  </w:pPr>
                  <w:r>
                    <w:rPr>
                      <w:color w:val="333333"/>
                      <w:sz w:val="16"/>
                      <w:szCs w:val="16"/>
                    </w:rPr>
                    <w:t xml:space="preserve">Reference </w:t>
                  </w:r>
                  <w:r>
                    <w:rPr>
                      <w:b/>
                      <w:bCs/>
                      <w:color w:val="333333"/>
                      <w:sz w:val="16"/>
                      <w:szCs w:val="16"/>
                    </w:rPr>
                    <w:t xml:space="preserve">Russell Green</w:t>
                  </w:r>
                  <w:r>
                    <w:rPr>
                      <w:color w:val="333333"/>
                      <w:sz w:val="16"/>
                      <w:szCs w:val="16"/>
                    </w:rPr>
                    <w:t xml:space="preserve"> (Chief Architect) </w:t>
                  </w:r>
                  <w:r>
                    <w:rPr>
                      <w:color w:val="333333"/>
                      <w:sz w:val="16"/>
                      <w:szCs w:val="16"/>
                    </w:rPr>
                    <w:t xml:space="preserve">is the known FINOS contact — but note he's now cloud-focused, not CDM-focused.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Title"/>
        <w:spacing w:before="0" w:after="40"/>
      </w:pPr>
      <w:r>
        <w:rPr>
          <w:sz w:val="40"/>
          <w:szCs w:val="40"/>
        </w:rPr>
        <w:t xml:space="preserve">Deutsche Bank</w:t>
      </w:r>
      <w:r>
        <w:rPr>
          <w:rFonts w:ascii="Work Sans" w:cs="Work Sans" w:eastAsia="Work Sans" w:hAnsi="Work Sans"/>
          <w:color w:val="555555"/>
          <w:sz w:val="32"/>
          <w:szCs w:val="32"/>
        </w:rPr>
        <w:t xml:space="preserve">  —  Client Engagement Handbook</w:t>
      </w:r>
    </w:p>
    <w:p>
      <w:pPr>
        <w:pBdr>
          <w:bottom w:val="single" w:color="0C2340" w:sz="8"/>
        </w:pBdr>
        <w:spacing w:before="4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0"/>
      </w:tblGrid>
      <w:tr>
        <w:tc>
          <w:tcPr>
            <w:tcW w:type="dxa" w:w="107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620"/>
            </w:tblGrid>
            <w:tr>
              <w:tc>
                <w:tcPr>
                  <w:tcW w:type="dxa" w:w="1062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OBJECTION HANDLING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3500"/>
              <w:gridCol w:w="3600"/>
            </w:tblGrid>
            <w:tr>
              <w:tc>
                <w:tcPr>
                  <w:tcW w:type="dxa" w:w="3500"/>
                  <w:tcBorders>
                    <w:top w:val="nil"/>
                    <w:left w:val="nil"/>
                    <w:bottom w:val="nil"/>
                    <w:right w:val="single" w:color="EAEAEA" w:sz="4"/>
                  </w:tcBorders>
                </w:tcPr>
                <w:p>
                  <w:pPr>
                    <w:spacing w:before="60" w:after="30"/>
                  </w:pPr>
                  <w:r>
                    <w:rPr>
                      <w:b/>
                      <w:bCs/>
                      <w:color w:val="F59E0B"/>
                      <w:sz w:val="15"/>
                      <w:szCs w:val="15"/>
                    </w:rPr>
                    <w:t xml:space="preserve">IF THEY SAY:</w:t>
                  </w:r>
                </w:p>
                <w:p>
                  <w:pPr>
                    <w:spacing w:before="0" w:after="40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"We evaluated CDM and moved on"</w:t>
                  </w:r>
                </w:p>
                <w:p>
                  <w:pPr>
                    <w:spacing w:before="20" w:after="30"/>
                  </w:pPr>
                  <w:r>
                    <w:rPr>
                      <w:b/>
                      <w:bCs/>
                      <w:color w:val="2E7D32"/>
                      <w:sz w:val="15"/>
                      <w:szCs w:val="15"/>
                    </w:rPr>
                    <w:t xml:space="preserve">YOU SAY:</w:t>
                  </w:r>
                </w:p>
                <w:p>
                  <w:pPr>
                    <w:spacing w:before="0" w:after="40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"That was pre-DRR production. JPMorgan deployed for CFTC — ROI case fundamentally changed since 2021."</w:t>
                  </w:r>
                </w:p>
              </w:tc>
              <w:tc>
                <w:tcPr>
                  <w:tcW w:type="dxa" w:w="3500"/>
                  <w:tcBorders>
                    <w:top w:val="nil"/>
                    <w:left w:val="nil"/>
                    <w:bottom w:val="nil"/>
                    <w:right w:val="single" w:color="EAEAEA" w:sz="4"/>
                  </w:tcBorders>
                </w:tcPr>
                <w:p>
                  <w:pPr>
                    <w:spacing w:before="60" w:after="30"/>
                  </w:pPr>
                  <w:r>
                    <w:rPr>
                      <w:b/>
                      <w:bCs/>
                      <w:color w:val="F59E0B"/>
                      <w:sz w:val="15"/>
                      <w:szCs w:val="15"/>
                    </w:rPr>
                    <w:t xml:space="preserve">IF THEY SAY:</w:t>
                  </w:r>
                </w:p>
                <w:p>
                  <w:pPr>
                    <w:spacing w:before="0" w:after="40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"We built our own solution"</w:t>
                  </w:r>
                </w:p>
                <w:p>
                  <w:pPr>
                    <w:spacing w:before="20" w:after="30"/>
                  </w:pPr>
                  <w:r>
                    <w:rPr>
                      <w:b/>
                      <w:bCs/>
                      <w:color w:val="2E7D32"/>
                      <w:sz w:val="15"/>
                      <w:szCs w:val="15"/>
                    </w:rPr>
                    <w:t xml:space="preserve">YOU SAY:</w:t>
                  </w:r>
                </w:p>
                <w:p>
                  <w:pPr>
                    <w:spacing w:before="0" w:after="40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"That makes sense for EMIR. How are you planning HK, Canada, CFTC — same approach or open to alternatives?"</w:t>
                  </w:r>
                </w:p>
              </w:tc>
              <w:tc>
                <w:tcPr>
                  <w:tcW w:type="dxa" w:w="3500"/>
                  <w:tcBorders>
                    <w:top w:val="nil"/>
                    <w:left w:val="nil"/>
                    <w:bottom w:val="nil"/>
                    <w:right w:val="single" w:color="EAEAEA" w:sz="4"/>
                  </w:tcBorders>
                </w:tcPr>
                <w:p>
                  <w:pPr>
                    <w:spacing w:before="60" w:after="30"/>
                  </w:pPr>
                  <w:r>
                    <w:rPr>
                      <w:b/>
                      <w:bCs/>
                      <w:color w:val="F59E0B"/>
                      <w:sz w:val="15"/>
                      <w:szCs w:val="15"/>
                    </w:rPr>
                    <w:t xml:space="preserve">IF THEY SAY:</w:t>
                  </w:r>
                </w:p>
                <w:p>
                  <w:pPr>
                    <w:spacing w:before="0" w:after="40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"Not a priority right now"</w:t>
                  </w:r>
                </w:p>
                <w:p>
                  <w:pPr>
                    <w:spacing w:before="20" w:after="30"/>
                  </w:pPr>
                  <w:r>
                    <w:rPr>
                      <w:b/>
                      <w:bCs/>
                      <w:color w:val="2E7D32"/>
                      <w:sz w:val="15"/>
                      <w:szCs w:val="15"/>
                    </w:rPr>
                    <w:t xml:space="preserve">YOU SAY:</w:t>
                  </w:r>
                </w:p>
                <w:p>
                  <w:pPr>
                    <w:spacing w:before="0" w:after="40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"Understood. Once HK/Canada is behind you, can we reconnect on CFTC planning in Q1?"</w:t>
                  </w:r>
                </w:p>
              </w:tc>
            </w:tr>
          </w:tbl>
          <w:p/>
        </w:tc>
      </w:tr>
    </w:tbl>
    <w:p>
      <w:pPr>
        <w:spacing w:before="9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5350"/>
      </w:tblGrid>
      <w:tr>
        <w:tc>
          <w:tcPr>
            <w:tcW w:type="dxa" w:w="535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70"/>
            </w:tblGrid>
            <w:tr>
              <w:tc>
                <w:tcPr>
                  <w:tcW w:type="dxa" w:w="527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COST OF INACTION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90"/>
            </w:tblGrid>
            <w:tr>
              <w:tc>
                <w:tcPr>
                  <w:tcW w:type="dxa" w:w="5190"/>
                  <w:tcBorders>
                    <w:top w:val="nil"/>
                    <w:left w:val="nil"/>
                    <w:bottom w:val="nil"/>
                    <w:right w:val="nil"/>
                  </w:tcBorders>
                  <w:shd w:fill="FEE2E2" w:val="clear"/>
                </w:tcPr>
                <w:p>
                  <w:pPr>
                    <w:spacing w:before="50" w:after="20"/>
                    <w:jc w:val="center"/>
                  </w:pPr>
                  <w:r>
                    <w:rPr>
                      <w:b/>
                      <w:bCs/>
                      <w:color w:val="0C2340"/>
                      <w:sz w:val="20"/>
                      <w:szCs w:val="20"/>
                    </w:rPr>
                    <w:t xml:space="preserve">5-YEAR COST: €75-150M</w:t>
                  </w:r>
                </w:p>
                <w:p>
                  <w:pPr>
                    <w:spacing w:before="0" w:after="50"/>
                    <w:jc w:val="center"/>
                  </w:pPr>
                  <w:r>
                    <w:rPr>
                      <w:color w:val="555555"/>
                      <w:sz w:val="14"/>
                      <w:szCs w:val="14"/>
                    </w:rPr>
                    <w:t xml:space="preserve">(Reconciliation + 3 jurisdiction implementations)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Annual Exposure (G-SIB benchmarks):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2000"/>
            </w:tblGrid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Reg reporting reconciliation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  <w:jc w:val="right"/>
                  </w:pPr>
                  <w:r>
                    <w:rPr>
                      <w:b/>
                      <w:bCs/>
                      <w:color w:val="333333"/>
                      <w:sz w:val="15"/>
                      <w:szCs w:val="15"/>
                    </w:rPr>
                    <w:t xml:space="preserve">€15-25M/year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Per-jurisdiction implementation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</w:tcPr>
                <w:p>
                  <w:pPr>
                    <w:spacing w:before="35" w:after="35"/>
                    <w:jc w:val="right"/>
                  </w:pPr>
                  <w:r>
                    <w:rPr>
                      <w:b/>
                      <w:bCs/>
                      <w:color w:val="333333"/>
                      <w:sz w:val="15"/>
                      <w:szCs w:val="15"/>
                    </w:rPr>
                    <w:t xml:space="preserve">€3-8M each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CFDF5" w:val="clear"/>
                </w:tcPr>
                <w:p>
                  <w:pPr>
                    <w:spacing w:before="35" w:after="35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Est. cost per reportable trade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CFDF5" w:val="clear"/>
                </w:tcPr>
                <w:p>
                  <w:pPr>
                    <w:spacing w:before="35" w:after="35"/>
                    <w:jc w:val="right"/>
                  </w:pPr>
                  <w:r>
                    <w:rPr>
                      <w:b/>
                      <w:bCs/>
                      <w:color w:val="2E7D32"/>
                      <w:sz w:val="15"/>
                      <w:szCs w:val="15"/>
                    </w:rPr>
                    <w:t xml:space="preserve">€0.15-0.40</w:t>
                  </w:r>
                </w:p>
              </w:tc>
            </w:tr>
            <w:tr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CFDF5" w:val="clear"/>
                </w:tcPr>
                <w:p>
                  <w:pPr>
                    <w:spacing w:before="35" w:after="35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Redeployable to other priorities</w:t>
                  </w:r>
                </w:p>
              </w:tc>
              <w:tc>
                <w:tcPr>
                  <w:tcBorders>
                    <w:top w:val="nil"/>
                    <w:left w:val="nil"/>
                    <w:bottom w:val="single" w:color="EAEAEA" w:sz="4"/>
                    <w:right w:val="nil"/>
                  </w:tcBorders>
                  <w:shd w:fill="ECFDF5" w:val="clear"/>
                </w:tcPr>
                <w:p>
                  <w:pPr>
                    <w:spacing w:before="35" w:after="35"/>
                    <w:jc w:val="right"/>
                  </w:pPr>
                  <w:r>
                    <w:rPr>
                      <w:b/>
                      <w:bCs/>
                      <w:color w:val="2E7D32"/>
                      <w:sz w:val="15"/>
                      <w:szCs w:val="15"/>
                    </w:rPr>
                    <w:t xml:space="preserve">30-40% (~€5-10M)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b/>
                <w:bCs/>
                <w:color w:val="0C2340"/>
                <w:sz w:val="15"/>
                <w:szCs w:val="15"/>
              </w:rPr>
              <w:t xml:space="preserve">BENCHMARK: </w:t>
            </w:r>
            <w:r>
              <w:rPr>
                <w:color w:val="333333"/>
                <w:sz w:val="15"/>
                <w:szCs w:val="15"/>
              </w:rPr>
              <w:t xml:space="preserve">BNP reported 35% reduction in reconciliation effort after 2022 CDM/DRR pilot.</w:t>
            </w:r>
          </w:p>
        </w:tc>
        <w:tc>
          <w:tcPr>
            <w:tcW w:type="dxa" w:w="5350"/>
            <w:tcBorders>
              <w:top w:val="single" w:color="EAEAEA" w:sz="4"/>
              <w:left w:val="nil"/>
              <w:bottom w:val="single" w:color="EAEAEA" w:sz="4"/>
              <w:right w:val="single" w:color="EAEAEA" w:sz="4"/>
            </w:tcBorders>
            <w:shd w:fill="FEE2E2" w:val="clear"/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70"/>
            </w:tblGrid>
            <w:tr>
              <w:tc>
                <w:tcPr>
                  <w:tcW w:type="dxa" w:w="527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DON'T SAY — LANDMINES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before="70" w:after="20"/>
            </w:pPr>
            <w:r>
              <w:rPr>
                <w:b/>
                <w:bCs/>
                <w:color w:val="333333"/>
                <w:sz w:val="15"/>
                <w:szCs w:val="15"/>
              </w:rPr>
              <w:t xml:space="preserve">"You abandoned CDM"</w:t>
            </w:r>
          </w:p>
          <w:p>
            <w:pPr>
              <w:spacing w:before="0" w:after="50"/>
              <w:ind w:left="360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→ SAY INSTEAD: </w:t>
            </w:r>
            <w:r>
              <w:rPr>
                <w:i/>
                <w:iCs/>
                <w:color w:val="333333"/>
                <w:sz w:val="14"/>
                <w:szCs w:val="14"/>
              </w:rPr>
              <w:t xml:space="preserve">"You've been focused on other priorities..."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b/>
                <w:bCs/>
                <w:color w:val="333333"/>
                <w:sz w:val="15"/>
                <w:szCs w:val="15"/>
              </w:rPr>
              <w:t xml:space="preserve">"Green leads CDM"</w:t>
            </w:r>
            <w:r>
              <w:rPr>
                <w:i/>
                <w:iCs/>
                <w:color w:val="555555"/>
                <w:sz w:val="14"/>
                <w:szCs w:val="14"/>
              </w:rPr>
              <w:t xml:space="preserve"> — he's cloud-focused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b/>
                <w:bCs/>
                <w:color w:val="333333"/>
                <w:sz w:val="15"/>
                <w:szCs w:val="15"/>
              </w:rPr>
              <w:t xml:space="preserve">"Legend pilot failed"</w:t>
            </w:r>
            <w:r>
              <w:rPr>
                <w:i/>
                <w:iCs/>
                <w:color w:val="555555"/>
                <w:sz w:val="14"/>
                <w:szCs w:val="14"/>
              </w:rPr>
              <w:t xml:space="preserve"> — it succeeded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50"/>
            </w:pPr>
            <w:r>
              <w:rPr>
                <w:b/>
                <w:bCs/>
                <w:color w:val="333333"/>
                <w:sz w:val="15"/>
                <w:szCs w:val="15"/>
              </w:rPr>
              <w:t xml:space="preserve">Assume their vendor</w:t>
            </w:r>
            <w:r>
              <w:rPr>
                <w:i/>
                <w:iCs/>
                <w:color w:val="555555"/>
                <w:sz w:val="14"/>
                <w:szCs w:val="14"/>
              </w:rPr>
              <w:t xml:space="preserve"> — unknown; let them tell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20"/>
            </w:pPr>
            <w:r>
              <w:rPr>
                <w:b/>
                <w:bCs/>
                <w:color w:val="333333"/>
                <w:sz w:val="15"/>
                <w:szCs w:val="15"/>
              </w:rPr>
              <w:t xml:space="preserve">"You're behind"</w:t>
            </w:r>
          </w:p>
          <w:p>
            <w:pPr>
              <w:spacing w:before="0" w:after="50"/>
              <w:ind w:left="360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→ SAY INSTEAD: </w:t>
            </w:r>
            <w:r>
              <w:rPr>
                <w:i/>
                <w:iCs/>
                <w:color w:val="333333"/>
                <w:sz w:val="14"/>
                <w:szCs w:val="14"/>
              </w:rPr>
              <w:t xml:space="preserve">"How are you thinking about your position?"</w:t>
            </w:r>
          </w:p>
        </w:tc>
      </w:tr>
    </w:tbl>
    <w:p>
      <w:pPr>
        <w:spacing w:before="9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0"/>
      </w:tblGrid>
      <w:tr>
        <w:tc>
          <w:tcPr>
            <w:tcW w:type="dxa" w:w="10700"/>
            <w:tcBorders>
              <w:top w:val="single" w:color="0C2340" w:sz="12"/>
              <w:left w:val="single" w:color="0C2340" w:sz="12"/>
              <w:bottom w:val="single" w:color="0C2340" w:sz="12"/>
              <w:right w:val="single" w:color="0C2340" w:sz="12"/>
            </w:tcBorders>
            <w:shd w:fill="ECFDF5" w:val="clear"/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620"/>
            </w:tblGrid>
            <w:tr>
              <w:tc>
                <w:tcPr>
                  <w:tcW w:type="dxa" w:w="10620"/>
                  <w:tcBorders>
                    <w:top w:val="nil"/>
                    <w:left w:val="nil"/>
                    <w:bottom w:val="nil"/>
                    <w:right w:val="nil"/>
                  </w:tcBorders>
                  <w:shd w:fill="0C2340" w:val="clea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Work Sans" w:cs="Work Sans" w:eastAsia="Work Sans" w:hAnsi="Work Sans"/>
                      <w:b/>
                      <w:bCs/>
                      <w:color w:val="FFFFFF"/>
                      <w:sz w:val="20"/>
                      <w:szCs w:val="20"/>
                    </w:rPr>
                    <w:t xml:space="preserve">RECOMMENDED NEXT ACTIONS</w:t>
                  </w:r>
                </w:p>
              </w:tc>
            </w:tr>
          </w:tbl>
          <w:p>
            <w:pPr>
              <w:spacing w:before="50" w:after="40"/>
            </w:pPr>
            <w:r>
              <w:rPr>
                <w:b/>
                <w:bCs/>
                <w:color w:val="0C2340"/>
                <w:sz w:val="17"/>
                <w:szCs w:val="17"/>
              </w:rPr>
              <w:t xml:space="preserve">⏰ OUTREACH DEADLINE: </w:t>
            </w:r>
            <w:r>
              <w:rPr>
                <w:b/>
                <w:bCs/>
                <w:color w:val="333333"/>
                <w:sz w:val="17"/>
                <w:szCs w:val="17"/>
              </w:rPr>
              <w:t xml:space="preserve">December 30, 2025</w:t>
            </w:r>
            <w:r>
              <w:rPr>
                <w:color w:val="555555"/>
                <w:sz w:val="15"/>
                <w:szCs w:val="15"/>
              </w:rPr>
              <w:t xml:space="preserve">  (HK/Canada deadline days away — catch them in solution mode or pivot to CFTC)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0"/>
              <w:gridCol w:w="5300"/>
            </w:tblGrid>
            <w:tr>
              <w:tc>
                <w:tcPr>
                  <w:tcW w:type="dxa" w:w="5300"/>
                  <w:tcBorders>
                    <w:top w:val="nil"/>
                    <w:left w:val="nil"/>
                    <w:bottom w:val="nil"/>
                    <w:right w:val="single" w:color="EAEAEA" w:sz="4"/>
                  </w:tcBorders>
                  <w:shd w:fill="ECFDF5" w:val="clear"/>
                </w:tcPr>
                <w:p>
                  <w:pPr>
                    <w:spacing w:before="30" w:after="20"/>
                  </w:pPr>
                  <w:r>
                    <w:rPr>
                      <w:b/>
                      <w:bCs/>
                      <w:color w:val="0C2340"/>
                      <w:sz w:val="16"/>
                      <w:szCs w:val="16"/>
                    </w:rPr>
                    <w:t xml:space="preserve">PRIMARY ASK</w:t>
                  </w:r>
                </w:p>
                <w:p>
                  <w:pPr>
                    <w:spacing w:before="0" w:after="30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30-min discovery call with </w:t>
                  </w:r>
                  <w:r>
                    <w:rPr>
                      <w:b/>
                      <w:bCs/>
                      <w:color w:val="333333"/>
                      <w:sz w:val="15"/>
                      <w:szCs w:val="15"/>
                    </w:rPr>
                    <w:t xml:space="preserve">Regulatory Reporting</w:t>
                  </w:r>
                  <w:r>
                    <w:rPr>
                      <w:color w:val="333333"/>
                      <w:sz w:val="15"/>
                      <w:szCs w:val="15"/>
                    </w:rPr>
                    <w:t xml:space="preserve"> to understand HK/Canada approach and 2026 roadmap.</w:t>
                  </w:r>
                </w:p>
              </w:tc>
              <w:tc>
                <w:tcPr>
                  <w:tcW w:type="dxa" w:w="5300"/>
                  <w:tcBorders>
                    <w:top w:val="nil"/>
                    <w:left w:val="nil"/>
                    <w:bottom w:val="nil"/>
                    <w:right w:val="nil"/>
                  </w:tcBorders>
                  <w:shd w:fill="ECFDF5" w:val="clear"/>
                </w:tcPr>
                <w:p>
                  <w:pPr>
                    <w:spacing w:before="30" w:after="20"/>
                  </w:pPr>
                  <w:r>
                    <w:rPr>
                      <w:b/>
                      <w:bCs/>
                      <w:color w:val="0C2340"/>
                      <w:sz w:val="16"/>
                      <w:szCs w:val="16"/>
                    </w:rPr>
                    <w:t xml:space="preserve">FALLBACK</w:t>
                  </w:r>
                </w:p>
                <w:p>
                  <w:pPr>
                    <w:spacing w:before="0" w:after="30"/>
                  </w:pPr>
                  <w:r>
                    <w:rPr>
                      <w:color w:val="333333"/>
                      <w:sz w:val="15"/>
                      <w:szCs w:val="15"/>
                    </w:rPr>
                    <w:t xml:space="preserve">If Architecture entry, frame as "CDM/DRR as part of your cloud-native reporting strategy."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0"/>
              <w:gridCol w:w="5300"/>
            </w:tblGrid>
            <w:tr>
              <w:tc>
                <w:tcPr>
                  <w:tcW w:type="dxa" w:w="5300"/>
                  <w:tcBorders>
                    <w:top w:val="nil"/>
                    <w:left w:val="nil"/>
                    <w:bottom w:val="nil"/>
                    <w:right w:val="single" w:color="EAEAEA" w:sz="4"/>
                  </w:tcBorders>
                  <w:shd w:fill="ECFDF5" w:val="clear"/>
                </w:tcPr>
                <w:p>
                  <w:pPr>
                    <w:spacing w:before="30" w:after="15"/>
                  </w:pPr>
                  <w:r>
                    <w:rPr>
                      <w:b/>
                      <w:bCs/>
                      <w:color w:val="0C2340"/>
                      <w:sz w:val="15"/>
                      <w:szCs w:val="15"/>
                    </w:rPr>
                    <w:t xml:space="preserve">30-MIN CALL AGENDA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555555"/>
                      <w:sz w:val="14"/>
                      <w:szCs w:val="14"/>
                    </w:rPr>
                    <w:t xml:space="preserve">[5 min]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Their EMIR Refit approach (build/buy/vendor?)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555555"/>
                      <w:sz w:val="14"/>
                      <w:szCs w:val="14"/>
                    </w:rPr>
                    <w:t xml:space="preserve">[10 min]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2026 roadmap — CFTC, future jurisdictions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555555"/>
                      <w:sz w:val="14"/>
                      <w:szCs w:val="14"/>
                    </w:rPr>
                    <w:t xml:space="preserve">[10 min]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Pain points in current process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555555"/>
                      <w:sz w:val="14"/>
                      <w:szCs w:val="14"/>
                    </w:rPr>
                    <w:t xml:space="preserve">[5 min]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Next steps and follow-up</w:t>
                  </w:r>
                </w:p>
              </w:tc>
              <w:tc>
                <w:tcPr>
                  <w:tcW w:type="dxa" w:w="5300"/>
                  <w:tcBorders>
                    <w:top w:val="nil"/>
                    <w:left w:val="nil"/>
                    <w:bottom w:val="nil"/>
                    <w:right w:val="nil"/>
                  </w:tcBorders>
                  <w:shd w:fill="ECFDF5" w:val="clear"/>
                </w:tcPr>
                <w:p>
                  <w:pPr>
                    <w:spacing w:before="30" w:after="15"/>
                  </w:pPr>
                  <w:r>
                    <w:rPr>
                      <w:b/>
                      <w:bCs/>
                      <w:color w:val="0C2340"/>
                      <w:sz w:val="15"/>
                      <w:szCs w:val="15"/>
                    </w:rPr>
                    <w:t xml:space="preserve">SUCCESS INDICATORS</w:t>
                  </w:r>
                </w:p>
                <w:p>
                  <w:pPr>
                    <w:spacing w:before="0" w:after="8"/>
                  </w:pPr>
                  <w:r>
                    <w:rPr>
                      <w:color w:val="2E7D32"/>
                      <w:sz w:val="14"/>
                      <w:szCs w:val="14"/>
                    </w:rPr>
                    <w:t xml:space="preserve">✓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Share vendor details → </w:t>
                  </w:r>
                  <w:r>
                    <w:rPr>
                      <w:b/>
                      <w:bCs/>
                      <w:color w:val="2E7D32"/>
                      <w:sz w:val="14"/>
                      <w:szCs w:val="14"/>
                    </w:rPr>
                    <w:t xml:space="preserve">High engagement</w:t>
                  </w:r>
                </w:p>
                <w:p>
                  <w:pPr>
                    <w:spacing w:before="0" w:after="8"/>
                  </w:pPr>
                  <w:r>
                    <w:rPr>
                      <w:color w:val="2E7D32"/>
                      <w:sz w:val="14"/>
                      <w:szCs w:val="14"/>
                    </w:rPr>
                    <w:t xml:space="preserve">✓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Offer introduction → </w:t>
                  </w:r>
                  <w:r>
                    <w:rPr>
                      <w:b/>
                      <w:bCs/>
                      <w:color w:val="2E7D32"/>
                      <w:sz w:val="14"/>
                      <w:szCs w:val="14"/>
                    </w:rPr>
                    <w:t xml:space="preserve">Strong interest</w:t>
                  </w:r>
                </w:p>
                <w:p>
                  <w:pPr>
                    <w:spacing w:before="0" w:after="8"/>
                  </w:pPr>
                  <w:r>
                    <w:rPr>
                      <w:color w:val="2E7D32"/>
                      <w:sz w:val="14"/>
                      <w:szCs w:val="14"/>
                    </w:rPr>
                    <w:t xml:space="preserve">✓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Ask pricing/timeline → </w:t>
                  </w:r>
                  <w:r>
                    <w:rPr>
                      <w:b/>
                      <w:bCs/>
                      <w:color w:val="2E7D32"/>
                      <w:sz w:val="14"/>
                      <w:szCs w:val="14"/>
                    </w:rPr>
                    <w:t xml:space="preserve">Active evaluation</w:t>
                  </w:r>
                </w:p>
                <w:p>
                  <w:pPr>
                    <w:spacing w:before="0" w:after="8"/>
                  </w:pPr>
                  <w:r>
                    <w:rPr>
                      <w:color w:val="DC2626"/>
                      <w:sz w:val="14"/>
                      <w:szCs w:val="14"/>
                    </w:rPr>
                    <w:t xml:space="preserve">✗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"Send materials" (no date) → </w:t>
                  </w:r>
                  <w:r>
                    <w:rPr>
                      <w:b/>
                      <w:bCs/>
                      <w:color w:val="DC2626"/>
                      <w:sz w:val="14"/>
                      <w:szCs w:val="14"/>
                    </w:rPr>
                    <w:t xml:space="preserve">Polite deflection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0"/>
              <w:gridCol w:w="5300"/>
            </w:tblGrid>
            <w:tr>
              <w:tc>
                <w:tcPr>
                  <w:tcW w:type="dxa" w:w="5300"/>
                  <w:tcBorders>
                    <w:top w:val="nil"/>
                    <w:left w:val="nil"/>
                    <w:bottom w:val="nil"/>
                    <w:right w:val="single" w:color="EAEAEA" w:sz="4"/>
                  </w:tcBorders>
                  <w:shd w:fill="ECFDF5" w:val="clear"/>
                </w:tcPr>
                <w:p>
                  <w:pPr>
                    <w:spacing w:before="20" w:after="15"/>
                  </w:pPr>
                  <w:r>
                    <w:rPr>
                      <w:b/>
                      <w:bCs/>
                      <w:color w:val="0C2340"/>
                      <w:sz w:val="15"/>
                      <w:szCs w:val="15"/>
                    </w:rPr>
                    <w:t xml:space="preserve">FOLLOW-UP CADENCE </w:t>
                  </w:r>
                  <w:r>
                    <w:rPr>
                      <w:color w:val="555555"/>
                      <w:sz w:val="14"/>
                      <w:szCs w:val="14"/>
                    </w:rPr>
                    <w:t xml:space="preserve">(if no response)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333333"/>
                      <w:sz w:val="14"/>
                      <w:szCs w:val="14"/>
                    </w:rPr>
                    <w:t xml:space="preserve">Day 3  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Brief bump email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333333"/>
                      <w:sz w:val="14"/>
                      <w:szCs w:val="14"/>
                    </w:rPr>
                    <w:t xml:space="preserve">Day 7  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Add value (share relevant article)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333333"/>
                      <w:sz w:val="14"/>
                      <w:szCs w:val="14"/>
                    </w:rPr>
                    <w:t xml:space="preserve">Day 14  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Final attempt, offer alternative contact</w:t>
                  </w:r>
                </w:p>
              </w:tc>
              <w:tc>
                <w:tcPr>
                  <w:tcW w:type="dxa" w:w="5300"/>
                  <w:tcBorders>
                    <w:top w:val="nil"/>
                    <w:left w:val="nil"/>
                    <w:bottom w:val="nil"/>
                    <w:right w:val="nil"/>
                  </w:tcBorders>
                  <w:shd w:fill="ECFDF5" w:val="clear"/>
                </w:tcPr>
                <w:p>
                  <w:pPr>
                    <w:spacing w:before="20" w:after="15"/>
                  </w:pPr>
                  <w:r>
                    <w:rPr>
                      <w:b/>
                      <w:bCs/>
                      <w:color w:val="0C2340"/>
                      <w:sz w:val="15"/>
                      <w:szCs w:val="15"/>
                    </w:rPr>
                    <w:t xml:space="preserve">KEY DISCOVERY QUESTIONS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0C2340"/>
                      <w:sz w:val="14"/>
                      <w:szCs w:val="14"/>
                    </w:rPr>
                    <w:t xml:space="preserve">1.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How did you handle HK/Canada?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0C2340"/>
                      <w:sz w:val="14"/>
                      <w:szCs w:val="14"/>
                    </w:rPr>
                    <w:t xml:space="preserve">2.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What's your 2026 reg reporting roadmap?</w:t>
                  </w:r>
                </w:p>
                <w:p>
                  <w:pPr>
                    <w:spacing w:before="0" w:after="8"/>
                  </w:pPr>
                  <w:r>
                    <w:rPr>
                      <w:b/>
                      <w:bCs/>
                      <w:color w:val="0C2340"/>
                      <w:sz w:val="14"/>
                      <w:szCs w:val="14"/>
                    </w:rPr>
                    <w:t xml:space="preserve">3.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Who owns reporting technology decisions?</w:t>
                  </w:r>
                </w:p>
              </w:tc>
            </w:tr>
          </w:tbl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600"/>
            </w:tblGrid>
            <w:tr>
              <w:tc>
                <w:tcPr>
                  <w:tcW w:type="dxa" w:w="10600"/>
                  <w:tcBorders>
                    <w:top w:val="single" w:color="EAEAEA" w:sz="4"/>
                    <w:left w:val="single" w:color="0C2340" w:sz="24"/>
                    <w:bottom w:val="single" w:color="EAEAEA" w:sz="4"/>
                    <w:right w:val="single" w:color="EAEAEA" w:sz="4"/>
                  </w:tcBorders>
                  <w:shd w:fill="F5F5F5" w:val="clear"/>
                </w:tcPr>
                <w:p>
                  <w:pPr>
                    <w:spacing w:before="40" w:after="20"/>
                  </w:pPr>
                  <w:r>
                    <w:rPr>
                      <w:b/>
                      <w:bCs/>
                      <w:color w:val="0C2340"/>
                      <w:sz w:val="15"/>
                      <w:szCs w:val="15"/>
                    </w:rPr>
                    <w:t xml:space="preserve">📧 EMAIL TEMPLATE </w:t>
                  </w:r>
                  <w:r>
                    <w:rPr>
                      <w:color w:val="555555"/>
                      <w:sz w:val="14"/>
                      <w:szCs w:val="14"/>
                    </w:rPr>
                    <w:t xml:space="preserve">(copy/paste ready)</w:t>
                  </w:r>
                </w:p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333333"/>
                      <w:sz w:val="14"/>
                      <w:szCs w:val="14"/>
                    </w:rPr>
                    <w:t xml:space="preserve">Subject: </w:t>
                  </w:r>
                  <w:r>
                    <w:rPr>
                      <w:color w:val="333333"/>
                      <w:sz w:val="14"/>
                      <w:szCs w:val="14"/>
                    </w:rPr>
                    <w:t xml:space="preserve">CDM/DRR — Building on Deutsche Bank's Legend Foundation</w:t>
                  </w:r>
                </w:p>
                <w:p>
                  <w:pPr>
                    <w:spacing w:before="0" w:after="40"/>
                  </w:pPr>
                  <w:r>
                    <w:rPr>
                      <w:color w:val="333333"/>
                      <w:sz w:val="14"/>
                      <w:szCs w:val="14"/>
                    </w:rPr>
                    <w:t xml:space="preserve">[Name], Your team's work on the FINOS Legend pilot shaped CDM's FX Options model — it's still in production today. With HK/Canada deadlines upon us and CFTC changes ahead, I'd welcome 30 minutes to discuss how that foundation could inform your 2026 roadmap. Would [date] work? [Signature]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0"/>
      </w:tblGrid>
      <w:tr>
        <w:tc>
          <w:tcPr>
            <w:tcW w:type="dxa" w:w="10700"/>
            <w:tcBorders>
              <w:top w:val="single" w:color="EAEAEA" w:sz="4"/>
              <w:left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15"/>
                <w:szCs w:val="15"/>
              </w:rPr>
              <w:t xml:space="preserve">CONFIDENCE NOTES: </w:t>
            </w:r>
            <w:r>
              <w:rPr>
                <w:color w:val="555555"/>
                <w:sz w:val="15"/>
                <w:szCs w:val="15"/>
              </w:rPr>
              <w:t xml:space="preserve">Classification based on public signals only. Internal CDM usage cannot be ruled out. Adjacent FINOS activity (CCC, Waltz) confirms organizational capability — CDM silence is informative.  </w:t>
            </w:r>
            <w:r>
              <w:rPr>
                <w:b/>
                <w:bCs/>
                <w:color w:val="555555"/>
                <w:sz w:val="15"/>
                <w:szCs w:val="15"/>
              </w:rPr>
              <w:t xml:space="preserve">Next review: Q1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580" w:right="580" w:bottom="5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Work Sans" w:cs="Work Sans" w:eastAsia="Work Sans" w:hAnsi="Work Sans"/>
        <w:color w:val="777777"/>
        <w:sz w:val="15"/>
        <w:szCs w:val="15"/>
      </w:rPr>
      <w:t xml:space="preserve">CONFIDENTIAL — For Internal Use Only  |  Page </w:t>
    </w:r>
    <w:r>
      <w:rPr>
        <w:rFonts w:ascii="Work Sans" w:cs="Work Sans" w:eastAsia="Work Sans" w:hAnsi="Work Sans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Work Sans" w:cs="Work Sans" w:eastAsia="Work Sans" w:hAnsi="Work Sans"/>
        <w:color w:val="777777"/>
        <w:sz w:val="15"/>
        <w:szCs w:val="15"/>
      </w:rPr>
      <w:t xml:space="preserve"> of </w:t>
    </w:r>
    <w:r>
      <w:rPr>
        <w:rFonts w:ascii="Work Sans" w:cs="Work Sans" w:eastAsia="Work Sans" w:hAnsi="Work Sans"/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Work Sans" w:cs="Work Sans" w:eastAsia="Work Sans" w:hAnsi="Work Sans"/>
        <w:i/>
        <w:iCs/>
        <w:color w:val="777777"/>
        <w:sz w:val="15"/>
        <w:szCs w:val="15"/>
      </w:rPr>
      <w:t xml:space="preserve">CDM/DRR Client Engagement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ork Sans" w:cs="Work Sans" w:eastAsia="Work Sans" w:hAnsi="Work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60"/>
    </w:pPr>
    <w:rPr>
      <w:rFonts w:ascii="Work Sans" w:cs="Work Sans" w:eastAsia="Work Sans" w:hAnsi="Work Sans"/>
      <w:b/>
      <w:bCs/>
      <w:color w:val="0C2340"/>
      <w:sz w:val="56"/>
      <w:szCs w:val="56"/>
    </w:rPr>
  </w:style>
  <w:style w:type="paragraph" w:styleId="Subtitle">
    <w:name w:val="Subtitle"/>
    <w:basedOn w:val="Normal"/>
    <w:pPr>
      <w:spacing w:before="0" w:after="120"/>
    </w:pPr>
    <w:rPr>
      <w:rFonts w:ascii="Work Sans" w:cs="Work Sans" w:eastAsia="Work Sans" w:hAnsi="Work Sans"/>
      <w:color w:val="555555"/>
      <w:sz w:val="24"/>
      <w:szCs w:val="24"/>
    </w:rPr>
  </w:style>
  <w:style w:type="paragraph" w:styleId="BodyText">
    <w:name w:val="Body Text"/>
    <w:basedOn w:val="Normal"/>
    <w:pPr>
      <w:spacing w:before="40" w:after="40" w:line="288"/>
    </w:pPr>
    <w:rPr>
      <w:rFonts w:ascii="Work Sans" w:cs="Work Sans" w:eastAsia="Work Sans" w:hAnsi="Work Sans"/>
      <w:color w:val="333333"/>
      <w:sz w:val="20"/>
      <w:szCs w:val="20"/>
    </w:rPr>
  </w:style>
  <w:style w:type="paragraph" w:styleId="SmallText">
    <w:name w:val="Small Text"/>
    <w:basedOn w:val="Normal"/>
    <w:pPr>
      <w:spacing w:before="40" w:after="40" w:line="288"/>
    </w:pPr>
    <w:rPr>
      <w:rFonts w:ascii="Work Sans" w:cs="Work Sans" w:eastAsia="Work Sans" w:hAnsi="Work Sans"/>
      <w:color w:val="555555"/>
      <w:sz w:val="18"/>
      <w:szCs w:val="18"/>
    </w:rPr>
  </w:style>
  <w:style w:type="paragraph" w:styleId="Caption">
    <w:name w:val="Caption"/>
    <w:basedOn w:val="Normal"/>
    <w:pPr>
      <w:spacing w:before="20" w:after="20"/>
    </w:pPr>
    <w:rPr>
      <w:rFonts w:ascii="Work Sans" w:cs="Work Sans" w:eastAsia="Work Sans" w:hAnsi="Work Sans"/>
      <w:i/>
      <w:iCs/>
      <w:color w:val="777777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2025-12-22T03:36:13.879Z</dcterms:created>
  <dcterms:modified xsi:type="dcterms:W3CDTF">2025-12-22T03:36:13.879Z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