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0C715" w14:textId="52245896" w:rsidR="00997FC0" w:rsidRPr="00082CE7" w:rsidRDefault="00CA0CC9" w:rsidP="00997FC0">
      <w:pPr>
        <w:spacing w:after="120"/>
        <w:jc w:val="center"/>
        <w:rPr>
          <w:rFonts w:ascii="Work Sans" w:hAnsi="Work Sans"/>
          <w:color w:val="032340"/>
          <w:sz w:val="24"/>
          <w:szCs w:val="24"/>
        </w:rPr>
      </w:pPr>
      <w:r>
        <w:rPr>
          <w:rFonts w:ascii="Work Sans" w:hAnsi="Work Sans"/>
          <w:color w:val="032340"/>
          <w:sz w:val="48"/>
          <w:szCs w:val="48"/>
        </w:rPr>
        <w:softHyphen/>
      </w:r>
      <w:r>
        <w:rPr>
          <w:rFonts w:ascii="Work Sans" w:hAnsi="Work Sans"/>
          <w:color w:val="032340"/>
          <w:sz w:val="48"/>
          <w:szCs w:val="48"/>
        </w:rPr>
        <w:softHyphen/>
      </w:r>
      <w:r>
        <w:rPr>
          <w:rFonts w:ascii="Work Sans" w:hAnsi="Work Sans"/>
          <w:color w:val="032340"/>
          <w:sz w:val="48"/>
          <w:szCs w:val="48"/>
        </w:rPr>
        <w:softHyphen/>
      </w:r>
      <w:r>
        <w:rPr>
          <w:rFonts w:ascii="Work Sans" w:hAnsi="Work Sans"/>
          <w:color w:val="032340"/>
          <w:sz w:val="48"/>
          <w:szCs w:val="48"/>
        </w:rPr>
        <w:softHyphen/>
      </w:r>
      <w:r w:rsidR="00997FC0" w:rsidRPr="00082CE7">
        <w:rPr>
          <w:rFonts w:ascii="Work Sans" w:hAnsi="Work Sans"/>
          <w:color w:val="032340"/>
          <w:sz w:val="48"/>
          <w:szCs w:val="48"/>
        </w:rPr>
        <w:t>BIP’s CDM Adoption Strategy Framework</w:t>
      </w:r>
    </w:p>
    <w:p w14:paraId="1EE23976" w14:textId="77777777" w:rsidR="00997FC0" w:rsidRPr="00082CE7" w:rsidRDefault="00997FC0" w:rsidP="00997FC0">
      <w:pPr>
        <w:spacing w:after="400"/>
        <w:jc w:val="center"/>
        <w:rPr>
          <w:rFonts w:ascii="Work Sans" w:hAnsi="Work Sans"/>
        </w:rPr>
      </w:pPr>
      <w:r w:rsidRPr="00082CE7">
        <w:rPr>
          <w:rFonts w:ascii="Work Sans" w:hAnsi="Work Sans"/>
          <w:i/>
          <w:iCs/>
          <w:color w:val="666666"/>
        </w:rPr>
        <w:t>An Executive Handbook for Client Engagement</w:t>
      </w:r>
    </w:p>
    <w:p w14:paraId="67C32C9F" w14:textId="77777777" w:rsidR="00997FC0" w:rsidRPr="00082CE7" w:rsidRDefault="00997FC0" w:rsidP="00997FC0">
      <w:pPr>
        <w:spacing w:before="360" w:after="160"/>
        <w:rPr>
          <w:rFonts w:ascii="Work Sans" w:hAnsi="Work Sans"/>
          <w:color w:val="DA291C"/>
          <w:sz w:val="48"/>
          <w:szCs w:val="48"/>
        </w:rPr>
      </w:pPr>
      <w:r w:rsidRPr="00082CE7">
        <w:rPr>
          <w:rFonts w:ascii="Work Sans" w:hAnsi="Work Sans"/>
          <w:color w:val="DA291C"/>
          <w:sz w:val="48"/>
          <w:szCs w:val="48"/>
        </w:rPr>
        <w:t>Executive Summary</w:t>
      </w:r>
    </w:p>
    <w:p w14:paraId="4593B7E9" w14:textId="4D00B371" w:rsidR="00997FC0" w:rsidRPr="00A674E9" w:rsidRDefault="00997FC0" w:rsidP="008E3EB7">
      <w:pPr>
        <w:spacing w:after="160"/>
        <w:rPr>
          <w:rFonts w:ascii="Work Sans" w:hAnsi="Work Sans"/>
        </w:rPr>
      </w:pPr>
      <w:r w:rsidRPr="00A674E9">
        <w:rPr>
          <w:rFonts w:ascii="Work Sans" w:hAnsi="Work Sans"/>
        </w:rPr>
        <w:t>JPMorgan went live with CDM in October 2024. No other major US bank has followed. This isn't hesitation—it's strategic divergence. Each institution is making a calculated bet about timing, architecture, and risk based on how much derivatives matter to their business</w:t>
      </w:r>
      <w:r w:rsidR="00CA10B1">
        <w:rPr>
          <w:rFonts w:ascii="Work Sans" w:hAnsi="Work Sans"/>
        </w:rPr>
        <w:t xml:space="preserve">, </w:t>
      </w:r>
      <w:r w:rsidR="00617C73">
        <w:rPr>
          <w:rFonts w:ascii="Work Sans" w:hAnsi="Work Sans"/>
        </w:rPr>
        <w:t>and where the focus of recent regulatory action has been</w:t>
      </w:r>
      <w:r w:rsidRPr="00A674E9">
        <w:rPr>
          <w:rFonts w:ascii="Work Sans" w:hAnsi="Work Sans"/>
        </w:rPr>
        <w:t>. Every institution must engage with CDM. The questions are how deeply, how soon, and what it costs to get wrong.</w:t>
      </w:r>
    </w:p>
    <w:p w14:paraId="4F0351EA" w14:textId="77777777" w:rsidR="00997FC0" w:rsidRPr="00A674E9" w:rsidRDefault="00997FC0" w:rsidP="008E3EB7">
      <w:pPr>
        <w:spacing w:after="160"/>
        <w:rPr>
          <w:rFonts w:ascii="Work Sans" w:hAnsi="Work Sans"/>
        </w:rPr>
      </w:pPr>
      <w:r w:rsidRPr="00A674E9">
        <w:rPr>
          <w:rFonts w:ascii="Work Sans" w:hAnsi="Work Sans"/>
        </w:rPr>
        <w:t>This framework categorizes banks into five strategic archetypes, maps where major institutions sit, identifies the forces shaping adoption timelines, and defines triggers for reassessment.</w:t>
      </w:r>
    </w:p>
    <w:p w14:paraId="4D6A69E7" w14:textId="7AE1E287" w:rsidR="00997FC0" w:rsidRDefault="00997FC0" w:rsidP="008E3EB7">
      <w:pPr>
        <w:spacing w:after="160"/>
        <w:rPr>
          <w:rFonts w:ascii="Work Sans" w:hAnsi="Work Sans"/>
        </w:rPr>
      </w:pPr>
      <w:r w:rsidRPr="00A674E9">
        <w:rPr>
          <w:rFonts w:ascii="Work Sans" w:hAnsi="Work Sans"/>
        </w:rPr>
        <w:t>The analytical frame: CDM adoption is a business model decision, not a technology preference. Banks that align their archetype to their reality will navigate this transition efficiently. Over-investment strands capital; under-investment creates catch-up premiums that compound quarterly.</w:t>
      </w:r>
    </w:p>
    <w:p w14:paraId="066DB257" w14:textId="31D079C8" w:rsidR="00997FC0" w:rsidRPr="00082CE7" w:rsidRDefault="00997FC0" w:rsidP="00997FC0">
      <w:pPr>
        <w:spacing w:before="360" w:after="160"/>
        <w:rPr>
          <w:rFonts w:ascii="Work Sans" w:hAnsi="Work Sans"/>
          <w:color w:val="DA291C"/>
        </w:rPr>
      </w:pPr>
      <w:r w:rsidRPr="00082CE7">
        <w:rPr>
          <w:rFonts w:ascii="Work Sans" w:hAnsi="Work Sans"/>
          <w:color w:val="DA291C"/>
          <w:sz w:val="28"/>
          <w:szCs w:val="28"/>
        </w:rPr>
        <w:t>What Believe</w:t>
      </w:r>
    </w:p>
    <w:p w14:paraId="395F6AE7" w14:textId="77777777" w:rsidR="00997FC0" w:rsidRPr="00A674E9" w:rsidRDefault="00997FC0" w:rsidP="008E3EB7">
      <w:pPr>
        <w:spacing w:after="120"/>
        <w:rPr>
          <w:rFonts w:ascii="Work Sans" w:hAnsi="Work Sans"/>
        </w:rPr>
      </w:pPr>
      <w:r w:rsidRPr="00A674E9">
        <w:rPr>
          <w:rFonts w:ascii="Work Sans" w:hAnsi="Work Sans"/>
        </w:rPr>
        <w:t>Three convictions underpin this framework:</w:t>
      </w:r>
    </w:p>
    <w:p w14:paraId="1C94FBB5" w14:textId="1D08D3D0" w:rsidR="00997FC0" w:rsidRPr="00A674E9" w:rsidRDefault="00997FC0" w:rsidP="008E3EB7">
      <w:pPr>
        <w:spacing w:after="120"/>
        <w:rPr>
          <w:rFonts w:ascii="Work Sans" w:hAnsi="Work Sans"/>
        </w:rPr>
      </w:pPr>
      <w:r w:rsidRPr="00A674E9">
        <w:rPr>
          <w:rFonts w:ascii="Work Sans" w:hAnsi="Work Sans"/>
          <w:b/>
          <w:bCs/>
        </w:rPr>
        <w:t>First</w:t>
      </w:r>
      <w:r w:rsidRPr="00A674E9">
        <w:rPr>
          <w:rFonts w:ascii="Work Sans" w:hAnsi="Work Sans"/>
        </w:rPr>
        <w:t>, CDM adoption will follow a predictable S-curve. Slow through 2026 as standards mature and utilities prove out, then rapid acceleration as network effects compound. The window for shaping the standard</w:t>
      </w:r>
      <w:r w:rsidR="00676A81">
        <w:rPr>
          <w:rFonts w:ascii="Work Sans" w:hAnsi="Work Sans"/>
        </w:rPr>
        <w:t xml:space="preserve">, </w:t>
      </w:r>
      <w:r w:rsidRPr="00A674E9">
        <w:rPr>
          <w:rFonts w:ascii="Work Sans" w:hAnsi="Work Sans"/>
        </w:rPr>
        <w:t>and capturing scarce Rune DSL expertise</w:t>
      </w:r>
      <w:r w:rsidR="00676A81">
        <w:rPr>
          <w:rFonts w:ascii="Work Sans" w:hAnsi="Work Sans"/>
        </w:rPr>
        <w:t xml:space="preserve">, </w:t>
      </w:r>
      <w:r w:rsidRPr="00A674E9">
        <w:rPr>
          <w:rFonts w:ascii="Work Sans" w:hAnsi="Work Sans"/>
        </w:rPr>
        <w:t>is narrowing.</w:t>
      </w:r>
    </w:p>
    <w:p w14:paraId="1A8915CA" w14:textId="77777777" w:rsidR="00997FC0" w:rsidRPr="00A674E9" w:rsidRDefault="00997FC0" w:rsidP="008E3EB7">
      <w:pPr>
        <w:spacing w:after="120"/>
        <w:rPr>
          <w:rFonts w:ascii="Work Sans" w:hAnsi="Work Sans"/>
        </w:rPr>
      </w:pPr>
      <w:r w:rsidRPr="00A674E9">
        <w:rPr>
          <w:rFonts w:ascii="Work Sans" w:hAnsi="Work Sans"/>
          <w:b/>
          <w:bCs/>
        </w:rPr>
        <w:t>Second</w:t>
      </w:r>
      <w:r w:rsidRPr="00A674E9">
        <w:rPr>
          <w:rFonts w:ascii="Work Sans" w:hAnsi="Work Sans"/>
        </w:rPr>
        <w:t>, archetype selection is the strategic decision. Not "should we adopt CDM" but "which version of CDM adoption matches our business model." There is no single right answer, but there are definitively wrong answers for specific institutions.</w:t>
      </w:r>
    </w:p>
    <w:p w14:paraId="1815A15B" w14:textId="3D85FE62" w:rsidR="00997FC0" w:rsidRPr="00A674E9" w:rsidRDefault="00997FC0" w:rsidP="008E3EB7">
      <w:pPr>
        <w:spacing w:after="120"/>
        <w:rPr>
          <w:rFonts w:ascii="Work Sans" w:hAnsi="Work Sans"/>
        </w:rPr>
      </w:pPr>
      <w:r w:rsidRPr="00A674E9">
        <w:rPr>
          <w:rFonts w:ascii="Work Sans" w:hAnsi="Work Sans"/>
          <w:b/>
          <w:bCs/>
        </w:rPr>
        <w:t>Third</w:t>
      </w:r>
      <w:r w:rsidRPr="00A674E9">
        <w:rPr>
          <w:rFonts w:ascii="Work Sans" w:hAnsi="Work Sans"/>
        </w:rPr>
        <w:t>, the cost of misalignment will crystallize. Banks that deliberately choose their archetype</w:t>
      </w:r>
      <w:r w:rsidR="00676A81">
        <w:rPr>
          <w:rFonts w:ascii="Work Sans" w:hAnsi="Work Sans"/>
        </w:rPr>
        <w:t xml:space="preserve">, </w:t>
      </w:r>
      <w:r w:rsidRPr="00A674E9">
        <w:rPr>
          <w:rFonts w:ascii="Work Sans" w:hAnsi="Work Sans"/>
        </w:rPr>
        <w:t>and monitor for when that choice should change</w:t>
      </w:r>
      <w:r w:rsidR="00676A81">
        <w:rPr>
          <w:rFonts w:ascii="Work Sans" w:hAnsi="Work Sans"/>
        </w:rPr>
        <w:t xml:space="preserve">, </w:t>
      </w:r>
      <w:r w:rsidRPr="00A674E9">
        <w:rPr>
          <w:rFonts w:ascii="Work Sans" w:hAnsi="Work Sans"/>
        </w:rPr>
        <w:t>will outperform those that drift into positions by default.</w:t>
      </w:r>
    </w:p>
    <w:p w14:paraId="10DBD1AA" w14:textId="77777777" w:rsidR="00997FC0" w:rsidRPr="00A674E9" w:rsidRDefault="00997FC0" w:rsidP="008E3EB7">
      <w:pPr>
        <w:spacing w:after="120"/>
        <w:rPr>
          <w:rFonts w:ascii="Work Sans" w:hAnsi="Work Sans"/>
        </w:rPr>
      </w:pPr>
      <w:r w:rsidRPr="00A674E9">
        <w:rPr>
          <w:rFonts w:ascii="Work Sans" w:hAnsi="Work Sans"/>
        </w:rPr>
        <w:t>This framework is designed to prevent misalignment.</w:t>
      </w:r>
    </w:p>
    <w:p w14:paraId="5C0723AC" w14:textId="77777777" w:rsidR="00997FC0" w:rsidRPr="00082CE7" w:rsidRDefault="00997FC0" w:rsidP="00997FC0">
      <w:pPr>
        <w:spacing w:before="360" w:after="160"/>
        <w:rPr>
          <w:rFonts w:ascii="Work Sans" w:hAnsi="Work Sans"/>
          <w:color w:val="DA291C"/>
          <w:sz w:val="48"/>
          <w:szCs w:val="48"/>
        </w:rPr>
      </w:pPr>
      <w:r w:rsidRPr="00082CE7">
        <w:rPr>
          <w:rFonts w:ascii="Work Sans" w:hAnsi="Work Sans"/>
          <w:color w:val="DA291C"/>
          <w:sz w:val="48"/>
          <w:szCs w:val="48"/>
        </w:rPr>
        <w:t>Section 1: Five Integration Archetypes</w:t>
      </w:r>
    </w:p>
    <w:p w14:paraId="18F0712D" w14:textId="49F4B780" w:rsidR="00997FC0" w:rsidRPr="00A674E9" w:rsidRDefault="00997FC0" w:rsidP="00997FC0">
      <w:pPr>
        <w:spacing w:after="160"/>
        <w:rPr>
          <w:rFonts w:ascii="Work Sans" w:hAnsi="Work Sans"/>
        </w:rPr>
      </w:pPr>
      <w:r w:rsidRPr="00A674E9">
        <w:rPr>
          <w:rFonts w:ascii="Work Sans" w:hAnsi="Work Sans"/>
        </w:rPr>
        <w:t>The right CDM strategy depends on how much derivatives matter to your business, what you've already built, and where you're headed. There is no single right answer</w:t>
      </w:r>
      <w:r w:rsidR="00676A81">
        <w:rPr>
          <w:rFonts w:ascii="Work Sans" w:hAnsi="Work Sans"/>
        </w:rPr>
        <w:t xml:space="preserve">, </w:t>
      </w:r>
      <w:r w:rsidRPr="00A674E9">
        <w:rPr>
          <w:rFonts w:ascii="Work Sans" w:hAnsi="Work Sans"/>
        </w:rPr>
        <w:t xml:space="preserve">and that's the insight. Different business models </w:t>
      </w:r>
      <w:r w:rsidR="00CB719C">
        <w:rPr>
          <w:rFonts w:ascii="Work Sans" w:hAnsi="Work Sans"/>
        </w:rPr>
        <w:t xml:space="preserve">and regulator enforcement actions </w:t>
      </w:r>
      <w:r w:rsidRPr="00A674E9">
        <w:rPr>
          <w:rFonts w:ascii="Work Sans" w:hAnsi="Work Sans"/>
        </w:rPr>
        <w:t>demand different postures. Recognizing this separates deliberate positioning from drift.</w:t>
      </w:r>
    </w:p>
    <w:p w14:paraId="5B329035" w14:textId="77777777" w:rsidR="00997FC0" w:rsidRPr="00082CE7" w:rsidRDefault="00997FC0" w:rsidP="00997FC0">
      <w:pPr>
        <w:spacing w:after="160"/>
        <w:rPr>
          <w:rFonts w:ascii="Work Sans" w:hAnsi="Work Sans"/>
        </w:rPr>
      </w:pPr>
      <w:r w:rsidRPr="00A674E9">
        <w:rPr>
          <w:rFonts w:ascii="Work Sans" w:hAnsi="Work Sans"/>
        </w:rPr>
        <w:lastRenderedPageBreak/>
        <w:t>The five archetypes below define the spectrum. One institution has already shown what Native looks like in practice.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9"/>
        <w:gridCol w:w="2430"/>
        <w:gridCol w:w="2790"/>
        <w:gridCol w:w="2095"/>
      </w:tblGrid>
      <w:tr w:rsidR="00997FC0" w:rsidRPr="00082CE7" w14:paraId="4354F4B7" w14:textId="77777777" w:rsidTr="00E3392E">
        <w:trPr>
          <w:tblHeader/>
        </w:trPr>
        <w:tc>
          <w:tcPr>
            <w:tcW w:w="1709" w:type="dxa"/>
            <w:tcBorders>
              <w:top w:val="single" w:sz="1" w:space="0" w:color="AAAAAA"/>
              <w:left w:val="single" w:sz="1" w:space="0" w:color="AAAAAA"/>
              <w:bottom w:val="single" w:sz="1" w:space="0" w:color="AAAAAA"/>
              <w:right w:val="single" w:sz="1" w:space="0" w:color="AAAAAA"/>
            </w:tcBorders>
            <w:shd w:val="clear" w:color="auto" w:fill="032340"/>
            <w:tcMar>
              <w:top w:w="40" w:type="dxa"/>
              <w:left w:w="80" w:type="dxa"/>
              <w:bottom w:w="40" w:type="dxa"/>
              <w:right w:w="80" w:type="dxa"/>
            </w:tcMar>
            <w:vAlign w:val="center"/>
          </w:tcPr>
          <w:p w14:paraId="3DD31852" w14:textId="77777777" w:rsidR="00997FC0" w:rsidRPr="00082CE7" w:rsidRDefault="00997FC0" w:rsidP="00E3392E">
            <w:pPr>
              <w:jc w:val="center"/>
              <w:rPr>
                <w:rFonts w:ascii="Work Sans" w:hAnsi="Work Sans"/>
              </w:rPr>
            </w:pPr>
            <w:r w:rsidRPr="00082CE7">
              <w:rPr>
                <w:rFonts w:ascii="Work Sans" w:hAnsi="Work Sans"/>
                <w:b/>
                <w:bCs/>
                <w:color w:val="FFFFFF"/>
                <w:sz w:val="18"/>
                <w:szCs w:val="18"/>
              </w:rPr>
              <w:t>Archetype</w:t>
            </w:r>
          </w:p>
        </w:tc>
        <w:tc>
          <w:tcPr>
            <w:tcW w:w="2430" w:type="dxa"/>
            <w:tcBorders>
              <w:top w:val="single" w:sz="1" w:space="0" w:color="AAAAAA"/>
              <w:left w:val="single" w:sz="1" w:space="0" w:color="AAAAAA"/>
              <w:bottom w:val="single" w:sz="1" w:space="0" w:color="AAAAAA"/>
              <w:right w:val="single" w:sz="1" w:space="0" w:color="AAAAAA"/>
            </w:tcBorders>
            <w:shd w:val="clear" w:color="auto" w:fill="032340"/>
            <w:tcMar>
              <w:top w:w="40" w:type="dxa"/>
              <w:left w:w="80" w:type="dxa"/>
              <w:bottom w:w="40" w:type="dxa"/>
              <w:right w:w="80" w:type="dxa"/>
            </w:tcMar>
            <w:vAlign w:val="center"/>
          </w:tcPr>
          <w:p w14:paraId="6658DE2C" w14:textId="77777777" w:rsidR="00997FC0" w:rsidRPr="00082CE7" w:rsidRDefault="00997FC0" w:rsidP="00E3392E">
            <w:pPr>
              <w:jc w:val="center"/>
              <w:rPr>
                <w:rFonts w:ascii="Work Sans" w:hAnsi="Work Sans"/>
              </w:rPr>
            </w:pPr>
            <w:commentRangeStart w:id="0"/>
            <w:r w:rsidRPr="00082CE7">
              <w:rPr>
                <w:rFonts w:ascii="Work Sans" w:hAnsi="Work Sans"/>
                <w:b/>
                <w:bCs/>
                <w:color w:val="FFFFFF"/>
                <w:sz w:val="18"/>
                <w:szCs w:val="18"/>
              </w:rPr>
              <w:t>Strategic Posture</w:t>
            </w:r>
          </w:p>
        </w:tc>
        <w:tc>
          <w:tcPr>
            <w:tcW w:w="2790" w:type="dxa"/>
            <w:tcBorders>
              <w:top w:val="single" w:sz="1" w:space="0" w:color="AAAAAA"/>
              <w:left w:val="single" w:sz="1" w:space="0" w:color="AAAAAA"/>
              <w:bottom w:val="single" w:sz="1" w:space="0" w:color="AAAAAA"/>
              <w:right w:val="single" w:sz="1" w:space="0" w:color="AAAAAA"/>
            </w:tcBorders>
            <w:shd w:val="clear" w:color="auto" w:fill="032340"/>
            <w:tcMar>
              <w:top w:w="40" w:type="dxa"/>
              <w:left w:w="80" w:type="dxa"/>
              <w:bottom w:w="40" w:type="dxa"/>
              <w:right w:w="80" w:type="dxa"/>
            </w:tcMar>
            <w:vAlign w:val="center"/>
          </w:tcPr>
          <w:p w14:paraId="7A503CC3" w14:textId="77777777" w:rsidR="00997FC0" w:rsidRPr="00082CE7" w:rsidRDefault="00997FC0" w:rsidP="00E3392E">
            <w:pPr>
              <w:jc w:val="center"/>
              <w:rPr>
                <w:rFonts w:ascii="Work Sans" w:hAnsi="Work Sans"/>
              </w:rPr>
            </w:pPr>
            <w:r w:rsidRPr="00082CE7">
              <w:rPr>
                <w:rFonts w:ascii="Work Sans" w:hAnsi="Work Sans"/>
                <w:b/>
                <w:bCs/>
                <w:color w:val="FFFFFF"/>
                <w:sz w:val="18"/>
                <w:szCs w:val="18"/>
              </w:rPr>
              <w:t>Bank Profile</w:t>
            </w:r>
            <w:commentRangeEnd w:id="0"/>
            <w:r w:rsidR="00C94CC2">
              <w:rPr>
                <w:rStyle w:val="CommentReference"/>
              </w:rPr>
              <w:commentReference w:id="0"/>
            </w:r>
          </w:p>
        </w:tc>
        <w:tc>
          <w:tcPr>
            <w:tcW w:w="2095" w:type="dxa"/>
            <w:tcBorders>
              <w:top w:val="single" w:sz="1" w:space="0" w:color="AAAAAA"/>
              <w:left w:val="single" w:sz="1" w:space="0" w:color="AAAAAA"/>
              <w:bottom w:val="single" w:sz="1" w:space="0" w:color="AAAAAA"/>
              <w:right w:val="single" w:sz="1" w:space="0" w:color="AAAAAA"/>
            </w:tcBorders>
            <w:shd w:val="clear" w:color="auto" w:fill="032340"/>
            <w:tcMar>
              <w:top w:w="40" w:type="dxa"/>
              <w:left w:w="80" w:type="dxa"/>
              <w:bottom w:w="40" w:type="dxa"/>
              <w:right w:w="80" w:type="dxa"/>
            </w:tcMar>
            <w:vAlign w:val="center"/>
          </w:tcPr>
          <w:p w14:paraId="7337EB90" w14:textId="77777777" w:rsidR="00997FC0" w:rsidRPr="00082CE7" w:rsidRDefault="00997FC0" w:rsidP="00E3392E">
            <w:pPr>
              <w:jc w:val="center"/>
              <w:rPr>
                <w:rFonts w:ascii="Work Sans" w:hAnsi="Work Sans"/>
              </w:rPr>
            </w:pPr>
            <w:r w:rsidRPr="00082CE7">
              <w:rPr>
                <w:rFonts w:ascii="Work Sans" w:hAnsi="Work Sans"/>
                <w:b/>
                <w:bCs/>
                <w:color w:val="FFFFFF"/>
                <w:sz w:val="18"/>
                <w:szCs w:val="18"/>
              </w:rPr>
              <w:t>Legacy FpML Strategy</w:t>
            </w:r>
          </w:p>
        </w:tc>
      </w:tr>
      <w:tr w:rsidR="00997FC0" w:rsidRPr="00082CE7" w14:paraId="72405583" w14:textId="77777777" w:rsidTr="00E3392E">
        <w:tc>
          <w:tcPr>
            <w:tcW w:w="1709"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D3CDEA2" w14:textId="77777777" w:rsidR="00997FC0" w:rsidRPr="00082CE7" w:rsidRDefault="00997FC0" w:rsidP="00E3392E">
            <w:pPr>
              <w:rPr>
                <w:rFonts w:ascii="Work Sans" w:hAnsi="Work Sans"/>
              </w:rPr>
            </w:pPr>
            <w:r w:rsidRPr="00082CE7">
              <w:rPr>
                <w:rFonts w:ascii="Work Sans" w:hAnsi="Work Sans"/>
                <w:b/>
                <w:bCs/>
                <w:sz w:val="18"/>
                <w:szCs w:val="18"/>
              </w:rPr>
              <w:t>1: Native Integration</w:t>
            </w:r>
          </w:p>
        </w:tc>
        <w:tc>
          <w:tcPr>
            <w:tcW w:w="243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335B1A4" w14:textId="77777777" w:rsidR="00997FC0" w:rsidRPr="00082CE7" w:rsidRDefault="00997FC0" w:rsidP="00E3392E">
            <w:pPr>
              <w:rPr>
                <w:rFonts w:ascii="Work Sans" w:hAnsi="Work Sans"/>
              </w:rPr>
            </w:pPr>
            <w:r w:rsidRPr="00082CE7">
              <w:rPr>
                <w:rFonts w:ascii="Work Sans" w:hAnsi="Work Sans"/>
                <w:sz w:val="18"/>
                <w:szCs w:val="18"/>
              </w:rPr>
              <w:t>CDM becomes the backbone.</w:t>
            </w:r>
          </w:p>
          <w:p w14:paraId="0DEC8A51" w14:textId="77777777" w:rsidR="00997FC0" w:rsidRPr="00082CE7" w:rsidRDefault="00997FC0" w:rsidP="00E3392E">
            <w:pPr>
              <w:spacing w:before="80"/>
              <w:rPr>
                <w:rFonts w:ascii="Work Sans" w:hAnsi="Work Sans"/>
              </w:rPr>
            </w:pPr>
            <w:r w:rsidRPr="00082CE7">
              <w:rPr>
                <w:rFonts w:ascii="Work Sans" w:hAnsi="Work Sans"/>
                <w:sz w:val="18"/>
                <w:szCs w:val="18"/>
              </w:rPr>
              <w:t>First-mover advantage in digital assets.</w:t>
            </w:r>
          </w:p>
        </w:tc>
        <w:tc>
          <w:tcPr>
            <w:tcW w:w="279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682FF92" w14:textId="77777777" w:rsidR="00997FC0" w:rsidRPr="00082CE7" w:rsidRDefault="00997FC0" w:rsidP="00E3392E">
            <w:pPr>
              <w:rPr>
                <w:rFonts w:ascii="Work Sans" w:hAnsi="Work Sans"/>
              </w:rPr>
            </w:pPr>
            <w:r w:rsidRPr="00082CE7">
              <w:rPr>
                <w:rFonts w:ascii="Work Sans" w:hAnsi="Work Sans"/>
                <w:sz w:val="18"/>
                <w:szCs w:val="18"/>
              </w:rPr>
              <w:t>Derivatives-dominant; scale justifies investment; digital asset ambitions.</w:t>
            </w:r>
          </w:p>
        </w:tc>
        <w:tc>
          <w:tcPr>
            <w:tcW w:w="2095"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A935C15" w14:textId="77777777" w:rsidR="00997FC0" w:rsidRPr="00082CE7" w:rsidRDefault="00997FC0" w:rsidP="00E3392E">
            <w:pPr>
              <w:rPr>
                <w:rFonts w:ascii="Work Sans" w:hAnsi="Work Sans"/>
              </w:rPr>
            </w:pPr>
            <w:r w:rsidRPr="00082CE7">
              <w:rPr>
                <w:rFonts w:ascii="Work Sans" w:hAnsi="Work Sans"/>
                <w:sz w:val="18"/>
                <w:szCs w:val="18"/>
              </w:rPr>
              <w:t>Bypass FpML; CDM becomes canonical</w:t>
            </w:r>
          </w:p>
        </w:tc>
      </w:tr>
      <w:tr w:rsidR="00997FC0" w:rsidRPr="00082CE7" w14:paraId="48A7F114" w14:textId="77777777" w:rsidTr="00E3392E">
        <w:tc>
          <w:tcPr>
            <w:tcW w:w="1709"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60" w:type="dxa"/>
              <w:left w:w="80" w:type="dxa"/>
              <w:bottom w:w="60" w:type="dxa"/>
              <w:right w:w="80" w:type="dxa"/>
            </w:tcMar>
            <w:vAlign w:val="center"/>
          </w:tcPr>
          <w:p w14:paraId="291D7229" w14:textId="77777777" w:rsidR="00997FC0" w:rsidRPr="00082CE7" w:rsidRDefault="00997FC0" w:rsidP="00E3392E">
            <w:pPr>
              <w:rPr>
                <w:rFonts w:ascii="Work Sans" w:hAnsi="Work Sans"/>
              </w:rPr>
            </w:pPr>
            <w:r w:rsidRPr="00082CE7">
              <w:rPr>
                <w:rFonts w:ascii="Work Sans" w:hAnsi="Work Sans"/>
                <w:b/>
                <w:bCs/>
                <w:sz w:val="18"/>
                <w:szCs w:val="18"/>
              </w:rPr>
              <w:t>2A: Integration Layer (Leader)</w:t>
            </w:r>
          </w:p>
        </w:tc>
        <w:tc>
          <w:tcPr>
            <w:tcW w:w="243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60" w:type="dxa"/>
              <w:left w:w="80" w:type="dxa"/>
              <w:bottom w:w="60" w:type="dxa"/>
              <w:right w:w="80" w:type="dxa"/>
            </w:tcMar>
            <w:vAlign w:val="center"/>
          </w:tcPr>
          <w:p w14:paraId="69B15433" w14:textId="77777777" w:rsidR="00997FC0" w:rsidRPr="00082CE7" w:rsidRDefault="00997FC0" w:rsidP="00E3392E">
            <w:pPr>
              <w:rPr>
                <w:rFonts w:ascii="Work Sans" w:hAnsi="Work Sans"/>
              </w:rPr>
            </w:pPr>
            <w:r w:rsidRPr="00082CE7">
              <w:rPr>
                <w:rFonts w:ascii="Work Sans" w:hAnsi="Work Sans"/>
                <w:sz w:val="18"/>
                <w:szCs w:val="18"/>
              </w:rPr>
              <w:t>Shape standard &amp; preserve IP.</w:t>
            </w:r>
          </w:p>
          <w:p w14:paraId="52F82967" w14:textId="77777777" w:rsidR="00997FC0" w:rsidRPr="00082CE7" w:rsidRDefault="00997FC0" w:rsidP="00E3392E">
            <w:pPr>
              <w:spacing w:before="80"/>
              <w:rPr>
                <w:rFonts w:ascii="Work Sans" w:hAnsi="Work Sans"/>
              </w:rPr>
            </w:pPr>
            <w:r w:rsidRPr="00082CE7">
              <w:rPr>
                <w:rFonts w:ascii="Work Sans" w:hAnsi="Work Sans"/>
                <w:sz w:val="18"/>
                <w:szCs w:val="18"/>
              </w:rPr>
              <w:t>Engage deeply in ISDA governance.</w:t>
            </w:r>
          </w:p>
        </w:tc>
        <w:tc>
          <w:tcPr>
            <w:tcW w:w="279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60" w:type="dxa"/>
              <w:left w:w="80" w:type="dxa"/>
              <w:bottom w:w="60" w:type="dxa"/>
              <w:right w:w="80" w:type="dxa"/>
            </w:tcMar>
            <w:vAlign w:val="center"/>
          </w:tcPr>
          <w:p w14:paraId="15593E72" w14:textId="77777777" w:rsidR="00997FC0" w:rsidRPr="00082CE7" w:rsidRDefault="00997FC0" w:rsidP="00E3392E">
            <w:pPr>
              <w:rPr>
                <w:rFonts w:ascii="Work Sans" w:hAnsi="Work Sans"/>
              </w:rPr>
            </w:pPr>
            <w:r w:rsidRPr="00082CE7">
              <w:rPr>
                <w:rFonts w:ascii="Work Sans" w:hAnsi="Work Sans"/>
                <w:sz w:val="18"/>
                <w:szCs w:val="18"/>
              </w:rPr>
              <w:t>Derivatives-heavy with proprietary systems worth protecting. Influence the standard rather than rebuild.</w:t>
            </w:r>
          </w:p>
        </w:tc>
        <w:tc>
          <w:tcPr>
            <w:tcW w:w="209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60" w:type="dxa"/>
              <w:left w:w="80" w:type="dxa"/>
              <w:bottom w:w="60" w:type="dxa"/>
              <w:right w:w="80" w:type="dxa"/>
            </w:tcMar>
            <w:vAlign w:val="center"/>
          </w:tcPr>
          <w:p w14:paraId="1BBD4FB7" w14:textId="77777777" w:rsidR="00997FC0" w:rsidRPr="00082CE7" w:rsidRDefault="00997FC0" w:rsidP="00E3392E">
            <w:pPr>
              <w:rPr>
                <w:rFonts w:ascii="Work Sans" w:hAnsi="Work Sans"/>
              </w:rPr>
            </w:pPr>
            <w:r w:rsidRPr="00082CE7">
              <w:rPr>
                <w:rFonts w:ascii="Work Sans" w:hAnsi="Work Sans"/>
                <w:sz w:val="18"/>
                <w:szCs w:val="18"/>
              </w:rPr>
              <w:t>Translate at boundary; shape the new standard</w:t>
            </w:r>
          </w:p>
        </w:tc>
      </w:tr>
      <w:tr w:rsidR="00997FC0" w:rsidRPr="00082CE7" w14:paraId="3EC8C077" w14:textId="77777777" w:rsidTr="00E3392E">
        <w:tc>
          <w:tcPr>
            <w:tcW w:w="1709"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DD85EAF" w14:textId="77777777" w:rsidR="00997FC0" w:rsidRPr="00082CE7" w:rsidRDefault="00997FC0" w:rsidP="00E3392E">
            <w:pPr>
              <w:rPr>
                <w:rFonts w:ascii="Work Sans" w:hAnsi="Work Sans"/>
              </w:rPr>
            </w:pPr>
            <w:commentRangeStart w:id="1"/>
            <w:r w:rsidRPr="00082CE7">
              <w:rPr>
                <w:rFonts w:ascii="Work Sans" w:hAnsi="Work Sans"/>
                <w:b/>
                <w:bCs/>
                <w:sz w:val="18"/>
                <w:szCs w:val="18"/>
              </w:rPr>
              <w:t>2B: Integration Layer (Follower)</w:t>
            </w:r>
            <w:commentRangeEnd w:id="1"/>
            <w:r w:rsidR="00C94CC2">
              <w:rPr>
                <w:rStyle w:val="CommentReference"/>
              </w:rPr>
              <w:commentReference w:id="1"/>
            </w:r>
          </w:p>
        </w:tc>
        <w:tc>
          <w:tcPr>
            <w:tcW w:w="243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0B55849" w14:textId="77777777" w:rsidR="00997FC0" w:rsidRPr="00082CE7" w:rsidRDefault="00997FC0" w:rsidP="00E3392E">
            <w:pPr>
              <w:rPr>
                <w:rFonts w:ascii="Work Sans" w:hAnsi="Work Sans"/>
              </w:rPr>
            </w:pPr>
            <w:r w:rsidRPr="00082CE7">
              <w:rPr>
                <w:rFonts w:ascii="Work Sans" w:hAnsi="Work Sans"/>
                <w:sz w:val="18"/>
                <w:szCs w:val="18"/>
              </w:rPr>
              <w:t>Adopt interface, preserve systems.</w:t>
            </w:r>
          </w:p>
          <w:p w14:paraId="6808B3F8" w14:textId="77777777" w:rsidR="00997FC0" w:rsidRPr="00082CE7" w:rsidRDefault="00997FC0" w:rsidP="00E3392E">
            <w:pPr>
              <w:spacing w:before="80"/>
              <w:rPr>
                <w:rFonts w:ascii="Work Sans" w:hAnsi="Work Sans"/>
              </w:rPr>
            </w:pPr>
            <w:r w:rsidRPr="00082CE7">
              <w:rPr>
                <w:rFonts w:ascii="Work Sans" w:hAnsi="Work Sans"/>
                <w:sz w:val="18"/>
                <w:szCs w:val="18"/>
              </w:rPr>
              <w:t>Monitor leaders, prepare integration layer architecture.</w:t>
            </w:r>
          </w:p>
        </w:tc>
        <w:tc>
          <w:tcPr>
            <w:tcW w:w="279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0ED2DED" w14:textId="77777777" w:rsidR="00997FC0" w:rsidRPr="00082CE7" w:rsidRDefault="00997FC0" w:rsidP="00E3392E">
            <w:pPr>
              <w:rPr>
                <w:rFonts w:ascii="Work Sans" w:hAnsi="Work Sans"/>
              </w:rPr>
            </w:pPr>
            <w:r w:rsidRPr="00082CE7">
              <w:rPr>
                <w:rFonts w:ascii="Work Sans" w:hAnsi="Work Sans"/>
                <w:sz w:val="18"/>
                <w:szCs w:val="18"/>
              </w:rPr>
              <w:t>Significant derivatives exposure, but competing priorities (wealth, prime brokerage). Interoperability without leading.</w:t>
            </w:r>
          </w:p>
        </w:tc>
        <w:tc>
          <w:tcPr>
            <w:tcW w:w="2095"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607A81B" w14:textId="77777777" w:rsidR="00997FC0" w:rsidRPr="00082CE7" w:rsidRDefault="00997FC0" w:rsidP="00E3392E">
            <w:pPr>
              <w:rPr>
                <w:rFonts w:ascii="Work Sans" w:hAnsi="Work Sans"/>
              </w:rPr>
            </w:pPr>
            <w:r w:rsidRPr="00082CE7">
              <w:rPr>
                <w:rFonts w:ascii="Work Sans" w:hAnsi="Work Sans"/>
                <w:sz w:val="18"/>
                <w:szCs w:val="18"/>
              </w:rPr>
              <w:t>Translate at boundary; follow best practices from 2A</w:t>
            </w:r>
          </w:p>
        </w:tc>
      </w:tr>
      <w:tr w:rsidR="00997FC0" w:rsidRPr="00082CE7" w14:paraId="63E68051" w14:textId="77777777" w:rsidTr="00E3392E">
        <w:tc>
          <w:tcPr>
            <w:tcW w:w="1709"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60" w:type="dxa"/>
              <w:left w:w="80" w:type="dxa"/>
              <w:bottom w:w="60" w:type="dxa"/>
              <w:right w:w="80" w:type="dxa"/>
            </w:tcMar>
            <w:vAlign w:val="center"/>
          </w:tcPr>
          <w:p w14:paraId="368C78F6" w14:textId="77777777" w:rsidR="00997FC0" w:rsidRPr="00082CE7" w:rsidRDefault="00997FC0" w:rsidP="00E3392E">
            <w:pPr>
              <w:rPr>
                <w:rFonts w:ascii="Work Sans" w:hAnsi="Work Sans"/>
              </w:rPr>
            </w:pPr>
            <w:r w:rsidRPr="00082CE7">
              <w:rPr>
                <w:rFonts w:ascii="Work Sans" w:hAnsi="Work Sans"/>
                <w:b/>
                <w:bCs/>
                <w:sz w:val="18"/>
                <w:szCs w:val="18"/>
              </w:rPr>
              <w:t>3</w:t>
            </w:r>
            <w:commentRangeStart w:id="2"/>
            <w:r w:rsidRPr="00082CE7">
              <w:rPr>
                <w:rFonts w:ascii="Work Sans" w:hAnsi="Work Sans"/>
                <w:b/>
                <w:bCs/>
                <w:sz w:val="18"/>
                <w:szCs w:val="18"/>
              </w:rPr>
              <w:t>: Compliance Layer</w:t>
            </w:r>
            <w:commentRangeEnd w:id="2"/>
            <w:r w:rsidR="00C94CC2">
              <w:rPr>
                <w:rStyle w:val="CommentReference"/>
              </w:rPr>
              <w:commentReference w:id="2"/>
            </w:r>
          </w:p>
        </w:tc>
        <w:tc>
          <w:tcPr>
            <w:tcW w:w="243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60" w:type="dxa"/>
              <w:left w:w="80" w:type="dxa"/>
              <w:bottom w:w="60" w:type="dxa"/>
              <w:right w:w="80" w:type="dxa"/>
            </w:tcMar>
            <w:vAlign w:val="center"/>
          </w:tcPr>
          <w:p w14:paraId="46094624" w14:textId="77777777" w:rsidR="00997FC0" w:rsidRPr="00082CE7" w:rsidRDefault="00997FC0" w:rsidP="00E3392E">
            <w:pPr>
              <w:rPr>
                <w:rFonts w:ascii="Work Sans" w:hAnsi="Work Sans"/>
              </w:rPr>
            </w:pPr>
            <w:r w:rsidRPr="00082CE7">
              <w:rPr>
                <w:rFonts w:ascii="Work Sans" w:hAnsi="Work Sans"/>
                <w:sz w:val="18"/>
                <w:szCs w:val="18"/>
              </w:rPr>
              <w:t>MVP CDM for reg. reporting.</w:t>
            </w:r>
          </w:p>
          <w:p w14:paraId="6CD4A592" w14:textId="77777777" w:rsidR="00997FC0" w:rsidRPr="00082CE7" w:rsidRDefault="00997FC0" w:rsidP="00E3392E">
            <w:pPr>
              <w:spacing w:before="80"/>
              <w:rPr>
                <w:rFonts w:ascii="Work Sans" w:hAnsi="Work Sans"/>
              </w:rPr>
            </w:pPr>
            <w:r w:rsidRPr="00082CE7">
              <w:rPr>
                <w:rFonts w:ascii="Work Sans" w:hAnsi="Work Sans"/>
                <w:sz w:val="18"/>
                <w:szCs w:val="18"/>
              </w:rPr>
              <w:t>Evaluate vendor adoption path. Define reassessment triggers.</w:t>
            </w:r>
          </w:p>
        </w:tc>
        <w:tc>
          <w:tcPr>
            <w:tcW w:w="279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60" w:type="dxa"/>
              <w:left w:w="80" w:type="dxa"/>
              <w:bottom w:w="60" w:type="dxa"/>
              <w:right w:w="80" w:type="dxa"/>
            </w:tcMar>
            <w:vAlign w:val="center"/>
          </w:tcPr>
          <w:p w14:paraId="34E0D1B8" w14:textId="77777777" w:rsidR="00997FC0" w:rsidRPr="00082CE7" w:rsidRDefault="00997FC0" w:rsidP="00E3392E">
            <w:pPr>
              <w:rPr>
                <w:rFonts w:ascii="Work Sans" w:hAnsi="Work Sans"/>
              </w:rPr>
            </w:pPr>
            <w:r w:rsidRPr="00082CE7">
              <w:rPr>
                <w:rFonts w:ascii="Work Sans" w:hAnsi="Work Sans"/>
                <w:sz w:val="18"/>
                <w:szCs w:val="18"/>
              </w:rPr>
              <w:t>Derivatives material but not core. Multi-jurisdictional; regulatory cost efficiency is the priority.</w:t>
            </w:r>
          </w:p>
        </w:tc>
        <w:tc>
          <w:tcPr>
            <w:tcW w:w="209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60" w:type="dxa"/>
              <w:left w:w="80" w:type="dxa"/>
              <w:bottom w:w="60" w:type="dxa"/>
              <w:right w:w="80" w:type="dxa"/>
            </w:tcMar>
            <w:vAlign w:val="center"/>
          </w:tcPr>
          <w:p w14:paraId="2FDA471A" w14:textId="77777777" w:rsidR="00997FC0" w:rsidRPr="00082CE7" w:rsidRDefault="00997FC0" w:rsidP="00E3392E">
            <w:pPr>
              <w:rPr>
                <w:rFonts w:ascii="Work Sans" w:hAnsi="Work Sans"/>
              </w:rPr>
            </w:pPr>
            <w:r w:rsidRPr="00082CE7">
              <w:rPr>
                <w:rFonts w:ascii="Work Sans" w:hAnsi="Work Sans"/>
                <w:sz w:val="18"/>
                <w:szCs w:val="18"/>
              </w:rPr>
              <w:t>Report-time conversion only</w:t>
            </w:r>
          </w:p>
        </w:tc>
      </w:tr>
      <w:tr w:rsidR="00997FC0" w:rsidRPr="00082CE7" w14:paraId="4FD704D5" w14:textId="77777777" w:rsidTr="00E3392E">
        <w:tc>
          <w:tcPr>
            <w:tcW w:w="1709"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CD59565" w14:textId="77777777" w:rsidR="00997FC0" w:rsidRPr="00082CE7" w:rsidRDefault="00997FC0" w:rsidP="00E3392E">
            <w:pPr>
              <w:rPr>
                <w:rFonts w:ascii="Work Sans" w:hAnsi="Work Sans"/>
              </w:rPr>
            </w:pPr>
            <w:r w:rsidRPr="00082CE7">
              <w:rPr>
                <w:rFonts w:ascii="Work Sans" w:hAnsi="Work Sans"/>
                <w:b/>
                <w:bCs/>
                <w:sz w:val="18"/>
                <w:szCs w:val="18"/>
              </w:rPr>
              <w:t>4: Tactical / Selective</w:t>
            </w:r>
          </w:p>
        </w:tc>
        <w:tc>
          <w:tcPr>
            <w:tcW w:w="243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8D101BB" w14:textId="77777777" w:rsidR="00997FC0" w:rsidRPr="00082CE7" w:rsidRDefault="00997FC0" w:rsidP="00E3392E">
            <w:pPr>
              <w:rPr>
                <w:rFonts w:ascii="Work Sans" w:hAnsi="Work Sans"/>
              </w:rPr>
            </w:pPr>
            <w:r w:rsidRPr="00082CE7">
              <w:rPr>
                <w:rFonts w:ascii="Work Sans" w:hAnsi="Work Sans"/>
                <w:sz w:val="18"/>
                <w:szCs w:val="18"/>
              </w:rPr>
              <w:t>Preserve optionality.</w:t>
            </w:r>
          </w:p>
          <w:p w14:paraId="153C4C10" w14:textId="77777777" w:rsidR="00997FC0" w:rsidRPr="00082CE7" w:rsidRDefault="00997FC0" w:rsidP="00E3392E">
            <w:pPr>
              <w:spacing w:before="80"/>
              <w:rPr>
                <w:rFonts w:ascii="Work Sans" w:hAnsi="Work Sans"/>
              </w:rPr>
            </w:pPr>
            <w:r w:rsidRPr="00082CE7">
              <w:rPr>
                <w:rFonts w:ascii="Work Sans" w:hAnsi="Work Sans"/>
                <w:sz w:val="18"/>
                <w:szCs w:val="18"/>
              </w:rPr>
              <w:t>Evaluate vendor adoption paths. Define reassessment triggers.</w:t>
            </w:r>
          </w:p>
        </w:tc>
        <w:tc>
          <w:tcPr>
            <w:tcW w:w="279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53EAF38" w14:textId="77777777" w:rsidR="00997FC0" w:rsidRPr="00082CE7" w:rsidRDefault="00997FC0" w:rsidP="00E3392E">
            <w:pPr>
              <w:rPr>
                <w:rFonts w:ascii="Work Sans" w:hAnsi="Work Sans"/>
              </w:rPr>
            </w:pPr>
            <w:r w:rsidRPr="00082CE7">
              <w:rPr>
                <w:rFonts w:ascii="Work Sans" w:hAnsi="Work Sans"/>
                <w:sz w:val="18"/>
                <w:szCs w:val="18"/>
              </w:rPr>
              <w:t>Derivatives are minor revenue. Other transformation priorities take precedence; vendors bridge gaps.</w:t>
            </w:r>
          </w:p>
        </w:tc>
        <w:tc>
          <w:tcPr>
            <w:tcW w:w="2095"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0D4D409" w14:textId="77777777" w:rsidR="00997FC0" w:rsidRPr="00082CE7" w:rsidRDefault="00997FC0" w:rsidP="00E3392E">
            <w:pPr>
              <w:rPr>
                <w:rFonts w:ascii="Work Sans" w:hAnsi="Work Sans"/>
              </w:rPr>
            </w:pPr>
            <w:r w:rsidRPr="00082CE7">
              <w:rPr>
                <w:rFonts w:ascii="Work Sans" w:hAnsi="Work Sans"/>
                <w:sz w:val="18"/>
                <w:szCs w:val="18"/>
              </w:rPr>
              <w:t>Minimal change; leverage vendor utilities</w:t>
            </w:r>
          </w:p>
        </w:tc>
      </w:tr>
    </w:tbl>
    <w:p w14:paraId="06E135A0" w14:textId="77777777" w:rsidR="00997FC0" w:rsidRPr="00082CE7" w:rsidRDefault="00997FC0" w:rsidP="00997FC0">
      <w:pPr>
        <w:spacing w:before="360" w:after="160"/>
        <w:rPr>
          <w:rFonts w:ascii="Work Sans" w:hAnsi="Work Sans"/>
          <w:color w:val="DA291C"/>
          <w:sz w:val="28"/>
          <w:szCs w:val="28"/>
        </w:rPr>
      </w:pPr>
      <w:r w:rsidRPr="00082CE7">
        <w:rPr>
          <w:rFonts w:ascii="Work Sans" w:hAnsi="Work Sans"/>
          <w:color w:val="DA291C"/>
          <w:sz w:val="28"/>
          <w:szCs w:val="28"/>
        </w:rPr>
        <w:t>Implementation Spotlight: JPMorgan's Native Benchmark</w:t>
      </w:r>
    </w:p>
    <w:p w14:paraId="08D2F13A" w14:textId="77777777" w:rsidR="00997FC0" w:rsidRPr="00A674E9" w:rsidRDefault="00997FC0" w:rsidP="00997FC0">
      <w:pPr>
        <w:spacing w:before="360" w:after="160"/>
        <w:rPr>
          <w:rFonts w:ascii="Work Sans" w:hAnsi="Work Sans"/>
        </w:rPr>
      </w:pPr>
      <w:r w:rsidRPr="00A674E9">
        <w:rPr>
          <w:rFonts w:ascii="Work Sans" w:hAnsi="Work Sans"/>
        </w:rPr>
        <w:t>JPMorgan calls their approach "semi-native"—and the distinction matters. In a November 2024 ISDA webinar, JPMorgan's Nick Mosher explained the architecture: risk management events map directly to CDM, which feeds the DRR logic [ISDA JPM Webinar, 32:04]. Not a full rebuild—a strategic middle ground.</w:t>
      </w:r>
    </w:p>
    <w:p w14:paraId="1F7CF718" w14:textId="3D5282C6" w:rsidR="00997FC0" w:rsidRPr="00A674E9" w:rsidRDefault="00997FC0" w:rsidP="00997FC0">
      <w:pPr>
        <w:spacing w:before="360" w:after="160"/>
        <w:rPr>
          <w:rFonts w:ascii="Work Sans" w:hAnsi="Work Sans"/>
        </w:rPr>
      </w:pPr>
      <w:r w:rsidRPr="00A674E9">
        <w:rPr>
          <w:rFonts w:ascii="Work Sans" w:hAnsi="Work Sans"/>
        </w:rPr>
        <w:t>The key design choice: CDM sits outside the reporting solution. "Primary use case is reg reporting," Mosher said, "but it was built with a preemptive view for other uses. It is currently used in post-trade processing, not pre-trade yet." By keeping CDM upstream</w:t>
      </w:r>
      <w:r w:rsidR="00C94CC2">
        <w:rPr>
          <w:rFonts w:ascii="Work Sans" w:hAnsi="Work Sans"/>
        </w:rPr>
        <w:t xml:space="preserve">, </w:t>
      </w:r>
      <w:r w:rsidRPr="00A674E9">
        <w:rPr>
          <w:rFonts w:ascii="Work Sans" w:hAnsi="Work Sans"/>
        </w:rPr>
        <w:t>a canonical layer that reporting consumes but doesn't contain</w:t>
      </w:r>
      <w:r w:rsidR="00C94CC2">
        <w:rPr>
          <w:rFonts w:ascii="Work Sans" w:hAnsi="Work Sans"/>
        </w:rPr>
        <w:t xml:space="preserve">, </w:t>
      </w:r>
      <w:r w:rsidRPr="00A674E9">
        <w:rPr>
          <w:rFonts w:ascii="Work Sans" w:hAnsi="Work Sans"/>
        </w:rPr>
        <w:t>JPMorgan preserves optionality for collateral, B2B messaging, and tokenization.</w:t>
      </w:r>
    </w:p>
    <w:p w14:paraId="18200FF7" w14:textId="77777777" w:rsidR="00997FC0" w:rsidRPr="00A674E9" w:rsidRDefault="00997FC0" w:rsidP="00997FC0">
      <w:pPr>
        <w:spacing w:before="360" w:after="160"/>
        <w:rPr>
          <w:rFonts w:ascii="Work Sans" w:hAnsi="Work Sans"/>
        </w:rPr>
      </w:pPr>
      <w:r w:rsidRPr="00A674E9">
        <w:rPr>
          <w:rFonts w:ascii="Work Sans" w:hAnsi="Work Sans"/>
        </w:rPr>
        <w:t>The hardest part, per JPMorgan: mapping internal products to CDM. That's where most build time goes—and why scale matters. For institutions with lower derivatives concentration, this is the central cost-benefit question. JPMorgan's architecture bypasses legacy FpML—a key indicator that multiple approaches will persist.</w:t>
      </w:r>
    </w:p>
    <w:p w14:paraId="21112BB5" w14:textId="77777777" w:rsidR="00997FC0" w:rsidRDefault="00997FC0" w:rsidP="00997FC0">
      <w:pPr>
        <w:spacing w:before="360" w:after="160"/>
        <w:rPr>
          <w:rFonts w:ascii="Work Sans" w:hAnsi="Work Sans"/>
        </w:rPr>
      </w:pPr>
      <w:r w:rsidRPr="00A674E9">
        <w:rPr>
          <w:rFonts w:ascii="Work Sans" w:hAnsi="Work Sans"/>
        </w:rPr>
        <w:t>This is the Native benchmark. The question for every other institution: how close does your business model require?</w:t>
      </w:r>
    </w:p>
    <w:p w14:paraId="2AC68257" w14:textId="77777777" w:rsidR="00997FC0" w:rsidRPr="00082CE7" w:rsidRDefault="00997FC0" w:rsidP="00997FC0">
      <w:pPr>
        <w:spacing w:before="360" w:after="160"/>
        <w:rPr>
          <w:rFonts w:ascii="Work Sans" w:hAnsi="Work Sans"/>
          <w:color w:val="DA291C"/>
          <w:sz w:val="48"/>
          <w:szCs w:val="48"/>
        </w:rPr>
      </w:pPr>
      <w:r w:rsidRPr="00082CE7">
        <w:rPr>
          <w:rFonts w:ascii="Work Sans" w:hAnsi="Work Sans"/>
          <w:color w:val="DA291C"/>
          <w:sz w:val="48"/>
          <w:szCs w:val="48"/>
        </w:rPr>
        <w:lastRenderedPageBreak/>
        <w:t>Section 2: Peer Positioning</w:t>
      </w:r>
    </w:p>
    <w:p w14:paraId="1C83174E" w14:textId="0EEDF7A7" w:rsidR="00997FC0" w:rsidRPr="00A674E9" w:rsidRDefault="00997FC0" w:rsidP="00997FC0">
      <w:pPr>
        <w:spacing w:after="160"/>
        <w:rPr>
          <w:rFonts w:ascii="Work Sans" w:hAnsi="Work Sans"/>
        </w:rPr>
      </w:pPr>
      <w:r w:rsidRPr="00A674E9">
        <w:rPr>
          <w:rFonts w:ascii="Work Sans" w:hAnsi="Work Sans"/>
        </w:rPr>
        <w:t xml:space="preserve">Derivatives concentration predicts CDM </w:t>
      </w:r>
      <w:r w:rsidR="00DF7137">
        <w:rPr>
          <w:rFonts w:ascii="Work Sans" w:hAnsi="Work Sans"/>
        </w:rPr>
        <w:t>baseline</w:t>
      </w:r>
      <w:r w:rsidR="00CF0872">
        <w:rPr>
          <w:rFonts w:ascii="Work Sans" w:hAnsi="Work Sans"/>
        </w:rPr>
        <w:t xml:space="preserve"> </w:t>
      </w:r>
      <w:r w:rsidRPr="00A674E9">
        <w:rPr>
          <w:rFonts w:ascii="Work Sans" w:hAnsi="Work Sans"/>
        </w:rPr>
        <w:t>posture</w:t>
      </w:r>
      <w:r w:rsidR="00CF0872">
        <w:rPr>
          <w:rFonts w:ascii="Work Sans" w:hAnsi="Work Sans"/>
        </w:rPr>
        <w:t xml:space="preserve">, </w:t>
      </w:r>
      <w:r w:rsidRPr="00A674E9">
        <w:rPr>
          <w:rFonts w:ascii="Work Sans" w:hAnsi="Work Sans"/>
        </w:rPr>
        <w:t xml:space="preserve">but the most consequential positions are at the boundaries. </w:t>
      </w:r>
      <w:commentRangeStart w:id="3"/>
      <w:r w:rsidRPr="00CF0872">
        <w:rPr>
          <w:rFonts w:ascii="Work Sans" w:hAnsi="Work Sans"/>
          <w:color w:val="FF0000"/>
        </w:rPr>
        <w:t>Three warrant close attention: Bank of America, where enforcement pressure may force archetype upgrade</w:t>
      </w:r>
      <w:commentRangeEnd w:id="3"/>
      <w:r w:rsidR="007970D2">
        <w:rPr>
          <w:rStyle w:val="CommentReference"/>
        </w:rPr>
        <w:commentReference w:id="3"/>
      </w:r>
      <w:r w:rsidRPr="00A674E9">
        <w:rPr>
          <w:rFonts w:ascii="Work Sans" w:hAnsi="Work Sans"/>
        </w:rPr>
        <w:t>; Citigroup, where consent order remediation constrains optionality; and the custody banks, whose positioning could compress the entire market timeline.</w:t>
      </w:r>
    </w:p>
    <w:p w14:paraId="6C21BAB0" w14:textId="77777777" w:rsidR="00997FC0" w:rsidRDefault="00997FC0" w:rsidP="00997FC0">
      <w:pPr>
        <w:spacing w:after="160"/>
        <w:rPr>
          <w:rFonts w:ascii="Work Sans" w:hAnsi="Work Sans"/>
        </w:rPr>
      </w:pPr>
      <w:r w:rsidRPr="00A674E9">
        <w:rPr>
          <w:rFonts w:ascii="Work Sans" w:hAnsi="Work Sans"/>
        </w:rPr>
        <w:t>The matrix below maps the full landscape.</w:t>
      </w:r>
    </w:p>
    <w:p w14:paraId="6503EA58" w14:textId="77777777" w:rsidR="00997FC0" w:rsidRPr="00A674E9" w:rsidRDefault="00997FC0" w:rsidP="00997FC0">
      <w:pPr>
        <w:rPr>
          <w:rFonts w:ascii="Work Sans" w:hAnsi="Work Sans"/>
          <w:i/>
          <w:iCs/>
          <w:color w:val="666666"/>
          <w:sz w:val="16"/>
          <w:szCs w:val="16"/>
        </w:rPr>
      </w:pPr>
      <w:r w:rsidRPr="00082CE7">
        <w:rPr>
          <w:rFonts w:ascii="Work Sans" w:hAnsi="Work Sans"/>
          <w:i/>
          <w:iCs/>
          <w:color w:val="666666"/>
          <w:sz w:val="16"/>
          <w:szCs w:val="16"/>
        </w:rPr>
        <w:t>Note: Revenue percentages are approximate based on public filings and may vary by reporting period.</w:t>
      </w:r>
    </w:p>
    <w:tbl>
      <w:tblPr>
        <w:tblW w:w="49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19"/>
        <w:gridCol w:w="810"/>
        <w:gridCol w:w="810"/>
        <w:gridCol w:w="810"/>
        <w:gridCol w:w="810"/>
        <w:gridCol w:w="810"/>
        <w:gridCol w:w="810"/>
        <w:gridCol w:w="810"/>
        <w:gridCol w:w="810"/>
        <w:gridCol w:w="900"/>
      </w:tblGrid>
      <w:tr w:rsidR="00997FC0" w:rsidRPr="00082CE7" w14:paraId="058C8B00" w14:textId="77777777" w:rsidTr="00E3392E">
        <w:trPr>
          <w:tblHeader/>
        </w:trPr>
        <w:tc>
          <w:tcPr>
            <w:tcW w:w="1619" w:type="dxa"/>
            <w:tcBorders>
              <w:top w:val="single" w:sz="1" w:space="0" w:color="AAAAAA"/>
              <w:left w:val="single" w:sz="1" w:space="0" w:color="AAAAAA"/>
              <w:bottom w:val="single" w:sz="1" w:space="0" w:color="AAAAAA"/>
              <w:right w:val="single" w:sz="1" w:space="0" w:color="AAAAAA"/>
            </w:tcBorders>
            <w:shd w:val="clear" w:color="auto" w:fill="032340"/>
            <w:tcMar>
              <w:top w:w="40" w:type="dxa"/>
              <w:left w:w="80" w:type="dxa"/>
              <w:bottom w:w="40" w:type="dxa"/>
              <w:right w:w="80" w:type="dxa"/>
            </w:tcMar>
            <w:vAlign w:val="center"/>
          </w:tcPr>
          <w:p w14:paraId="62422E46" w14:textId="77777777" w:rsidR="00997FC0" w:rsidRPr="00082CE7" w:rsidRDefault="00997FC0" w:rsidP="00E3392E">
            <w:pPr>
              <w:jc w:val="center"/>
              <w:rPr>
                <w:rFonts w:ascii="Work Sans" w:hAnsi="Work Sans"/>
                <w:sz w:val="16"/>
                <w:szCs w:val="16"/>
              </w:rPr>
            </w:pPr>
            <w:r w:rsidRPr="00082CE7">
              <w:rPr>
                <w:rFonts w:ascii="Work Sans" w:hAnsi="Work Sans"/>
                <w:b/>
                <w:bCs/>
                <w:color w:val="FFFFFF"/>
                <w:sz w:val="16"/>
                <w:szCs w:val="16"/>
              </w:rPr>
              <w:t>Revenue Driver</w:t>
            </w:r>
          </w:p>
        </w:tc>
        <w:tc>
          <w:tcPr>
            <w:tcW w:w="810" w:type="dxa"/>
            <w:tcBorders>
              <w:top w:val="single" w:sz="1" w:space="0" w:color="AAAAAA"/>
              <w:left w:val="single" w:sz="1" w:space="0" w:color="AAAAAA"/>
              <w:bottom w:val="single" w:sz="1" w:space="0" w:color="AAAAAA"/>
              <w:right w:val="single" w:sz="1" w:space="0" w:color="AAAAAA"/>
            </w:tcBorders>
            <w:shd w:val="clear" w:color="auto" w:fill="032340"/>
            <w:tcMar>
              <w:top w:w="40" w:type="dxa"/>
              <w:left w:w="0" w:type="dxa"/>
              <w:bottom w:w="40" w:type="dxa"/>
              <w:right w:w="0" w:type="dxa"/>
            </w:tcMar>
            <w:vAlign w:val="center"/>
          </w:tcPr>
          <w:p w14:paraId="1FF61A62" w14:textId="77777777" w:rsidR="00997FC0" w:rsidRPr="00082CE7" w:rsidRDefault="00997FC0" w:rsidP="00E3392E">
            <w:pPr>
              <w:jc w:val="center"/>
              <w:rPr>
                <w:rFonts w:ascii="Work Sans" w:hAnsi="Work Sans"/>
                <w:sz w:val="16"/>
                <w:szCs w:val="16"/>
              </w:rPr>
            </w:pPr>
            <w:r w:rsidRPr="00082CE7">
              <w:rPr>
                <w:rFonts w:ascii="Work Sans" w:hAnsi="Work Sans"/>
                <w:b/>
                <w:bCs/>
                <w:color w:val="FFFFFF"/>
                <w:sz w:val="16"/>
                <w:szCs w:val="16"/>
              </w:rPr>
              <w:t>JPM</w:t>
            </w:r>
          </w:p>
        </w:tc>
        <w:tc>
          <w:tcPr>
            <w:tcW w:w="810" w:type="dxa"/>
            <w:tcBorders>
              <w:top w:val="single" w:sz="1" w:space="0" w:color="AAAAAA"/>
              <w:left w:val="single" w:sz="1" w:space="0" w:color="AAAAAA"/>
              <w:bottom w:val="single" w:sz="1" w:space="0" w:color="AAAAAA"/>
              <w:right w:val="single" w:sz="1" w:space="0" w:color="AAAAAA"/>
            </w:tcBorders>
            <w:shd w:val="clear" w:color="auto" w:fill="032340"/>
            <w:tcMar>
              <w:top w:w="40" w:type="dxa"/>
              <w:left w:w="0" w:type="dxa"/>
              <w:bottom w:w="40" w:type="dxa"/>
              <w:right w:w="0" w:type="dxa"/>
            </w:tcMar>
            <w:vAlign w:val="center"/>
          </w:tcPr>
          <w:p w14:paraId="3F5EEB1B" w14:textId="77777777" w:rsidR="00997FC0" w:rsidRPr="00082CE7" w:rsidRDefault="00997FC0" w:rsidP="00E3392E">
            <w:pPr>
              <w:jc w:val="center"/>
              <w:rPr>
                <w:rFonts w:ascii="Work Sans" w:hAnsi="Work Sans"/>
                <w:sz w:val="16"/>
                <w:szCs w:val="16"/>
              </w:rPr>
            </w:pPr>
            <w:r w:rsidRPr="00082CE7">
              <w:rPr>
                <w:rFonts w:ascii="Work Sans" w:hAnsi="Work Sans"/>
                <w:b/>
                <w:bCs/>
                <w:color w:val="FFFFFF"/>
                <w:sz w:val="16"/>
                <w:szCs w:val="16"/>
              </w:rPr>
              <w:t>Goldman Sachs</w:t>
            </w:r>
          </w:p>
        </w:tc>
        <w:tc>
          <w:tcPr>
            <w:tcW w:w="810" w:type="dxa"/>
            <w:tcBorders>
              <w:top w:val="single" w:sz="1" w:space="0" w:color="AAAAAA"/>
              <w:left w:val="single" w:sz="1" w:space="0" w:color="AAAAAA"/>
              <w:bottom w:val="single" w:sz="1" w:space="0" w:color="AAAAAA"/>
              <w:right w:val="single" w:sz="1" w:space="0" w:color="AAAAAA"/>
            </w:tcBorders>
            <w:shd w:val="clear" w:color="auto" w:fill="032340"/>
            <w:tcMar>
              <w:top w:w="40" w:type="dxa"/>
              <w:left w:w="0" w:type="dxa"/>
              <w:bottom w:w="40" w:type="dxa"/>
              <w:right w:w="0" w:type="dxa"/>
            </w:tcMar>
            <w:vAlign w:val="center"/>
          </w:tcPr>
          <w:p w14:paraId="376E4BEB" w14:textId="77777777" w:rsidR="00997FC0" w:rsidRPr="00082CE7" w:rsidRDefault="00997FC0" w:rsidP="00E3392E">
            <w:pPr>
              <w:jc w:val="center"/>
              <w:rPr>
                <w:rFonts w:ascii="Work Sans" w:hAnsi="Work Sans"/>
                <w:sz w:val="16"/>
                <w:szCs w:val="16"/>
              </w:rPr>
            </w:pPr>
            <w:r w:rsidRPr="00082CE7">
              <w:rPr>
                <w:rFonts w:ascii="Work Sans" w:hAnsi="Work Sans"/>
                <w:b/>
                <w:bCs/>
                <w:color w:val="FFFFFF"/>
                <w:sz w:val="16"/>
                <w:szCs w:val="16"/>
              </w:rPr>
              <w:t>Morgan Stanley</w:t>
            </w:r>
          </w:p>
        </w:tc>
        <w:tc>
          <w:tcPr>
            <w:tcW w:w="810" w:type="dxa"/>
            <w:tcBorders>
              <w:top w:val="single" w:sz="1" w:space="0" w:color="AAAAAA"/>
              <w:left w:val="single" w:sz="1" w:space="0" w:color="AAAAAA"/>
              <w:bottom w:val="single" w:sz="1" w:space="0" w:color="AAAAAA"/>
              <w:right w:val="single" w:sz="1" w:space="0" w:color="AAAAAA"/>
            </w:tcBorders>
            <w:shd w:val="clear" w:color="auto" w:fill="032340"/>
            <w:tcMar>
              <w:top w:w="40" w:type="dxa"/>
              <w:left w:w="0" w:type="dxa"/>
              <w:bottom w:w="40" w:type="dxa"/>
              <w:right w:w="0" w:type="dxa"/>
            </w:tcMar>
            <w:vAlign w:val="center"/>
          </w:tcPr>
          <w:p w14:paraId="1D63396F" w14:textId="77777777" w:rsidR="00997FC0" w:rsidRPr="00082CE7" w:rsidRDefault="00997FC0" w:rsidP="00E3392E">
            <w:pPr>
              <w:jc w:val="center"/>
              <w:rPr>
                <w:rFonts w:ascii="Work Sans" w:hAnsi="Work Sans"/>
                <w:sz w:val="16"/>
                <w:szCs w:val="16"/>
              </w:rPr>
            </w:pPr>
            <w:r w:rsidRPr="00082CE7">
              <w:rPr>
                <w:rFonts w:ascii="Work Sans" w:hAnsi="Work Sans"/>
                <w:b/>
                <w:bCs/>
                <w:color w:val="FFFFFF"/>
                <w:sz w:val="16"/>
                <w:szCs w:val="16"/>
              </w:rPr>
              <w:t>Citigroup</w:t>
            </w:r>
          </w:p>
        </w:tc>
        <w:tc>
          <w:tcPr>
            <w:tcW w:w="810" w:type="dxa"/>
            <w:tcBorders>
              <w:top w:val="single" w:sz="1" w:space="0" w:color="AAAAAA"/>
              <w:left w:val="single" w:sz="1" w:space="0" w:color="AAAAAA"/>
              <w:bottom w:val="single" w:sz="1" w:space="0" w:color="AAAAAA"/>
              <w:right w:val="single" w:sz="1" w:space="0" w:color="AAAAAA"/>
            </w:tcBorders>
            <w:shd w:val="clear" w:color="auto" w:fill="032340"/>
            <w:tcMar>
              <w:top w:w="40" w:type="dxa"/>
              <w:left w:w="0" w:type="dxa"/>
              <w:bottom w:w="40" w:type="dxa"/>
              <w:right w:w="0" w:type="dxa"/>
            </w:tcMar>
            <w:vAlign w:val="center"/>
          </w:tcPr>
          <w:p w14:paraId="029F209C" w14:textId="77777777" w:rsidR="00997FC0" w:rsidRPr="00082CE7" w:rsidRDefault="00997FC0" w:rsidP="00E3392E">
            <w:pPr>
              <w:jc w:val="center"/>
              <w:rPr>
                <w:rFonts w:ascii="Work Sans" w:hAnsi="Work Sans"/>
                <w:sz w:val="16"/>
                <w:szCs w:val="16"/>
              </w:rPr>
            </w:pPr>
            <w:r w:rsidRPr="00082CE7">
              <w:rPr>
                <w:rFonts w:ascii="Work Sans" w:hAnsi="Work Sans"/>
                <w:b/>
                <w:bCs/>
                <w:color w:val="FFFFFF"/>
                <w:sz w:val="16"/>
                <w:szCs w:val="16"/>
              </w:rPr>
              <w:t>BNY Mellon</w:t>
            </w:r>
          </w:p>
        </w:tc>
        <w:tc>
          <w:tcPr>
            <w:tcW w:w="810" w:type="dxa"/>
            <w:tcBorders>
              <w:top w:val="single" w:sz="1" w:space="0" w:color="AAAAAA"/>
              <w:left w:val="single" w:sz="1" w:space="0" w:color="AAAAAA"/>
              <w:bottom w:val="single" w:sz="1" w:space="0" w:color="AAAAAA"/>
              <w:right w:val="single" w:sz="1" w:space="0" w:color="AAAAAA"/>
            </w:tcBorders>
            <w:shd w:val="clear" w:color="auto" w:fill="032340"/>
            <w:tcMar>
              <w:top w:w="40" w:type="dxa"/>
              <w:left w:w="0" w:type="dxa"/>
              <w:bottom w:w="40" w:type="dxa"/>
              <w:right w:w="0" w:type="dxa"/>
            </w:tcMar>
            <w:vAlign w:val="center"/>
          </w:tcPr>
          <w:p w14:paraId="2DB2A683" w14:textId="77777777" w:rsidR="00997FC0" w:rsidRPr="00082CE7" w:rsidRDefault="00997FC0" w:rsidP="00E3392E">
            <w:pPr>
              <w:jc w:val="center"/>
              <w:rPr>
                <w:rFonts w:ascii="Work Sans" w:hAnsi="Work Sans"/>
                <w:sz w:val="16"/>
                <w:szCs w:val="16"/>
              </w:rPr>
            </w:pPr>
            <w:r w:rsidRPr="00082CE7">
              <w:rPr>
                <w:rFonts w:ascii="Work Sans" w:hAnsi="Work Sans"/>
                <w:b/>
                <w:bCs/>
                <w:color w:val="FFFFFF"/>
                <w:sz w:val="16"/>
                <w:szCs w:val="16"/>
              </w:rPr>
              <w:t>State Street</w:t>
            </w:r>
          </w:p>
        </w:tc>
        <w:tc>
          <w:tcPr>
            <w:tcW w:w="810" w:type="dxa"/>
            <w:tcBorders>
              <w:top w:val="single" w:sz="1" w:space="0" w:color="AAAAAA"/>
              <w:left w:val="single" w:sz="1" w:space="0" w:color="AAAAAA"/>
              <w:bottom w:val="single" w:sz="1" w:space="0" w:color="AAAAAA"/>
              <w:right w:val="single" w:sz="1" w:space="0" w:color="AAAAAA"/>
            </w:tcBorders>
            <w:shd w:val="clear" w:color="auto" w:fill="032340"/>
            <w:tcMar>
              <w:top w:w="40" w:type="dxa"/>
              <w:left w:w="0" w:type="dxa"/>
              <w:bottom w:w="40" w:type="dxa"/>
              <w:right w:w="0" w:type="dxa"/>
            </w:tcMar>
            <w:vAlign w:val="center"/>
          </w:tcPr>
          <w:p w14:paraId="39AABF04" w14:textId="4915B268" w:rsidR="00997FC0" w:rsidRPr="00082CE7" w:rsidRDefault="00997FC0" w:rsidP="00E3392E">
            <w:pPr>
              <w:jc w:val="center"/>
              <w:rPr>
                <w:rFonts w:ascii="Work Sans" w:hAnsi="Work Sans"/>
                <w:sz w:val="16"/>
                <w:szCs w:val="16"/>
              </w:rPr>
            </w:pPr>
            <w:r w:rsidRPr="00082CE7">
              <w:rPr>
                <w:rFonts w:ascii="Work Sans" w:hAnsi="Work Sans"/>
                <w:b/>
                <w:bCs/>
                <w:color w:val="FFFFFF"/>
                <w:sz w:val="16"/>
                <w:szCs w:val="16"/>
              </w:rPr>
              <w:t>Bank of America</w:t>
            </w:r>
          </w:p>
        </w:tc>
        <w:tc>
          <w:tcPr>
            <w:tcW w:w="810" w:type="dxa"/>
            <w:tcBorders>
              <w:top w:val="single" w:sz="1" w:space="0" w:color="AAAAAA"/>
              <w:left w:val="single" w:sz="1" w:space="0" w:color="AAAAAA"/>
              <w:bottom w:val="single" w:sz="1" w:space="0" w:color="AAAAAA"/>
              <w:right w:val="single" w:sz="1" w:space="0" w:color="AAAAAA"/>
            </w:tcBorders>
            <w:shd w:val="clear" w:color="auto" w:fill="032340"/>
            <w:tcMar>
              <w:top w:w="40" w:type="dxa"/>
              <w:left w:w="0" w:type="dxa"/>
              <w:bottom w:w="40" w:type="dxa"/>
              <w:right w:w="0" w:type="dxa"/>
            </w:tcMar>
            <w:vAlign w:val="center"/>
          </w:tcPr>
          <w:p w14:paraId="666EDB9C" w14:textId="77777777" w:rsidR="00997FC0" w:rsidRPr="00082CE7" w:rsidRDefault="00997FC0" w:rsidP="00E3392E">
            <w:pPr>
              <w:jc w:val="center"/>
              <w:rPr>
                <w:rFonts w:ascii="Work Sans" w:hAnsi="Work Sans"/>
                <w:sz w:val="16"/>
                <w:szCs w:val="16"/>
              </w:rPr>
            </w:pPr>
            <w:r w:rsidRPr="00082CE7">
              <w:rPr>
                <w:rFonts w:ascii="Work Sans" w:hAnsi="Work Sans"/>
                <w:b/>
                <w:bCs/>
                <w:color w:val="FFFFFF"/>
                <w:sz w:val="16"/>
                <w:szCs w:val="16"/>
              </w:rPr>
              <w:t>Wells Fargo</w:t>
            </w:r>
          </w:p>
        </w:tc>
        <w:tc>
          <w:tcPr>
            <w:tcW w:w="900" w:type="dxa"/>
            <w:tcBorders>
              <w:top w:val="single" w:sz="1" w:space="0" w:color="AAAAAA"/>
              <w:left w:val="single" w:sz="1" w:space="0" w:color="AAAAAA"/>
              <w:bottom w:val="single" w:sz="1" w:space="0" w:color="AAAAAA"/>
              <w:right w:val="single" w:sz="1" w:space="0" w:color="AAAAAA"/>
            </w:tcBorders>
            <w:shd w:val="clear" w:color="auto" w:fill="FFE3E3"/>
            <w:tcMar>
              <w:top w:w="40" w:type="dxa"/>
              <w:left w:w="29" w:type="dxa"/>
              <w:bottom w:w="40" w:type="dxa"/>
              <w:right w:w="29" w:type="dxa"/>
            </w:tcMar>
            <w:vAlign w:val="center"/>
          </w:tcPr>
          <w:p w14:paraId="45EBE3BC" w14:textId="77777777" w:rsidR="00997FC0" w:rsidRPr="00082CE7" w:rsidRDefault="00997FC0" w:rsidP="00E3392E">
            <w:pPr>
              <w:jc w:val="center"/>
              <w:rPr>
                <w:rFonts w:ascii="Work Sans" w:hAnsi="Work Sans"/>
                <w:sz w:val="16"/>
                <w:szCs w:val="16"/>
              </w:rPr>
            </w:pPr>
            <w:r w:rsidRPr="00082CE7">
              <w:rPr>
                <w:rFonts w:ascii="Work Sans" w:hAnsi="Work Sans"/>
                <w:b/>
                <w:bCs/>
                <w:color w:val="000000" w:themeColor="text1"/>
                <w:sz w:val="16"/>
                <w:szCs w:val="16"/>
              </w:rPr>
              <w:t>CDM Relevance</w:t>
            </w:r>
          </w:p>
        </w:tc>
      </w:tr>
      <w:tr w:rsidR="00997FC0" w:rsidRPr="00082CE7" w14:paraId="7BD4649A" w14:textId="77777777" w:rsidTr="00E3392E">
        <w:trPr>
          <w:trHeight w:val="391"/>
        </w:trPr>
        <w:tc>
          <w:tcPr>
            <w:tcW w:w="1619" w:type="dxa"/>
            <w:tcBorders>
              <w:top w:val="single" w:sz="1" w:space="0" w:color="CCCCCC"/>
              <w:left w:val="single" w:sz="1" w:space="0" w:color="CCCCCC"/>
              <w:bottom w:val="single" w:sz="1" w:space="0" w:color="CCCCCC"/>
              <w:right w:val="single" w:sz="1" w:space="0" w:color="CCCCCC"/>
            </w:tcBorders>
            <w:shd w:val="clear" w:color="auto" w:fill="032340"/>
            <w:tcMar>
              <w:top w:w="60" w:type="dxa"/>
              <w:left w:w="86" w:type="dxa"/>
              <w:bottom w:w="60" w:type="dxa"/>
              <w:right w:w="0" w:type="dxa"/>
            </w:tcMar>
            <w:vAlign w:val="center"/>
          </w:tcPr>
          <w:p w14:paraId="7BBD4175" w14:textId="77777777" w:rsidR="00997FC0" w:rsidRPr="00082CE7" w:rsidRDefault="00997FC0" w:rsidP="00E3392E">
            <w:pPr>
              <w:rPr>
                <w:rFonts w:ascii="Work Sans" w:hAnsi="Work Sans"/>
                <w:sz w:val="16"/>
                <w:szCs w:val="16"/>
              </w:rPr>
            </w:pPr>
            <w:r w:rsidRPr="00082CE7">
              <w:rPr>
                <w:rFonts w:ascii="Work Sans" w:hAnsi="Work Sans"/>
                <w:b/>
                <w:bCs/>
                <w:sz w:val="16"/>
                <w:szCs w:val="16"/>
              </w:rPr>
              <w:t>Investment Banking &amp; Markets</w:t>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6852A21" w14:textId="77777777" w:rsidR="00997FC0" w:rsidRPr="00082CE7" w:rsidRDefault="00997FC0" w:rsidP="00E3392E">
            <w:pPr>
              <w:jc w:val="center"/>
              <w:rPr>
                <w:rFonts w:ascii="Work Sans" w:hAnsi="Work Sans"/>
                <w:sz w:val="16"/>
                <w:szCs w:val="16"/>
              </w:rPr>
            </w:pPr>
            <w:r w:rsidRPr="00082CE7">
              <w:rPr>
                <w:rFonts w:ascii="Work Sans" w:hAnsi="Work Sans"/>
                <w:sz w:val="16"/>
                <w:szCs w:val="16"/>
              </w:rPr>
              <w:t>40%</w:t>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DADFAF2" w14:textId="77777777" w:rsidR="00997FC0" w:rsidRPr="00082CE7" w:rsidRDefault="00997FC0" w:rsidP="00E3392E">
            <w:pPr>
              <w:jc w:val="center"/>
              <w:rPr>
                <w:rFonts w:ascii="Work Sans" w:hAnsi="Work Sans"/>
                <w:sz w:val="16"/>
                <w:szCs w:val="16"/>
              </w:rPr>
            </w:pPr>
            <w:r w:rsidRPr="00082CE7">
              <w:rPr>
                <w:rFonts w:ascii="Work Sans" w:hAnsi="Work Sans"/>
                <w:sz w:val="16"/>
                <w:szCs w:val="16"/>
              </w:rPr>
              <w:t>65%</w:t>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680F046" w14:textId="77777777" w:rsidR="00997FC0" w:rsidRPr="00082CE7" w:rsidRDefault="00997FC0" w:rsidP="00E3392E">
            <w:pPr>
              <w:jc w:val="center"/>
              <w:rPr>
                <w:rFonts w:ascii="Work Sans" w:hAnsi="Work Sans"/>
                <w:sz w:val="16"/>
                <w:szCs w:val="16"/>
              </w:rPr>
            </w:pPr>
            <w:r w:rsidRPr="00082CE7">
              <w:rPr>
                <w:rFonts w:ascii="Work Sans" w:hAnsi="Work Sans"/>
                <w:sz w:val="16"/>
                <w:szCs w:val="16"/>
              </w:rPr>
              <w:t>45%</w:t>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B8EAFE1" w14:textId="77777777" w:rsidR="00997FC0" w:rsidRPr="00082CE7" w:rsidRDefault="00997FC0" w:rsidP="00E3392E">
            <w:pPr>
              <w:jc w:val="center"/>
              <w:rPr>
                <w:rFonts w:ascii="Work Sans" w:hAnsi="Work Sans"/>
                <w:sz w:val="16"/>
                <w:szCs w:val="16"/>
              </w:rPr>
            </w:pPr>
            <w:commentRangeStart w:id="4"/>
            <w:r w:rsidRPr="00082CE7">
              <w:rPr>
                <w:rFonts w:ascii="Work Sans" w:hAnsi="Work Sans"/>
                <w:sz w:val="16"/>
                <w:szCs w:val="16"/>
              </w:rPr>
              <w:t>32%</w:t>
            </w:r>
            <w:commentRangeEnd w:id="4"/>
            <w:r w:rsidR="00F31E90">
              <w:rPr>
                <w:rStyle w:val="CommentReference"/>
              </w:rPr>
              <w:commentReference w:id="4"/>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BFE2DB8" w14:textId="77777777" w:rsidR="00997FC0" w:rsidRPr="00082CE7" w:rsidRDefault="00997FC0" w:rsidP="00E3392E">
            <w:pPr>
              <w:jc w:val="center"/>
              <w:rPr>
                <w:rFonts w:ascii="Work Sans" w:hAnsi="Work Sans"/>
                <w:sz w:val="16"/>
                <w:szCs w:val="16"/>
              </w:rPr>
            </w:pPr>
            <w:r w:rsidRPr="00082CE7">
              <w:rPr>
                <w:rFonts w:ascii="Work Sans" w:hAnsi="Work Sans"/>
                <w:sz w:val="16"/>
                <w:szCs w:val="16"/>
              </w:rPr>
              <w:t>—</w:t>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12CC3A9" w14:textId="77777777" w:rsidR="00997FC0" w:rsidRPr="00082CE7" w:rsidRDefault="00997FC0" w:rsidP="00E3392E">
            <w:pPr>
              <w:jc w:val="center"/>
              <w:rPr>
                <w:rFonts w:ascii="Work Sans" w:hAnsi="Work Sans"/>
                <w:sz w:val="16"/>
                <w:szCs w:val="16"/>
              </w:rPr>
            </w:pPr>
            <w:r w:rsidRPr="00082CE7">
              <w:rPr>
                <w:rFonts w:ascii="Work Sans" w:hAnsi="Work Sans"/>
                <w:sz w:val="16"/>
                <w:szCs w:val="16"/>
              </w:rPr>
              <w:t>—</w:t>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D5AFFBD" w14:textId="77777777" w:rsidR="00997FC0" w:rsidRPr="00082CE7" w:rsidRDefault="00997FC0" w:rsidP="00E3392E">
            <w:pPr>
              <w:jc w:val="center"/>
              <w:rPr>
                <w:rFonts w:ascii="Work Sans" w:hAnsi="Work Sans"/>
                <w:sz w:val="16"/>
                <w:szCs w:val="16"/>
              </w:rPr>
            </w:pPr>
            <w:r w:rsidRPr="00082CE7">
              <w:rPr>
                <w:rFonts w:ascii="Work Sans" w:hAnsi="Work Sans"/>
                <w:sz w:val="16"/>
                <w:szCs w:val="16"/>
              </w:rPr>
              <w:t>20%</w:t>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711CB3B" w14:textId="77777777" w:rsidR="00997FC0" w:rsidRPr="00082CE7" w:rsidRDefault="00997FC0" w:rsidP="00E3392E">
            <w:pPr>
              <w:jc w:val="center"/>
              <w:rPr>
                <w:rFonts w:ascii="Work Sans" w:hAnsi="Work Sans"/>
                <w:sz w:val="16"/>
                <w:szCs w:val="16"/>
              </w:rPr>
            </w:pPr>
            <w:r w:rsidRPr="00082CE7">
              <w:rPr>
                <w:rFonts w:ascii="Work Sans" w:hAnsi="Work Sans"/>
                <w:sz w:val="16"/>
                <w:szCs w:val="16"/>
              </w:rPr>
              <w:t>24%</w:t>
            </w:r>
          </w:p>
        </w:tc>
        <w:tc>
          <w:tcPr>
            <w:tcW w:w="900" w:type="dxa"/>
            <w:tcBorders>
              <w:top w:val="single" w:sz="1" w:space="0" w:color="CCCCCC"/>
              <w:left w:val="single" w:sz="1" w:space="0" w:color="CCCCCC"/>
              <w:bottom w:val="single" w:sz="1" w:space="0" w:color="CCCCCC"/>
              <w:right w:val="single" w:sz="1" w:space="0" w:color="CCCCCC"/>
            </w:tcBorders>
            <w:shd w:val="clear" w:color="auto" w:fill="FFE3E3"/>
            <w:tcMar>
              <w:top w:w="40" w:type="dxa"/>
              <w:left w:w="80" w:type="dxa"/>
              <w:bottom w:w="40" w:type="dxa"/>
              <w:right w:w="80" w:type="dxa"/>
            </w:tcMar>
            <w:vAlign w:val="center"/>
          </w:tcPr>
          <w:p w14:paraId="40AE5A8B" w14:textId="77777777" w:rsidR="00997FC0" w:rsidRPr="00082CE7" w:rsidRDefault="00997FC0" w:rsidP="00E3392E">
            <w:pPr>
              <w:jc w:val="center"/>
              <w:rPr>
                <w:rFonts w:ascii="Work Sans" w:hAnsi="Work Sans"/>
                <w:sz w:val="16"/>
                <w:szCs w:val="16"/>
              </w:rPr>
            </w:pPr>
            <w:r w:rsidRPr="00082CE7">
              <w:rPr>
                <w:rFonts w:ascii="Work Sans" w:hAnsi="Work Sans"/>
                <w:b/>
                <w:bCs/>
                <w:sz w:val="16"/>
                <w:szCs w:val="16"/>
              </w:rPr>
              <w:t>Very High</w:t>
            </w:r>
          </w:p>
        </w:tc>
      </w:tr>
      <w:tr w:rsidR="00997FC0" w:rsidRPr="00082CE7" w14:paraId="0CDCBB7D" w14:textId="77777777" w:rsidTr="00E3392E">
        <w:trPr>
          <w:trHeight w:val="391"/>
        </w:trPr>
        <w:tc>
          <w:tcPr>
            <w:tcW w:w="1619" w:type="dxa"/>
            <w:tcBorders>
              <w:top w:val="single" w:sz="1" w:space="0" w:color="CCCCCC"/>
              <w:left w:val="single" w:sz="1" w:space="0" w:color="CCCCCC"/>
              <w:bottom w:val="single" w:sz="1" w:space="0" w:color="CCCCCC"/>
              <w:right w:val="single" w:sz="1" w:space="0" w:color="CCCCCC"/>
            </w:tcBorders>
            <w:shd w:val="clear" w:color="auto" w:fill="032340"/>
            <w:tcMar>
              <w:top w:w="60" w:type="dxa"/>
              <w:left w:w="86" w:type="dxa"/>
              <w:bottom w:w="60" w:type="dxa"/>
              <w:right w:w="0" w:type="dxa"/>
            </w:tcMar>
            <w:vAlign w:val="center"/>
          </w:tcPr>
          <w:p w14:paraId="1E246D8B" w14:textId="77777777" w:rsidR="00997FC0" w:rsidRPr="00082CE7" w:rsidRDefault="00997FC0" w:rsidP="00E3392E">
            <w:pPr>
              <w:rPr>
                <w:rFonts w:ascii="Work Sans" w:hAnsi="Work Sans"/>
                <w:sz w:val="16"/>
                <w:szCs w:val="16"/>
              </w:rPr>
            </w:pPr>
            <w:r w:rsidRPr="00082CE7">
              <w:rPr>
                <w:rFonts w:ascii="Work Sans" w:hAnsi="Work Sans"/>
                <w:b/>
                <w:bCs/>
                <w:sz w:val="16"/>
                <w:szCs w:val="16"/>
              </w:rPr>
              <w:t>Custody / Asset Servicing</w:t>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68B423D" w14:textId="77777777" w:rsidR="00997FC0" w:rsidRPr="00082CE7" w:rsidRDefault="00997FC0" w:rsidP="00E3392E">
            <w:pPr>
              <w:jc w:val="center"/>
              <w:rPr>
                <w:rFonts w:ascii="Work Sans" w:hAnsi="Work Sans"/>
                <w:sz w:val="16"/>
                <w:szCs w:val="16"/>
              </w:rPr>
            </w:pPr>
            <w:r w:rsidRPr="00082CE7">
              <w:rPr>
                <w:rFonts w:ascii="Work Sans" w:hAnsi="Work Sans"/>
                <w:sz w:val="16"/>
                <w:szCs w:val="16"/>
              </w:rPr>
              <w:t>—</w:t>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77908B5" w14:textId="77777777" w:rsidR="00997FC0" w:rsidRPr="00082CE7" w:rsidRDefault="00997FC0" w:rsidP="00E3392E">
            <w:pPr>
              <w:jc w:val="center"/>
              <w:rPr>
                <w:rFonts w:ascii="Work Sans" w:hAnsi="Work Sans"/>
                <w:sz w:val="16"/>
                <w:szCs w:val="16"/>
              </w:rPr>
            </w:pPr>
            <w:r w:rsidRPr="00082CE7">
              <w:rPr>
                <w:rFonts w:ascii="Work Sans" w:hAnsi="Work Sans"/>
                <w:sz w:val="16"/>
                <w:szCs w:val="16"/>
              </w:rPr>
              <w:t>—</w:t>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94FECFB" w14:textId="77777777" w:rsidR="00997FC0" w:rsidRPr="00082CE7" w:rsidRDefault="00997FC0" w:rsidP="00E3392E">
            <w:pPr>
              <w:jc w:val="center"/>
              <w:rPr>
                <w:rFonts w:ascii="Work Sans" w:hAnsi="Work Sans"/>
                <w:sz w:val="16"/>
                <w:szCs w:val="16"/>
              </w:rPr>
            </w:pPr>
            <w:r w:rsidRPr="00082CE7">
              <w:rPr>
                <w:rFonts w:ascii="Work Sans" w:hAnsi="Work Sans"/>
                <w:sz w:val="16"/>
                <w:szCs w:val="16"/>
              </w:rPr>
              <w:t>—</w:t>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A43423B" w14:textId="77777777" w:rsidR="00997FC0" w:rsidRPr="00082CE7" w:rsidRDefault="00997FC0" w:rsidP="00E3392E">
            <w:pPr>
              <w:jc w:val="center"/>
              <w:rPr>
                <w:rFonts w:ascii="Work Sans" w:hAnsi="Work Sans"/>
                <w:sz w:val="16"/>
                <w:szCs w:val="16"/>
              </w:rPr>
            </w:pPr>
            <w:r w:rsidRPr="00082CE7">
              <w:rPr>
                <w:rFonts w:ascii="Work Sans" w:hAnsi="Work Sans"/>
                <w:sz w:val="16"/>
                <w:szCs w:val="16"/>
              </w:rPr>
              <w:t>6%</w:t>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150C499" w14:textId="77777777" w:rsidR="00997FC0" w:rsidRPr="00082CE7" w:rsidRDefault="00997FC0" w:rsidP="00E3392E">
            <w:pPr>
              <w:jc w:val="center"/>
              <w:rPr>
                <w:rFonts w:ascii="Work Sans" w:hAnsi="Work Sans"/>
                <w:sz w:val="16"/>
                <w:szCs w:val="16"/>
              </w:rPr>
            </w:pPr>
            <w:r w:rsidRPr="00082CE7">
              <w:rPr>
                <w:rFonts w:ascii="Work Sans" w:hAnsi="Work Sans"/>
                <w:sz w:val="16"/>
                <w:szCs w:val="16"/>
              </w:rPr>
              <w:t>82%</w:t>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2930265" w14:textId="77777777" w:rsidR="00997FC0" w:rsidRPr="00082CE7" w:rsidRDefault="00997FC0" w:rsidP="00E3392E">
            <w:pPr>
              <w:jc w:val="center"/>
              <w:rPr>
                <w:rFonts w:ascii="Work Sans" w:hAnsi="Work Sans"/>
                <w:sz w:val="16"/>
                <w:szCs w:val="16"/>
              </w:rPr>
            </w:pPr>
            <w:r w:rsidRPr="00082CE7">
              <w:rPr>
                <w:rFonts w:ascii="Work Sans" w:hAnsi="Work Sans"/>
                <w:sz w:val="16"/>
                <w:szCs w:val="16"/>
              </w:rPr>
              <w:t>82%</w:t>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CCF83E1" w14:textId="77777777" w:rsidR="00997FC0" w:rsidRPr="00082CE7" w:rsidRDefault="00997FC0" w:rsidP="00E3392E">
            <w:pPr>
              <w:jc w:val="center"/>
              <w:rPr>
                <w:rFonts w:ascii="Work Sans" w:hAnsi="Work Sans"/>
                <w:sz w:val="16"/>
                <w:szCs w:val="16"/>
              </w:rPr>
            </w:pPr>
            <w:r w:rsidRPr="00082CE7">
              <w:rPr>
                <w:rFonts w:ascii="Work Sans" w:hAnsi="Work Sans"/>
                <w:sz w:val="16"/>
                <w:szCs w:val="16"/>
              </w:rPr>
              <w:t>—</w:t>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0032882" w14:textId="77777777" w:rsidR="00997FC0" w:rsidRPr="00082CE7" w:rsidRDefault="00997FC0" w:rsidP="00E3392E">
            <w:pPr>
              <w:jc w:val="center"/>
              <w:rPr>
                <w:rFonts w:ascii="Work Sans" w:hAnsi="Work Sans"/>
                <w:sz w:val="16"/>
                <w:szCs w:val="16"/>
              </w:rPr>
            </w:pPr>
            <w:r w:rsidRPr="00082CE7">
              <w:rPr>
                <w:rFonts w:ascii="Work Sans" w:hAnsi="Work Sans"/>
                <w:sz w:val="16"/>
                <w:szCs w:val="16"/>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E3E3"/>
            <w:tcMar>
              <w:top w:w="40" w:type="dxa"/>
              <w:left w:w="0" w:type="dxa"/>
              <w:bottom w:w="40" w:type="dxa"/>
              <w:right w:w="0" w:type="dxa"/>
            </w:tcMar>
            <w:vAlign w:val="center"/>
          </w:tcPr>
          <w:p w14:paraId="3435BE92" w14:textId="77777777" w:rsidR="00997FC0" w:rsidRPr="00082CE7" w:rsidRDefault="00997FC0" w:rsidP="00E3392E">
            <w:pPr>
              <w:jc w:val="center"/>
              <w:rPr>
                <w:rFonts w:ascii="Work Sans" w:hAnsi="Work Sans"/>
                <w:sz w:val="16"/>
                <w:szCs w:val="16"/>
              </w:rPr>
            </w:pPr>
            <w:r w:rsidRPr="00082CE7">
              <w:rPr>
                <w:rFonts w:ascii="Work Sans" w:hAnsi="Work Sans"/>
                <w:b/>
                <w:bCs/>
                <w:sz w:val="16"/>
                <w:szCs w:val="16"/>
              </w:rPr>
              <w:t>Low-Moderate</w:t>
            </w:r>
          </w:p>
        </w:tc>
      </w:tr>
      <w:tr w:rsidR="00997FC0" w:rsidRPr="00082CE7" w14:paraId="15C6781B" w14:textId="77777777" w:rsidTr="00E3392E">
        <w:trPr>
          <w:trHeight w:val="391"/>
        </w:trPr>
        <w:tc>
          <w:tcPr>
            <w:tcW w:w="1619" w:type="dxa"/>
            <w:tcBorders>
              <w:top w:val="single" w:sz="1" w:space="0" w:color="CCCCCC"/>
              <w:left w:val="single" w:sz="1" w:space="0" w:color="CCCCCC"/>
              <w:bottom w:val="single" w:sz="1" w:space="0" w:color="CCCCCC"/>
              <w:right w:val="single" w:sz="1" w:space="0" w:color="CCCCCC"/>
            </w:tcBorders>
            <w:shd w:val="clear" w:color="auto" w:fill="032340"/>
            <w:tcMar>
              <w:top w:w="60" w:type="dxa"/>
              <w:left w:w="86" w:type="dxa"/>
              <w:bottom w:w="60" w:type="dxa"/>
              <w:right w:w="0" w:type="dxa"/>
            </w:tcMar>
            <w:vAlign w:val="center"/>
          </w:tcPr>
          <w:p w14:paraId="0B1152BA" w14:textId="77777777" w:rsidR="00997FC0" w:rsidRPr="00082CE7" w:rsidRDefault="00997FC0" w:rsidP="00E3392E">
            <w:pPr>
              <w:rPr>
                <w:rFonts w:ascii="Work Sans" w:hAnsi="Work Sans"/>
                <w:sz w:val="16"/>
                <w:szCs w:val="16"/>
              </w:rPr>
            </w:pPr>
            <w:r w:rsidRPr="00082CE7">
              <w:rPr>
                <w:rFonts w:ascii="Work Sans" w:hAnsi="Work Sans"/>
                <w:b/>
                <w:bCs/>
                <w:sz w:val="16"/>
                <w:szCs w:val="16"/>
              </w:rPr>
              <w:t>Wealth / Asset Management</w:t>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29F5268" w14:textId="77777777" w:rsidR="00997FC0" w:rsidRPr="00082CE7" w:rsidRDefault="00997FC0" w:rsidP="00E3392E">
            <w:pPr>
              <w:jc w:val="center"/>
              <w:rPr>
                <w:rFonts w:ascii="Work Sans" w:hAnsi="Work Sans"/>
                <w:sz w:val="16"/>
                <w:szCs w:val="16"/>
              </w:rPr>
            </w:pPr>
            <w:r w:rsidRPr="00082CE7">
              <w:rPr>
                <w:rFonts w:ascii="Work Sans" w:hAnsi="Work Sans"/>
                <w:sz w:val="16"/>
                <w:szCs w:val="16"/>
              </w:rPr>
              <w:t>10%</w:t>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5293966" w14:textId="77777777" w:rsidR="00997FC0" w:rsidRPr="00082CE7" w:rsidRDefault="00997FC0" w:rsidP="00E3392E">
            <w:pPr>
              <w:jc w:val="center"/>
              <w:rPr>
                <w:rFonts w:ascii="Work Sans" w:hAnsi="Work Sans"/>
                <w:sz w:val="16"/>
                <w:szCs w:val="16"/>
              </w:rPr>
            </w:pPr>
            <w:r w:rsidRPr="00082CE7">
              <w:rPr>
                <w:rFonts w:ascii="Work Sans" w:hAnsi="Work Sans"/>
                <w:sz w:val="16"/>
                <w:szCs w:val="16"/>
              </w:rPr>
              <w:t>30%</w:t>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98BBAD2" w14:textId="77777777" w:rsidR="00997FC0" w:rsidRPr="00082CE7" w:rsidRDefault="00997FC0" w:rsidP="00E3392E">
            <w:pPr>
              <w:jc w:val="center"/>
              <w:rPr>
                <w:rFonts w:ascii="Work Sans" w:hAnsi="Work Sans"/>
                <w:sz w:val="16"/>
                <w:szCs w:val="16"/>
              </w:rPr>
            </w:pPr>
            <w:r w:rsidRPr="00082CE7">
              <w:rPr>
                <w:rFonts w:ascii="Work Sans" w:hAnsi="Work Sans"/>
                <w:sz w:val="16"/>
                <w:szCs w:val="16"/>
              </w:rPr>
              <w:t>55%</w:t>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08AF00B" w14:textId="77777777" w:rsidR="00997FC0" w:rsidRPr="00082CE7" w:rsidRDefault="00997FC0" w:rsidP="00E3392E">
            <w:pPr>
              <w:jc w:val="center"/>
              <w:rPr>
                <w:rFonts w:ascii="Work Sans" w:hAnsi="Work Sans"/>
                <w:sz w:val="16"/>
                <w:szCs w:val="16"/>
              </w:rPr>
            </w:pPr>
            <w:r w:rsidRPr="00082CE7">
              <w:rPr>
                <w:rFonts w:ascii="Work Sans" w:hAnsi="Work Sans"/>
                <w:sz w:val="16"/>
                <w:szCs w:val="16"/>
              </w:rPr>
              <w:t>10%</w:t>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D27A319" w14:textId="77777777" w:rsidR="00997FC0" w:rsidRPr="00082CE7" w:rsidRDefault="00997FC0" w:rsidP="00E3392E">
            <w:pPr>
              <w:jc w:val="center"/>
              <w:rPr>
                <w:rFonts w:ascii="Work Sans" w:hAnsi="Work Sans"/>
                <w:sz w:val="16"/>
                <w:szCs w:val="16"/>
              </w:rPr>
            </w:pPr>
            <w:r w:rsidRPr="00082CE7">
              <w:rPr>
                <w:rFonts w:ascii="Work Sans" w:hAnsi="Work Sans"/>
                <w:sz w:val="16"/>
                <w:szCs w:val="16"/>
              </w:rPr>
              <w:t>18%</w:t>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4A8CC66" w14:textId="77777777" w:rsidR="00997FC0" w:rsidRPr="00082CE7" w:rsidRDefault="00997FC0" w:rsidP="00E3392E">
            <w:pPr>
              <w:jc w:val="center"/>
              <w:rPr>
                <w:rFonts w:ascii="Work Sans" w:hAnsi="Work Sans"/>
                <w:sz w:val="16"/>
                <w:szCs w:val="16"/>
              </w:rPr>
            </w:pPr>
            <w:r w:rsidRPr="00082CE7">
              <w:rPr>
                <w:rFonts w:ascii="Work Sans" w:hAnsi="Work Sans"/>
                <w:sz w:val="16"/>
                <w:szCs w:val="16"/>
              </w:rPr>
              <w:t>18%</w:t>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AB6487C" w14:textId="77777777" w:rsidR="00997FC0" w:rsidRPr="00082CE7" w:rsidRDefault="00997FC0" w:rsidP="00E3392E">
            <w:pPr>
              <w:jc w:val="center"/>
              <w:rPr>
                <w:rFonts w:ascii="Work Sans" w:hAnsi="Work Sans"/>
                <w:sz w:val="16"/>
                <w:szCs w:val="16"/>
              </w:rPr>
            </w:pPr>
            <w:r w:rsidRPr="00082CE7">
              <w:rPr>
                <w:rFonts w:ascii="Work Sans" w:hAnsi="Work Sans"/>
                <w:sz w:val="16"/>
                <w:szCs w:val="16"/>
              </w:rPr>
              <w:t>20%</w:t>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E07984E" w14:textId="77777777" w:rsidR="00997FC0" w:rsidRPr="00082CE7" w:rsidRDefault="00997FC0" w:rsidP="00E3392E">
            <w:pPr>
              <w:jc w:val="center"/>
              <w:rPr>
                <w:rFonts w:ascii="Work Sans" w:hAnsi="Work Sans"/>
                <w:sz w:val="16"/>
                <w:szCs w:val="16"/>
              </w:rPr>
            </w:pPr>
            <w:r w:rsidRPr="00082CE7">
              <w:rPr>
                <w:rFonts w:ascii="Work Sans" w:hAnsi="Work Sans"/>
                <w:sz w:val="16"/>
                <w:szCs w:val="16"/>
              </w:rPr>
              <w:t>19%</w:t>
            </w:r>
          </w:p>
        </w:tc>
        <w:tc>
          <w:tcPr>
            <w:tcW w:w="900" w:type="dxa"/>
            <w:tcBorders>
              <w:top w:val="single" w:sz="1" w:space="0" w:color="CCCCCC"/>
              <w:left w:val="single" w:sz="1" w:space="0" w:color="CCCCCC"/>
              <w:bottom w:val="single" w:sz="1" w:space="0" w:color="CCCCCC"/>
              <w:right w:val="single" w:sz="1" w:space="0" w:color="CCCCCC"/>
            </w:tcBorders>
            <w:shd w:val="clear" w:color="auto" w:fill="FFE3E3"/>
            <w:tcMar>
              <w:top w:w="40" w:type="dxa"/>
              <w:left w:w="0" w:type="dxa"/>
              <w:bottom w:w="40" w:type="dxa"/>
              <w:right w:w="0" w:type="dxa"/>
            </w:tcMar>
            <w:vAlign w:val="center"/>
          </w:tcPr>
          <w:p w14:paraId="046AF1AF" w14:textId="77777777" w:rsidR="00997FC0" w:rsidRPr="00082CE7" w:rsidRDefault="00997FC0" w:rsidP="00E3392E">
            <w:pPr>
              <w:jc w:val="center"/>
              <w:rPr>
                <w:rFonts w:ascii="Work Sans" w:hAnsi="Work Sans"/>
                <w:sz w:val="16"/>
                <w:szCs w:val="16"/>
              </w:rPr>
            </w:pPr>
            <w:r w:rsidRPr="00082CE7">
              <w:rPr>
                <w:rFonts w:ascii="Work Sans" w:hAnsi="Work Sans"/>
                <w:b/>
                <w:bCs/>
                <w:sz w:val="16"/>
                <w:szCs w:val="16"/>
              </w:rPr>
              <w:t>Low-Moderate</w:t>
            </w:r>
          </w:p>
        </w:tc>
      </w:tr>
      <w:tr w:rsidR="00997FC0" w:rsidRPr="00082CE7" w14:paraId="2D7EC1C8" w14:textId="77777777" w:rsidTr="00E3392E">
        <w:trPr>
          <w:trHeight w:val="391"/>
        </w:trPr>
        <w:tc>
          <w:tcPr>
            <w:tcW w:w="1619" w:type="dxa"/>
            <w:tcBorders>
              <w:top w:val="single" w:sz="1" w:space="0" w:color="CCCCCC"/>
              <w:left w:val="single" w:sz="1" w:space="0" w:color="CCCCCC"/>
              <w:bottom w:val="single" w:sz="1" w:space="0" w:color="CCCCCC"/>
              <w:right w:val="single" w:sz="1" w:space="0" w:color="CCCCCC"/>
            </w:tcBorders>
            <w:shd w:val="clear" w:color="auto" w:fill="032340"/>
            <w:tcMar>
              <w:top w:w="60" w:type="dxa"/>
              <w:left w:w="86" w:type="dxa"/>
              <w:bottom w:w="60" w:type="dxa"/>
              <w:right w:w="0" w:type="dxa"/>
            </w:tcMar>
            <w:vAlign w:val="center"/>
          </w:tcPr>
          <w:p w14:paraId="79FA59C1" w14:textId="77777777" w:rsidR="00997FC0" w:rsidRPr="00082CE7" w:rsidRDefault="00997FC0" w:rsidP="00E3392E">
            <w:pPr>
              <w:rPr>
                <w:rFonts w:ascii="Work Sans" w:hAnsi="Work Sans"/>
                <w:sz w:val="16"/>
                <w:szCs w:val="16"/>
              </w:rPr>
            </w:pPr>
            <w:r w:rsidRPr="00082CE7">
              <w:rPr>
                <w:rFonts w:ascii="Work Sans" w:hAnsi="Work Sans"/>
                <w:b/>
                <w:bCs/>
                <w:sz w:val="16"/>
                <w:szCs w:val="16"/>
              </w:rPr>
              <w:t>Commercial Banking</w:t>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45238ED" w14:textId="77777777" w:rsidR="00997FC0" w:rsidRPr="00082CE7" w:rsidRDefault="00997FC0" w:rsidP="00E3392E">
            <w:pPr>
              <w:jc w:val="center"/>
              <w:rPr>
                <w:rFonts w:ascii="Work Sans" w:hAnsi="Work Sans"/>
                <w:sz w:val="16"/>
                <w:szCs w:val="16"/>
              </w:rPr>
            </w:pPr>
            <w:r w:rsidRPr="00082CE7">
              <w:rPr>
                <w:rFonts w:ascii="Work Sans" w:hAnsi="Work Sans"/>
                <w:sz w:val="16"/>
                <w:szCs w:val="16"/>
              </w:rPr>
              <w:t>—</w:t>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15EA0A9" w14:textId="77777777" w:rsidR="00997FC0" w:rsidRPr="00082CE7" w:rsidRDefault="00997FC0" w:rsidP="00E3392E">
            <w:pPr>
              <w:jc w:val="center"/>
              <w:rPr>
                <w:rFonts w:ascii="Work Sans" w:hAnsi="Work Sans"/>
                <w:sz w:val="16"/>
                <w:szCs w:val="16"/>
              </w:rPr>
            </w:pPr>
            <w:r w:rsidRPr="00082CE7">
              <w:rPr>
                <w:rFonts w:ascii="Work Sans" w:hAnsi="Work Sans"/>
                <w:sz w:val="16"/>
                <w:szCs w:val="16"/>
              </w:rPr>
              <w:t>—</w:t>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6462E97" w14:textId="77777777" w:rsidR="00997FC0" w:rsidRPr="00082CE7" w:rsidRDefault="00997FC0" w:rsidP="00E3392E">
            <w:pPr>
              <w:jc w:val="center"/>
              <w:rPr>
                <w:rFonts w:ascii="Work Sans" w:hAnsi="Work Sans"/>
                <w:sz w:val="16"/>
                <w:szCs w:val="16"/>
              </w:rPr>
            </w:pPr>
            <w:r w:rsidRPr="00082CE7">
              <w:rPr>
                <w:rFonts w:ascii="Work Sans" w:hAnsi="Work Sans"/>
                <w:sz w:val="16"/>
                <w:szCs w:val="16"/>
              </w:rPr>
              <w:t>—</w:t>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D761D5E" w14:textId="77777777" w:rsidR="00997FC0" w:rsidRPr="00082CE7" w:rsidRDefault="00997FC0" w:rsidP="00E3392E">
            <w:pPr>
              <w:jc w:val="center"/>
              <w:rPr>
                <w:rFonts w:ascii="Work Sans" w:hAnsi="Work Sans"/>
                <w:sz w:val="16"/>
                <w:szCs w:val="16"/>
              </w:rPr>
            </w:pPr>
            <w:r w:rsidRPr="00082CE7">
              <w:rPr>
                <w:rFonts w:ascii="Work Sans" w:hAnsi="Work Sans"/>
                <w:sz w:val="16"/>
                <w:szCs w:val="16"/>
              </w:rPr>
              <w:t>—</w:t>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7514FB3" w14:textId="77777777" w:rsidR="00997FC0" w:rsidRPr="00082CE7" w:rsidRDefault="00997FC0" w:rsidP="00E3392E">
            <w:pPr>
              <w:jc w:val="center"/>
              <w:rPr>
                <w:rFonts w:ascii="Work Sans" w:hAnsi="Work Sans"/>
                <w:sz w:val="16"/>
                <w:szCs w:val="16"/>
              </w:rPr>
            </w:pPr>
            <w:r w:rsidRPr="00082CE7">
              <w:rPr>
                <w:rFonts w:ascii="Work Sans" w:hAnsi="Work Sans"/>
                <w:sz w:val="16"/>
                <w:szCs w:val="16"/>
              </w:rPr>
              <w:t>—</w:t>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56B7AD7" w14:textId="77777777" w:rsidR="00997FC0" w:rsidRPr="00082CE7" w:rsidRDefault="00997FC0" w:rsidP="00E3392E">
            <w:pPr>
              <w:jc w:val="center"/>
              <w:rPr>
                <w:rFonts w:ascii="Work Sans" w:hAnsi="Work Sans"/>
                <w:sz w:val="16"/>
                <w:szCs w:val="16"/>
              </w:rPr>
            </w:pPr>
            <w:r w:rsidRPr="00082CE7">
              <w:rPr>
                <w:rFonts w:ascii="Work Sans" w:hAnsi="Work Sans"/>
                <w:sz w:val="16"/>
                <w:szCs w:val="16"/>
              </w:rPr>
              <w:t>—</w:t>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7546AC3" w14:textId="77777777" w:rsidR="00997FC0" w:rsidRPr="00082CE7" w:rsidRDefault="00997FC0" w:rsidP="00E3392E">
            <w:pPr>
              <w:jc w:val="center"/>
              <w:rPr>
                <w:rFonts w:ascii="Work Sans" w:hAnsi="Work Sans"/>
                <w:sz w:val="16"/>
                <w:szCs w:val="16"/>
              </w:rPr>
            </w:pPr>
            <w:r w:rsidRPr="00082CE7">
              <w:rPr>
                <w:rFonts w:ascii="Work Sans" w:hAnsi="Work Sans"/>
                <w:sz w:val="16"/>
                <w:szCs w:val="16"/>
              </w:rPr>
              <w:t>20%</w:t>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C90A0D2" w14:textId="77777777" w:rsidR="00997FC0" w:rsidRPr="00082CE7" w:rsidRDefault="00997FC0" w:rsidP="00E3392E">
            <w:pPr>
              <w:jc w:val="center"/>
              <w:rPr>
                <w:rFonts w:ascii="Work Sans" w:hAnsi="Work Sans"/>
                <w:sz w:val="16"/>
                <w:szCs w:val="16"/>
              </w:rPr>
            </w:pPr>
            <w:r w:rsidRPr="00082CE7">
              <w:rPr>
                <w:rFonts w:ascii="Work Sans" w:hAnsi="Work Sans"/>
                <w:sz w:val="16"/>
                <w:szCs w:val="16"/>
              </w:rPr>
              <w:t>15%</w:t>
            </w:r>
          </w:p>
        </w:tc>
        <w:tc>
          <w:tcPr>
            <w:tcW w:w="900" w:type="dxa"/>
            <w:tcBorders>
              <w:top w:val="single" w:sz="1" w:space="0" w:color="CCCCCC"/>
              <w:left w:val="single" w:sz="1" w:space="0" w:color="CCCCCC"/>
              <w:bottom w:val="single" w:sz="1" w:space="0" w:color="CCCCCC"/>
              <w:right w:val="single" w:sz="1" w:space="0" w:color="CCCCCC"/>
            </w:tcBorders>
            <w:shd w:val="clear" w:color="auto" w:fill="FFE3E3"/>
            <w:tcMar>
              <w:top w:w="40" w:type="dxa"/>
              <w:left w:w="80" w:type="dxa"/>
              <w:bottom w:w="40" w:type="dxa"/>
              <w:right w:w="80" w:type="dxa"/>
            </w:tcMar>
            <w:vAlign w:val="center"/>
          </w:tcPr>
          <w:p w14:paraId="437653EF" w14:textId="77777777" w:rsidR="00997FC0" w:rsidRPr="00082CE7" w:rsidRDefault="00997FC0" w:rsidP="00E3392E">
            <w:pPr>
              <w:jc w:val="center"/>
              <w:rPr>
                <w:rFonts w:ascii="Work Sans" w:hAnsi="Work Sans"/>
                <w:sz w:val="16"/>
                <w:szCs w:val="16"/>
              </w:rPr>
            </w:pPr>
            <w:r w:rsidRPr="00082CE7">
              <w:rPr>
                <w:rFonts w:ascii="Work Sans" w:hAnsi="Work Sans"/>
                <w:b/>
                <w:bCs/>
                <w:sz w:val="16"/>
                <w:szCs w:val="16"/>
              </w:rPr>
              <w:t>Low</w:t>
            </w:r>
          </w:p>
        </w:tc>
      </w:tr>
      <w:tr w:rsidR="00997FC0" w:rsidRPr="00082CE7" w14:paraId="4458AD75" w14:textId="77777777" w:rsidTr="00E3392E">
        <w:trPr>
          <w:trHeight w:val="391"/>
        </w:trPr>
        <w:tc>
          <w:tcPr>
            <w:tcW w:w="1619" w:type="dxa"/>
            <w:tcBorders>
              <w:top w:val="single" w:sz="1" w:space="0" w:color="CCCCCC"/>
              <w:left w:val="single" w:sz="1" w:space="0" w:color="CCCCCC"/>
              <w:bottom w:val="single" w:sz="1" w:space="0" w:color="CCCCCC"/>
              <w:right w:val="single" w:sz="1" w:space="0" w:color="CCCCCC"/>
            </w:tcBorders>
            <w:shd w:val="clear" w:color="auto" w:fill="032340"/>
            <w:tcMar>
              <w:top w:w="60" w:type="dxa"/>
              <w:left w:w="86" w:type="dxa"/>
              <w:bottom w:w="60" w:type="dxa"/>
              <w:right w:w="0" w:type="dxa"/>
            </w:tcMar>
            <w:vAlign w:val="center"/>
          </w:tcPr>
          <w:p w14:paraId="72DCD3D8" w14:textId="77777777" w:rsidR="00997FC0" w:rsidRPr="00082CE7" w:rsidRDefault="00997FC0" w:rsidP="00E3392E">
            <w:pPr>
              <w:rPr>
                <w:rFonts w:ascii="Work Sans" w:hAnsi="Work Sans"/>
                <w:sz w:val="16"/>
                <w:szCs w:val="16"/>
              </w:rPr>
            </w:pPr>
            <w:r w:rsidRPr="00082CE7">
              <w:rPr>
                <w:rFonts w:ascii="Work Sans" w:hAnsi="Work Sans"/>
                <w:b/>
                <w:bCs/>
                <w:sz w:val="16"/>
                <w:szCs w:val="16"/>
              </w:rPr>
              <w:t>Corporate / Other</w:t>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CB7FC88" w14:textId="77777777" w:rsidR="00997FC0" w:rsidRPr="00082CE7" w:rsidRDefault="00997FC0" w:rsidP="00E3392E">
            <w:pPr>
              <w:jc w:val="center"/>
              <w:rPr>
                <w:rFonts w:ascii="Work Sans" w:hAnsi="Work Sans"/>
                <w:sz w:val="16"/>
                <w:szCs w:val="16"/>
              </w:rPr>
            </w:pPr>
            <w:r w:rsidRPr="00082CE7">
              <w:rPr>
                <w:rFonts w:ascii="Work Sans" w:hAnsi="Work Sans"/>
                <w:sz w:val="16"/>
                <w:szCs w:val="16"/>
              </w:rPr>
              <w:t>10%</w:t>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95FB902" w14:textId="77777777" w:rsidR="00997FC0" w:rsidRPr="00082CE7" w:rsidRDefault="00997FC0" w:rsidP="00E3392E">
            <w:pPr>
              <w:jc w:val="center"/>
              <w:rPr>
                <w:rFonts w:ascii="Work Sans" w:hAnsi="Work Sans"/>
                <w:sz w:val="16"/>
                <w:szCs w:val="16"/>
              </w:rPr>
            </w:pPr>
            <w:r w:rsidRPr="00082CE7">
              <w:rPr>
                <w:rFonts w:ascii="Work Sans" w:hAnsi="Work Sans"/>
                <w:sz w:val="16"/>
                <w:szCs w:val="16"/>
              </w:rPr>
              <w:t>5%</w:t>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8496621" w14:textId="77777777" w:rsidR="00997FC0" w:rsidRPr="00082CE7" w:rsidRDefault="00997FC0" w:rsidP="00E3392E">
            <w:pPr>
              <w:jc w:val="center"/>
              <w:rPr>
                <w:rFonts w:ascii="Work Sans" w:hAnsi="Work Sans"/>
                <w:sz w:val="16"/>
                <w:szCs w:val="16"/>
              </w:rPr>
            </w:pPr>
            <w:r w:rsidRPr="00082CE7">
              <w:rPr>
                <w:rFonts w:ascii="Work Sans" w:hAnsi="Work Sans"/>
                <w:sz w:val="16"/>
                <w:szCs w:val="16"/>
              </w:rPr>
              <w:t>—</w:t>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2DFE91D" w14:textId="77777777" w:rsidR="00997FC0" w:rsidRPr="00082CE7" w:rsidRDefault="00997FC0" w:rsidP="00E3392E">
            <w:pPr>
              <w:jc w:val="center"/>
              <w:rPr>
                <w:rFonts w:ascii="Work Sans" w:hAnsi="Work Sans"/>
                <w:sz w:val="16"/>
                <w:szCs w:val="16"/>
              </w:rPr>
            </w:pPr>
            <w:r w:rsidRPr="00082CE7">
              <w:rPr>
                <w:rFonts w:ascii="Work Sans" w:hAnsi="Work Sans"/>
                <w:sz w:val="16"/>
                <w:szCs w:val="16"/>
              </w:rPr>
              <w:t>—</w:t>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2FED14F" w14:textId="77777777" w:rsidR="00997FC0" w:rsidRPr="00082CE7" w:rsidRDefault="00997FC0" w:rsidP="00E3392E">
            <w:pPr>
              <w:jc w:val="center"/>
              <w:rPr>
                <w:rFonts w:ascii="Work Sans" w:hAnsi="Work Sans"/>
                <w:sz w:val="16"/>
                <w:szCs w:val="16"/>
              </w:rPr>
            </w:pPr>
            <w:r w:rsidRPr="00082CE7">
              <w:rPr>
                <w:rFonts w:ascii="Work Sans" w:hAnsi="Work Sans"/>
                <w:sz w:val="16"/>
                <w:szCs w:val="16"/>
              </w:rPr>
              <w:t>—</w:t>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4B07A06" w14:textId="77777777" w:rsidR="00997FC0" w:rsidRPr="00082CE7" w:rsidRDefault="00997FC0" w:rsidP="00E3392E">
            <w:pPr>
              <w:jc w:val="center"/>
              <w:rPr>
                <w:rFonts w:ascii="Work Sans" w:hAnsi="Work Sans"/>
                <w:sz w:val="16"/>
                <w:szCs w:val="16"/>
              </w:rPr>
            </w:pPr>
            <w:r w:rsidRPr="00082CE7">
              <w:rPr>
                <w:rFonts w:ascii="Work Sans" w:hAnsi="Work Sans"/>
                <w:sz w:val="16"/>
                <w:szCs w:val="16"/>
              </w:rPr>
              <w:t>—</w:t>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146061B" w14:textId="77777777" w:rsidR="00997FC0" w:rsidRPr="00082CE7" w:rsidRDefault="00997FC0" w:rsidP="00E3392E">
            <w:pPr>
              <w:jc w:val="center"/>
              <w:rPr>
                <w:rFonts w:ascii="Work Sans" w:hAnsi="Work Sans"/>
                <w:sz w:val="16"/>
                <w:szCs w:val="16"/>
              </w:rPr>
            </w:pPr>
            <w:r w:rsidRPr="00082CE7">
              <w:rPr>
                <w:rFonts w:ascii="Work Sans" w:hAnsi="Work Sans"/>
                <w:sz w:val="16"/>
                <w:szCs w:val="16"/>
              </w:rPr>
              <w:t>—</w:t>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665100E" w14:textId="77777777" w:rsidR="00997FC0" w:rsidRPr="00082CE7" w:rsidRDefault="00997FC0" w:rsidP="00E3392E">
            <w:pPr>
              <w:jc w:val="center"/>
              <w:rPr>
                <w:rFonts w:ascii="Work Sans" w:hAnsi="Work Sans"/>
                <w:sz w:val="16"/>
                <w:szCs w:val="16"/>
              </w:rPr>
            </w:pPr>
            <w:r w:rsidRPr="00082CE7">
              <w:rPr>
                <w:rFonts w:ascii="Work Sans" w:hAnsi="Work Sans"/>
                <w:sz w:val="16"/>
                <w:szCs w:val="16"/>
              </w:rPr>
              <w:t>&lt;1%</w:t>
            </w:r>
          </w:p>
        </w:tc>
        <w:tc>
          <w:tcPr>
            <w:tcW w:w="900" w:type="dxa"/>
            <w:tcBorders>
              <w:top w:val="single" w:sz="1" w:space="0" w:color="CCCCCC"/>
              <w:left w:val="single" w:sz="1" w:space="0" w:color="CCCCCC"/>
              <w:bottom w:val="single" w:sz="1" w:space="0" w:color="CCCCCC"/>
              <w:right w:val="single" w:sz="1" w:space="0" w:color="CCCCCC"/>
            </w:tcBorders>
            <w:shd w:val="clear" w:color="auto" w:fill="FFE3E3"/>
            <w:tcMar>
              <w:top w:w="40" w:type="dxa"/>
              <w:left w:w="80" w:type="dxa"/>
              <w:bottom w:w="40" w:type="dxa"/>
              <w:right w:w="80" w:type="dxa"/>
            </w:tcMar>
            <w:vAlign w:val="center"/>
          </w:tcPr>
          <w:p w14:paraId="3E259F2F" w14:textId="77777777" w:rsidR="00997FC0" w:rsidRPr="00082CE7" w:rsidRDefault="00997FC0" w:rsidP="00E3392E">
            <w:pPr>
              <w:jc w:val="center"/>
              <w:rPr>
                <w:rFonts w:ascii="Work Sans" w:hAnsi="Work Sans"/>
                <w:sz w:val="16"/>
                <w:szCs w:val="16"/>
              </w:rPr>
            </w:pPr>
            <w:r w:rsidRPr="00082CE7">
              <w:rPr>
                <w:rFonts w:ascii="Work Sans" w:hAnsi="Work Sans"/>
                <w:b/>
                <w:bCs/>
                <w:sz w:val="16"/>
                <w:szCs w:val="16"/>
              </w:rPr>
              <w:t>Low</w:t>
            </w:r>
          </w:p>
        </w:tc>
      </w:tr>
      <w:tr w:rsidR="00997FC0" w:rsidRPr="00082CE7" w14:paraId="2D4C2169" w14:textId="77777777" w:rsidTr="00E3392E">
        <w:trPr>
          <w:trHeight w:val="391"/>
        </w:trPr>
        <w:tc>
          <w:tcPr>
            <w:tcW w:w="1619" w:type="dxa"/>
            <w:tcBorders>
              <w:top w:val="single" w:sz="1" w:space="0" w:color="CCCCCC"/>
              <w:left w:val="single" w:sz="1" w:space="0" w:color="CCCCCC"/>
              <w:bottom w:val="single" w:sz="1" w:space="0" w:color="CCCCCC"/>
              <w:right w:val="single" w:sz="1" w:space="0" w:color="CCCCCC"/>
            </w:tcBorders>
            <w:shd w:val="clear" w:color="auto" w:fill="032340"/>
            <w:tcMar>
              <w:top w:w="60" w:type="dxa"/>
              <w:left w:w="86" w:type="dxa"/>
              <w:bottom w:w="60" w:type="dxa"/>
              <w:right w:w="0" w:type="dxa"/>
            </w:tcMar>
            <w:vAlign w:val="center"/>
          </w:tcPr>
          <w:p w14:paraId="1903441D" w14:textId="77777777" w:rsidR="00997FC0" w:rsidRPr="00082CE7" w:rsidRDefault="00997FC0" w:rsidP="00E3392E">
            <w:pPr>
              <w:rPr>
                <w:rFonts w:ascii="Work Sans" w:hAnsi="Work Sans"/>
                <w:sz w:val="16"/>
                <w:szCs w:val="16"/>
              </w:rPr>
            </w:pPr>
            <w:r w:rsidRPr="00082CE7">
              <w:rPr>
                <w:rFonts w:ascii="Work Sans" w:hAnsi="Work Sans"/>
                <w:b/>
                <w:bCs/>
                <w:sz w:val="16"/>
                <w:szCs w:val="16"/>
              </w:rPr>
              <w:t>Consumer Banking</w:t>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D58C183" w14:textId="77777777" w:rsidR="00997FC0" w:rsidRPr="00082CE7" w:rsidRDefault="00997FC0" w:rsidP="00E3392E">
            <w:pPr>
              <w:jc w:val="center"/>
              <w:rPr>
                <w:rFonts w:ascii="Work Sans" w:hAnsi="Work Sans"/>
                <w:sz w:val="16"/>
                <w:szCs w:val="16"/>
              </w:rPr>
            </w:pPr>
            <w:r w:rsidRPr="00082CE7">
              <w:rPr>
                <w:rFonts w:ascii="Work Sans" w:hAnsi="Work Sans"/>
                <w:sz w:val="16"/>
                <w:szCs w:val="16"/>
              </w:rPr>
              <w:t>40%</w:t>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104822D" w14:textId="77777777" w:rsidR="00997FC0" w:rsidRPr="00082CE7" w:rsidRDefault="00997FC0" w:rsidP="00E3392E">
            <w:pPr>
              <w:jc w:val="center"/>
              <w:rPr>
                <w:rFonts w:ascii="Work Sans" w:hAnsi="Work Sans"/>
                <w:sz w:val="16"/>
                <w:szCs w:val="16"/>
              </w:rPr>
            </w:pPr>
            <w:r w:rsidRPr="00082CE7">
              <w:rPr>
                <w:rFonts w:ascii="Work Sans" w:hAnsi="Work Sans"/>
                <w:sz w:val="16"/>
                <w:szCs w:val="16"/>
              </w:rPr>
              <w:t>—</w:t>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502CC0A" w14:textId="77777777" w:rsidR="00997FC0" w:rsidRPr="00082CE7" w:rsidRDefault="00997FC0" w:rsidP="00E3392E">
            <w:pPr>
              <w:jc w:val="center"/>
              <w:rPr>
                <w:rFonts w:ascii="Work Sans" w:hAnsi="Work Sans"/>
                <w:sz w:val="16"/>
                <w:szCs w:val="16"/>
              </w:rPr>
            </w:pPr>
            <w:r w:rsidRPr="00082CE7">
              <w:rPr>
                <w:rFonts w:ascii="Work Sans" w:hAnsi="Work Sans"/>
                <w:sz w:val="16"/>
                <w:szCs w:val="16"/>
              </w:rPr>
              <w:t>—</w:t>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75A97B7" w14:textId="77777777" w:rsidR="00997FC0" w:rsidRPr="00082CE7" w:rsidRDefault="00997FC0" w:rsidP="00E3392E">
            <w:pPr>
              <w:jc w:val="center"/>
              <w:rPr>
                <w:rFonts w:ascii="Work Sans" w:hAnsi="Work Sans"/>
                <w:sz w:val="16"/>
                <w:szCs w:val="16"/>
              </w:rPr>
            </w:pPr>
            <w:r w:rsidRPr="00082CE7">
              <w:rPr>
                <w:rFonts w:ascii="Work Sans" w:hAnsi="Work Sans"/>
                <w:sz w:val="16"/>
                <w:szCs w:val="16"/>
              </w:rPr>
              <w:t>25%</w:t>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97B1987" w14:textId="77777777" w:rsidR="00997FC0" w:rsidRPr="00082CE7" w:rsidRDefault="00997FC0" w:rsidP="00E3392E">
            <w:pPr>
              <w:jc w:val="center"/>
              <w:rPr>
                <w:rFonts w:ascii="Work Sans" w:hAnsi="Work Sans"/>
                <w:sz w:val="16"/>
                <w:szCs w:val="16"/>
              </w:rPr>
            </w:pPr>
            <w:r w:rsidRPr="00082CE7">
              <w:rPr>
                <w:rFonts w:ascii="Work Sans" w:hAnsi="Work Sans"/>
                <w:sz w:val="16"/>
                <w:szCs w:val="16"/>
              </w:rPr>
              <w:t>—</w:t>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28F25E8" w14:textId="77777777" w:rsidR="00997FC0" w:rsidRPr="00082CE7" w:rsidRDefault="00997FC0" w:rsidP="00E3392E">
            <w:pPr>
              <w:jc w:val="center"/>
              <w:rPr>
                <w:rFonts w:ascii="Work Sans" w:hAnsi="Work Sans"/>
                <w:sz w:val="16"/>
                <w:szCs w:val="16"/>
              </w:rPr>
            </w:pPr>
            <w:r w:rsidRPr="00082CE7">
              <w:rPr>
                <w:rFonts w:ascii="Work Sans" w:hAnsi="Work Sans"/>
                <w:sz w:val="16"/>
                <w:szCs w:val="16"/>
              </w:rPr>
              <w:t>—</w:t>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8AE3BA0" w14:textId="77777777" w:rsidR="00997FC0" w:rsidRPr="00082CE7" w:rsidRDefault="00997FC0" w:rsidP="00E3392E">
            <w:pPr>
              <w:jc w:val="center"/>
              <w:rPr>
                <w:rFonts w:ascii="Work Sans" w:hAnsi="Work Sans"/>
                <w:sz w:val="16"/>
                <w:szCs w:val="16"/>
              </w:rPr>
            </w:pPr>
            <w:r w:rsidRPr="00082CE7">
              <w:rPr>
                <w:rFonts w:ascii="Work Sans" w:hAnsi="Work Sans"/>
                <w:sz w:val="16"/>
                <w:szCs w:val="16"/>
              </w:rPr>
              <w:t>40%</w:t>
            </w:r>
          </w:p>
        </w:tc>
        <w:tc>
          <w:tcPr>
            <w:tcW w:w="8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F325D30" w14:textId="77777777" w:rsidR="00997FC0" w:rsidRPr="00082CE7" w:rsidRDefault="00997FC0" w:rsidP="00E3392E">
            <w:pPr>
              <w:jc w:val="center"/>
              <w:rPr>
                <w:rFonts w:ascii="Work Sans" w:hAnsi="Work Sans"/>
                <w:sz w:val="16"/>
                <w:szCs w:val="16"/>
              </w:rPr>
            </w:pPr>
            <w:r w:rsidRPr="00082CE7">
              <w:rPr>
                <w:rFonts w:ascii="Work Sans" w:hAnsi="Work Sans"/>
                <w:sz w:val="16"/>
                <w:szCs w:val="16"/>
              </w:rPr>
              <w:t>45%</w:t>
            </w:r>
          </w:p>
        </w:tc>
        <w:tc>
          <w:tcPr>
            <w:tcW w:w="900" w:type="dxa"/>
            <w:tcBorders>
              <w:top w:val="single" w:sz="1" w:space="0" w:color="CCCCCC"/>
              <w:left w:val="single" w:sz="1" w:space="0" w:color="CCCCCC"/>
              <w:bottom w:val="single" w:sz="2" w:space="0" w:color="CCCCCC"/>
              <w:right w:val="single" w:sz="1" w:space="0" w:color="CCCCCC"/>
            </w:tcBorders>
            <w:shd w:val="clear" w:color="auto" w:fill="FFE3E3"/>
            <w:tcMar>
              <w:top w:w="40" w:type="dxa"/>
              <w:left w:w="80" w:type="dxa"/>
              <w:bottom w:w="40" w:type="dxa"/>
              <w:right w:w="80" w:type="dxa"/>
            </w:tcMar>
            <w:vAlign w:val="center"/>
          </w:tcPr>
          <w:p w14:paraId="5A2DE236" w14:textId="77777777" w:rsidR="00997FC0" w:rsidRPr="00082CE7" w:rsidRDefault="00997FC0" w:rsidP="00E3392E">
            <w:pPr>
              <w:jc w:val="center"/>
              <w:rPr>
                <w:rFonts w:ascii="Work Sans" w:hAnsi="Work Sans"/>
                <w:sz w:val="16"/>
                <w:szCs w:val="16"/>
              </w:rPr>
            </w:pPr>
            <w:r w:rsidRPr="00082CE7">
              <w:rPr>
                <w:rFonts w:ascii="Work Sans" w:hAnsi="Work Sans"/>
                <w:b/>
                <w:bCs/>
                <w:sz w:val="16"/>
                <w:szCs w:val="16"/>
              </w:rPr>
              <w:t>None</w:t>
            </w:r>
          </w:p>
        </w:tc>
      </w:tr>
      <w:tr w:rsidR="00997FC0" w:rsidRPr="00082CE7" w14:paraId="12DAAE5B" w14:textId="77777777" w:rsidTr="00E3392E">
        <w:trPr>
          <w:trHeight w:val="235"/>
        </w:trPr>
        <w:tc>
          <w:tcPr>
            <w:tcW w:w="1619" w:type="dxa"/>
            <w:tcBorders>
              <w:top w:val="single" w:sz="1" w:space="0" w:color="CCCCCC"/>
              <w:left w:val="single" w:sz="1" w:space="0" w:color="CCCCCC"/>
              <w:bottom w:val="single" w:sz="1" w:space="0" w:color="CCCCCC"/>
              <w:right w:val="single" w:sz="1" w:space="0" w:color="CCCCCC"/>
            </w:tcBorders>
            <w:shd w:val="clear" w:color="auto" w:fill="FFE3E3"/>
            <w:tcMar>
              <w:top w:w="60" w:type="dxa"/>
              <w:left w:w="80" w:type="dxa"/>
              <w:bottom w:w="60" w:type="dxa"/>
              <w:right w:w="80" w:type="dxa"/>
            </w:tcMar>
            <w:vAlign w:val="center"/>
          </w:tcPr>
          <w:p w14:paraId="5CAA9348" w14:textId="77777777" w:rsidR="00997FC0" w:rsidRPr="00082CE7" w:rsidRDefault="00997FC0" w:rsidP="00E3392E">
            <w:pPr>
              <w:rPr>
                <w:rFonts w:ascii="Work Sans" w:hAnsi="Work Sans"/>
                <w:b/>
                <w:bCs/>
                <w:sz w:val="16"/>
                <w:szCs w:val="16"/>
              </w:rPr>
            </w:pPr>
            <w:r w:rsidRPr="00082CE7">
              <w:rPr>
                <w:rFonts w:ascii="Work Sans" w:hAnsi="Work Sans"/>
                <w:b/>
                <w:bCs/>
                <w:sz w:val="16"/>
                <w:szCs w:val="16"/>
              </w:rPr>
              <w:t>CDM Archetype:</w:t>
            </w:r>
          </w:p>
        </w:tc>
        <w:tc>
          <w:tcPr>
            <w:tcW w:w="810" w:type="dxa"/>
            <w:tcBorders>
              <w:top w:val="single" w:sz="1" w:space="0" w:color="CCCCCC"/>
              <w:left w:val="single" w:sz="1" w:space="0" w:color="CCCCCC"/>
              <w:bottom w:val="single" w:sz="1" w:space="0" w:color="CCCCCC"/>
              <w:right w:val="single" w:sz="1" w:space="0" w:color="CCCCCC"/>
            </w:tcBorders>
            <w:shd w:val="clear" w:color="auto" w:fill="FFE3E3"/>
            <w:tcMar>
              <w:top w:w="40" w:type="dxa"/>
              <w:left w:w="80" w:type="dxa"/>
              <w:bottom w:w="40" w:type="dxa"/>
              <w:right w:w="80" w:type="dxa"/>
            </w:tcMar>
            <w:vAlign w:val="center"/>
          </w:tcPr>
          <w:p w14:paraId="16E11EB4" w14:textId="77777777" w:rsidR="00997FC0" w:rsidRPr="00082CE7" w:rsidRDefault="00997FC0" w:rsidP="00E3392E">
            <w:pPr>
              <w:jc w:val="center"/>
              <w:rPr>
                <w:rFonts w:ascii="Work Sans" w:hAnsi="Work Sans"/>
                <w:b/>
                <w:bCs/>
                <w:spacing w:val="-14"/>
                <w:sz w:val="16"/>
                <w:szCs w:val="16"/>
              </w:rPr>
            </w:pPr>
            <w:r w:rsidRPr="00082CE7">
              <w:rPr>
                <w:rFonts w:ascii="Work Sans" w:hAnsi="Work Sans"/>
                <w:b/>
                <w:bCs/>
                <w:spacing w:val="-14"/>
                <w:sz w:val="16"/>
                <w:szCs w:val="16"/>
              </w:rPr>
              <w:t>1: Native</w:t>
            </w:r>
          </w:p>
        </w:tc>
        <w:tc>
          <w:tcPr>
            <w:tcW w:w="810" w:type="dxa"/>
            <w:tcBorders>
              <w:top w:val="single" w:sz="1" w:space="0" w:color="CCCCCC"/>
              <w:left w:val="single" w:sz="1" w:space="0" w:color="CCCCCC"/>
              <w:bottom w:val="single" w:sz="1" w:space="0" w:color="CCCCCC"/>
              <w:right w:val="single" w:sz="1" w:space="0" w:color="CCCCCC"/>
            </w:tcBorders>
            <w:shd w:val="clear" w:color="auto" w:fill="FFE3E3"/>
            <w:tcMar>
              <w:top w:w="40" w:type="dxa"/>
              <w:left w:w="80" w:type="dxa"/>
              <w:bottom w:w="40" w:type="dxa"/>
              <w:right w:w="80" w:type="dxa"/>
            </w:tcMar>
            <w:vAlign w:val="center"/>
          </w:tcPr>
          <w:p w14:paraId="5563A84B" w14:textId="77777777" w:rsidR="00997FC0" w:rsidRPr="00082CE7" w:rsidRDefault="00997FC0" w:rsidP="00E3392E">
            <w:pPr>
              <w:jc w:val="center"/>
              <w:rPr>
                <w:rFonts w:ascii="Work Sans" w:hAnsi="Work Sans"/>
                <w:b/>
                <w:bCs/>
                <w:spacing w:val="-14"/>
                <w:sz w:val="16"/>
                <w:szCs w:val="16"/>
              </w:rPr>
            </w:pPr>
            <w:commentRangeStart w:id="5"/>
            <w:r w:rsidRPr="00082CE7">
              <w:rPr>
                <w:rFonts w:ascii="Work Sans" w:hAnsi="Work Sans"/>
                <w:b/>
                <w:bCs/>
                <w:spacing w:val="-14"/>
                <w:sz w:val="16"/>
                <w:szCs w:val="16"/>
              </w:rPr>
              <w:t>2A: Leader</w:t>
            </w:r>
          </w:p>
        </w:tc>
        <w:tc>
          <w:tcPr>
            <w:tcW w:w="810" w:type="dxa"/>
            <w:tcBorders>
              <w:top w:val="single" w:sz="1" w:space="0" w:color="CCCCCC"/>
              <w:left w:val="single" w:sz="1" w:space="0" w:color="CCCCCC"/>
              <w:bottom w:val="single" w:sz="1" w:space="0" w:color="CCCCCC"/>
              <w:right w:val="single" w:sz="1" w:space="0" w:color="CCCCCC"/>
            </w:tcBorders>
            <w:shd w:val="clear" w:color="auto" w:fill="FFE3E3"/>
            <w:tcMar>
              <w:top w:w="40" w:type="dxa"/>
              <w:left w:w="14" w:type="dxa"/>
              <w:bottom w:w="40" w:type="dxa"/>
              <w:right w:w="14" w:type="dxa"/>
            </w:tcMar>
            <w:vAlign w:val="center"/>
          </w:tcPr>
          <w:p w14:paraId="6B3C3B55" w14:textId="77777777" w:rsidR="00997FC0" w:rsidRPr="00082CE7" w:rsidRDefault="00997FC0" w:rsidP="00E3392E">
            <w:pPr>
              <w:jc w:val="center"/>
              <w:rPr>
                <w:rFonts w:ascii="Work Sans" w:hAnsi="Work Sans"/>
                <w:b/>
                <w:bCs/>
                <w:spacing w:val="-14"/>
                <w:sz w:val="16"/>
                <w:szCs w:val="16"/>
              </w:rPr>
            </w:pPr>
            <w:r w:rsidRPr="00082CE7">
              <w:rPr>
                <w:rFonts w:ascii="Work Sans" w:hAnsi="Work Sans"/>
                <w:b/>
                <w:bCs/>
                <w:spacing w:val="-14"/>
                <w:sz w:val="16"/>
                <w:szCs w:val="16"/>
              </w:rPr>
              <w:t>2B: Follower</w:t>
            </w:r>
            <w:commentRangeEnd w:id="5"/>
            <w:r w:rsidR="009D30D9">
              <w:rPr>
                <w:rStyle w:val="CommentReference"/>
              </w:rPr>
              <w:commentReference w:id="5"/>
            </w:r>
          </w:p>
        </w:tc>
        <w:tc>
          <w:tcPr>
            <w:tcW w:w="810" w:type="dxa"/>
            <w:tcBorders>
              <w:top w:val="single" w:sz="1" w:space="0" w:color="CCCCCC"/>
              <w:left w:val="single" w:sz="1" w:space="0" w:color="CCCCCC"/>
              <w:bottom w:val="single" w:sz="1" w:space="0" w:color="CCCCCC"/>
              <w:right w:val="single" w:sz="1" w:space="0" w:color="CCCCCC"/>
            </w:tcBorders>
            <w:shd w:val="clear" w:color="auto" w:fill="FFE3E3"/>
            <w:tcMar>
              <w:top w:w="40" w:type="dxa"/>
              <w:left w:w="0" w:type="dxa"/>
              <w:bottom w:w="40" w:type="dxa"/>
              <w:right w:w="0" w:type="dxa"/>
            </w:tcMar>
            <w:vAlign w:val="center"/>
          </w:tcPr>
          <w:p w14:paraId="00BD0FEA" w14:textId="77777777" w:rsidR="00997FC0" w:rsidRPr="00082CE7" w:rsidRDefault="00997FC0" w:rsidP="00E3392E">
            <w:pPr>
              <w:jc w:val="center"/>
              <w:rPr>
                <w:rFonts w:ascii="Work Sans" w:hAnsi="Work Sans"/>
                <w:b/>
                <w:bCs/>
                <w:spacing w:val="-14"/>
                <w:sz w:val="16"/>
                <w:szCs w:val="16"/>
              </w:rPr>
            </w:pPr>
            <w:r w:rsidRPr="00082CE7">
              <w:rPr>
                <w:rFonts w:ascii="Work Sans" w:hAnsi="Work Sans"/>
                <w:b/>
                <w:bCs/>
                <w:spacing w:val="-14"/>
                <w:sz w:val="16"/>
                <w:szCs w:val="16"/>
              </w:rPr>
              <w:t>3: Compliance</w:t>
            </w:r>
          </w:p>
        </w:tc>
        <w:tc>
          <w:tcPr>
            <w:tcW w:w="810" w:type="dxa"/>
            <w:tcBorders>
              <w:top w:val="single" w:sz="1" w:space="0" w:color="CCCCCC"/>
              <w:left w:val="single" w:sz="1" w:space="0" w:color="CCCCCC"/>
              <w:bottom w:val="single" w:sz="1" w:space="0" w:color="CCCCCC"/>
              <w:right w:val="single" w:sz="1" w:space="0" w:color="CCCCCC"/>
            </w:tcBorders>
            <w:shd w:val="clear" w:color="auto" w:fill="FFE3E3"/>
            <w:tcMar>
              <w:top w:w="40" w:type="dxa"/>
              <w:left w:w="0" w:type="dxa"/>
              <w:bottom w:w="40" w:type="dxa"/>
              <w:right w:w="0" w:type="dxa"/>
            </w:tcMar>
            <w:vAlign w:val="center"/>
          </w:tcPr>
          <w:p w14:paraId="70182400" w14:textId="77777777" w:rsidR="00997FC0" w:rsidRPr="00082CE7" w:rsidRDefault="00997FC0" w:rsidP="00E3392E">
            <w:pPr>
              <w:jc w:val="center"/>
              <w:rPr>
                <w:rFonts w:ascii="Work Sans" w:hAnsi="Work Sans"/>
                <w:b/>
                <w:bCs/>
                <w:spacing w:val="-14"/>
                <w:sz w:val="16"/>
                <w:szCs w:val="16"/>
              </w:rPr>
            </w:pPr>
            <w:r w:rsidRPr="00082CE7">
              <w:rPr>
                <w:rFonts w:ascii="Work Sans" w:hAnsi="Work Sans"/>
                <w:b/>
                <w:bCs/>
                <w:spacing w:val="-14"/>
                <w:sz w:val="16"/>
                <w:szCs w:val="16"/>
              </w:rPr>
              <w:t>3: Compliance</w:t>
            </w:r>
          </w:p>
        </w:tc>
        <w:tc>
          <w:tcPr>
            <w:tcW w:w="810" w:type="dxa"/>
            <w:tcBorders>
              <w:top w:val="single" w:sz="1" w:space="0" w:color="CCCCCC"/>
              <w:left w:val="single" w:sz="1" w:space="0" w:color="CCCCCC"/>
              <w:bottom w:val="single" w:sz="1" w:space="0" w:color="CCCCCC"/>
              <w:right w:val="single" w:sz="1" w:space="0" w:color="CCCCCC"/>
            </w:tcBorders>
            <w:shd w:val="clear" w:color="auto" w:fill="FFE3E3"/>
            <w:tcMar>
              <w:top w:w="40" w:type="dxa"/>
              <w:left w:w="0" w:type="dxa"/>
              <w:bottom w:w="40" w:type="dxa"/>
              <w:right w:w="0" w:type="dxa"/>
            </w:tcMar>
            <w:vAlign w:val="center"/>
          </w:tcPr>
          <w:p w14:paraId="692A0358" w14:textId="77777777" w:rsidR="00997FC0" w:rsidRPr="00082CE7" w:rsidRDefault="00997FC0" w:rsidP="00E3392E">
            <w:pPr>
              <w:jc w:val="center"/>
              <w:rPr>
                <w:rFonts w:ascii="Work Sans" w:hAnsi="Work Sans"/>
                <w:b/>
                <w:bCs/>
                <w:spacing w:val="-14"/>
                <w:sz w:val="16"/>
                <w:szCs w:val="16"/>
              </w:rPr>
            </w:pPr>
            <w:r w:rsidRPr="00082CE7">
              <w:rPr>
                <w:rFonts w:ascii="Work Sans" w:hAnsi="Work Sans"/>
                <w:b/>
                <w:bCs/>
                <w:spacing w:val="-14"/>
                <w:sz w:val="16"/>
                <w:szCs w:val="16"/>
              </w:rPr>
              <w:t>3: Compliance</w:t>
            </w:r>
          </w:p>
        </w:tc>
        <w:tc>
          <w:tcPr>
            <w:tcW w:w="810" w:type="dxa"/>
            <w:tcBorders>
              <w:top w:val="single" w:sz="1" w:space="0" w:color="CCCCCC"/>
              <w:left w:val="single" w:sz="1" w:space="0" w:color="CCCCCC"/>
              <w:bottom w:val="single" w:sz="1" w:space="0" w:color="CCCCCC"/>
              <w:right w:val="single" w:sz="1" w:space="0" w:color="CCCCCC"/>
            </w:tcBorders>
            <w:shd w:val="clear" w:color="auto" w:fill="FFE3E3"/>
            <w:tcMar>
              <w:top w:w="40" w:type="dxa"/>
              <w:left w:w="80" w:type="dxa"/>
              <w:bottom w:w="40" w:type="dxa"/>
              <w:right w:w="80" w:type="dxa"/>
            </w:tcMar>
            <w:vAlign w:val="center"/>
          </w:tcPr>
          <w:p w14:paraId="0BCF2934" w14:textId="77777777" w:rsidR="00997FC0" w:rsidRPr="00082CE7" w:rsidRDefault="00997FC0" w:rsidP="00E3392E">
            <w:pPr>
              <w:jc w:val="center"/>
              <w:rPr>
                <w:rFonts w:ascii="Work Sans" w:hAnsi="Work Sans"/>
                <w:b/>
                <w:bCs/>
                <w:spacing w:val="-14"/>
                <w:sz w:val="16"/>
                <w:szCs w:val="16"/>
              </w:rPr>
            </w:pPr>
            <w:r w:rsidRPr="00082CE7">
              <w:rPr>
                <w:rFonts w:ascii="Work Sans" w:hAnsi="Work Sans"/>
                <w:b/>
                <w:bCs/>
                <w:spacing w:val="-14"/>
                <w:sz w:val="16"/>
                <w:szCs w:val="16"/>
              </w:rPr>
              <w:t>4: Tactical</w:t>
            </w:r>
          </w:p>
        </w:tc>
        <w:tc>
          <w:tcPr>
            <w:tcW w:w="810" w:type="dxa"/>
            <w:tcBorders>
              <w:top w:val="single" w:sz="1" w:space="0" w:color="CCCCCC"/>
              <w:left w:val="single" w:sz="1" w:space="0" w:color="CCCCCC"/>
              <w:bottom w:val="single" w:sz="1" w:space="0" w:color="CCCCCC"/>
              <w:right w:val="single" w:sz="2" w:space="0" w:color="CCCCCC"/>
            </w:tcBorders>
            <w:shd w:val="clear" w:color="auto" w:fill="FFE3E3"/>
            <w:tcMar>
              <w:top w:w="40" w:type="dxa"/>
              <w:left w:w="80" w:type="dxa"/>
              <w:bottom w:w="40" w:type="dxa"/>
              <w:right w:w="80" w:type="dxa"/>
            </w:tcMar>
            <w:vAlign w:val="center"/>
          </w:tcPr>
          <w:p w14:paraId="256C6863" w14:textId="77777777" w:rsidR="00997FC0" w:rsidRPr="00082CE7" w:rsidRDefault="00997FC0" w:rsidP="00E3392E">
            <w:pPr>
              <w:jc w:val="center"/>
              <w:rPr>
                <w:rFonts w:ascii="Work Sans" w:hAnsi="Work Sans"/>
                <w:b/>
                <w:bCs/>
                <w:spacing w:val="-14"/>
                <w:sz w:val="16"/>
                <w:szCs w:val="16"/>
              </w:rPr>
            </w:pPr>
            <w:r w:rsidRPr="00082CE7">
              <w:rPr>
                <w:rFonts w:ascii="Work Sans" w:hAnsi="Work Sans"/>
                <w:b/>
                <w:bCs/>
                <w:spacing w:val="-14"/>
                <w:sz w:val="16"/>
                <w:szCs w:val="16"/>
              </w:rPr>
              <w:t>4: Tactical</w:t>
            </w:r>
          </w:p>
        </w:tc>
        <w:tc>
          <w:tcPr>
            <w:tcW w:w="900" w:type="dxa"/>
            <w:tcBorders>
              <w:top w:val="single" w:sz="2" w:space="0" w:color="CCCCCC"/>
              <w:left w:val="single" w:sz="2" w:space="0" w:color="CCCCCC"/>
              <w:bottom w:val="single" w:sz="4" w:space="0" w:color="FFFFFF" w:themeColor="background1"/>
              <w:right w:val="single" w:sz="4" w:space="0" w:color="FFFFFF" w:themeColor="background1"/>
            </w:tcBorders>
            <w:shd w:val="clear" w:color="auto" w:fill="FFFFFF" w:themeFill="background1"/>
            <w:tcMar>
              <w:top w:w="40" w:type="dxa"/>
              <w:left w:w="80" w:type="dxa"/>
              <w:bottom w:w="40" w:type="dxa"/>
              <w:right w:w="80" w:type="dxa"/>
            </w:tcMar>
            <w:vAlign w:val="center"/>
          </w:tcPr>
          <w:p w14:paraId="4AED7628" w14:textId="77777777" w:rsidR="00997FC0" w:rsidRPr="00082CE7" w:rsidRDefault="00997FC0" w:rsidP="00E3392E">
            <w:pPr>
              <w:rPr>
                <w:rFonts w:ascii="Work Sans" w:hAnsi="Work Sans"/>
                <w:b/>
                <w:bCs/>
                <w:sz w:val="16"/>
                <w:szCs w:val="16"/>
              </w:rPr>
            </w:pPr>
          </w:p>
        </w:tc>
      </w:tr>
    </w:tbl>
    <w:p w14:paraId="70A49E29" w14:textId="77777777" w:rsidR="00997FC0" w:rsidRPr="00082CE7" w:rsidRDefault="00997FC0" w:rsidP="00997FC0">
      <w:pPr>
        <w:rPr>
          <w:rFonts w:ascii="Work Sans" w:hAnsi="Work Sans"/>
          <w:i/>
          <w:iCs/>
          <w:color w:val="666666"/>
          <w:sz w:val="16"/>
          <w:szCs w:val="16"/>
        </w:rPr>
      </w:pPr>
    </w:p>
    <w:p w14:paraId="76547DC2" w14:textId="77777777" w:rsidR="00997FC0" w:rsidRPr="00082CE7" w:rsidRDefault="00997FC0" w:rsidP="00997FC0">
      <w:pPr>
        <w:spacing w:before="360" w:after="160"/>
        <w:rPr>
          <w:rFonts w:ascii="Work Sans" w:hAnsi="Work Sans"/>
          <w:color w:val="DA291C"/>
          <w:sz w:val="28"/>
          <w:szCs w:val="28"/>
        </w:rPr>
      </w:pPr>
      <w:r w:rsidRPr="00082CE7">
        <w:rPr>
          <w:rFonts w:ascii="Work Sans" w:hAnsi="Work Sans"/>
          <w:color w:val="DA291C"/>
          <w:sz w:val="28"/>
          <w:szCs w:val="28"/>
        </w:rPr>
        <w:t>Reading the Matrix:</w:t>
      </w:r>
    </w:p>
    <w:p w14:paraId="226966DA" w14:textId="77777777" w:rsidR="00997FC0" w:rsidRPr="00082CE7" w:rsidRDefault="00997FC0" w:rsidP="00997FC0">
      <w:pPr>
        <w:spacing w:after="160"/>
        <w:rPr>
          <w:rFonts w:ascii="Work Sans" w:hAnsi="Work Sans"/>
        </w:rPr>
      </w:pPr>
      <w:r w:rsidRPr="00082CE7">
        <w:rPr>
          <w:rFonts w:ascii="Work Sans" w:hAnsi="Work Sans"/>
          <w:color w:val="DA291C"/>
        </w:rPr>
        <w:t xml:space="preserve">The most </w:t>
      </w:r>
      <w:r w:rsidRPr="00A674E9">
        <w:rPr>
          <w:rFonts w:ascii="Work Sans" w:hAnsi="Work Sans"/>
          <w:color w:val="DA291C"/>
        </w:rPr>
        <w:t xml:space="preserve">consequential positions are at the boundaries. Goldman Sachs at Archetype 2A rather than Native reflects a calculated judgment that shaping the standard through governance participation outweighs first-mover implementation risk—a bet on influence over speed. Citigroup at Archetype 3 despite 32% IB&amp;Markets exposure suggests that multi-jurisdictional complexity and competing transformation priorities currently outweigh derivatives-driven CDM investment. These boundary positions are most likely to shift as external forces evolve. </w:t>
      </w:r>
    </w:p>
    <w:p w14:paraId="409B77E9" w14:textId="77777777" w:rsidR="00997FC0" w:rsidRPr="00082CE7" w:rsidRDefault="00997FC0" w:rsidP="00997FC0">
      <w:pPr>
        <w:spacing w:after="160"/>
        <w:rPr>
          <w:rFonts w:ascii="Work Sans" w:hAnsi="Work Sans"/>
        </w:rPr>
      </w:pPr>
      <w:r w:rsidRPr="00082CE7">
        <w:rPr>
          <w:rFonts w:ascii="Work Sans" w:hAnsi="Work Sans"/>
          <w:b/>
          <w:bCs/>
        </w:rPr>
        <w:t>Bank of America</w:t>
      </w:r>
      <w:r w:rsidRPr="00082CE7">
        <w:rPr>
          <w:rFonts w:ascii="Work Sans" w:hAnsi="Work Sans"/>
        </w:rPr>
        <w:t xml:space="preserve"> occupies the most dynamic position in the matrix. At 20% IB&amp;Markets, the revenue profile supports Archetype 4—but the regulatory reality tells a different story. With $233M+ in derivatives-related enforcement actions, a December 2024 OCC consent order, and nearly 4 million historically misreported swap transactions requiring remediation, BofA faces structural pressure to upgrade its reporting infrastructure. We assess BofA as Archetype 4 transitioning </w:t>
      </w:r>
      <w:commentRangeStart w:id="6"/>
      <w:r w:rsidRPr="008C4E76">
        <w:rPr>
          <w:rFonts w:ascii="Work Sans" w:hAnsi="Work Sans"/>
          <w:color w:val="FF0000"/>
        </w:rPr>
        <w:t>toward Archetype 3</w:t>
      </w:r>
      <w:commentRangeEnd w:id="6"/>
      <w:r w:rsidR="00153965">
        <w:rPr>
          <w:rStyle w:val="CommentReference"/>
        </w:rPr>
        <w:commentReference w:id="6"/>
      </w:r>
      <w:r w:rsidRPr="00082CE7">
        <w:rPr>
          <w:rFonts w:ascii="Work Sans" w:hAnsi="Work Sans"/>
        </w:rPr>
        <w:t>—likely building compliance-layer capabilities while maintaining tactical optionality on deeper integration. This is deliberate staging, not drift. The question is whether enforcement velocity forces acceleration beyond their preferred timeline.</w:t>
      </w:r>
    </w:p>
    <w:p w14:paraId="2BE51E2C" w14:textId="17EBD522" w:rsidR="00BC7599" w:rsidRPr="00082CE7" w:rsidRDefault="00997FC0" w:rsidP="00997FC0">
      <w:pPr>
        <w:spacing w:after="160"/>
        <w:rPr>
          <w:rFonts w:ascii="Work Sans" w:hAnsi="Work Sans"/>
        </w:rPr>
      </w:pPr>
      <w:commentRangeStart w:id="7"/>
      <w:r w:rsidRPr="00082CE7">
        <w:rPr>
          <w:rFonts w:ascii="Work Sans" w:hAnsi="Work Sans"/>
          <w:b/>
          <w:bCs/>
        </w:rPr>
        <w:t>Citigroup</w:t>
      </w:r>
      <w:r w:rsidRPr="00082CE7">
        <w:rPr>
          <w:rFonts w:ascii="Work Sans" w:hAnsi="Work Sans"/>
        </w:rPr>
        <w:t xml:space="preserve"> </w:t>
      </w:r>
      <w:commentRangeEnd w:id="7"/>
      <w:r w:rsidR="00BC7599">
        <w:rPr>
          <w:rStyle w:val="CommentReference"/>
        </w:rPr>
        <w:commentReference w:id="7"/>
      </w:r>
      <w:r w:rsidRPr="00082CE7">
        <w:rPr>
          <w:rFonts w:ascii="Work Sans" w:hAnsi="Work Sans"/>
        </w:rPr>
        <w:t xml:space="preserve">at Archetype 3 is the clearest case of regulatory-driven positioning. The bank's 2020 OCC consent order — and the 2024 penalty for insufficient progress — specifically targets data governance, risk data aggregation, and regulatory reporting accuracy. These are precisely the capabilities CDM is designed to deliver. For Citi, the question isn't whether CDM aligns with business strategy; it's whether </w:t>
      </w:r>
      <w:r w:rsidRPr="00082CE7">
        <w:rPr>
          <w:rFonts w:ascii="Work Sans" w:hAnsi="Work Sans"/>
        </w:rPr>
        <w:lastRenderedPageBreak/>
        <w:t>CDM can accelerate consent order remediation. This creates a unique dynamic: Citi may have less discretion in its CDM timeline than any other Tier 1 bank.</w:t>
      </w:r>
    </w:p>
    <w:p w14:paraId="1697B961" w14:textId="77777777" w:rsidR="00997FC0" w:rsidRDefault="00997FC0" w:rsidP="00997FC0">
      <w:pPr>
        <w:spacing w:after="160"/>
        <w:rPr>
          <w:rFonts w:ascii="Work Sans" w:hAnsi="Work Sans"/>
        </w:rPr>
      </w:pPr>
      <w:commentRangeStart w:id="8"/>
      <w:r w:rsidRPr="00082CE7">
        <w:rPr>
          <w:rFonts w:ascii="Work Sans" w:hAnsi="Work Sans"/>
          <w:b/>
          <w:bCs/>
        </w:rPr>
        <w:t>Goldman Sachs</w:t>
      </w:r>
      <w:r w:rsidRPr="00082CE7">
        <w:rPr>
          <w:rFonts w:ascii="Work Sans" w:hAnsi="Work Sans"/>
        </w:rPr>
        <w:t xml:space="preserve"> </w:t>
      </w:r>
      <w:commentRangeEnd w:id="8"/>
      <w:r w:rsidR="003D5AE9">
        <w:rPr>
          <w:rStyle w:val="CommentReference"/>
        </w:rPr>
        <w:commentReference w:id="8"/>
      </w:r>
      <w:r w:rsidRPr="00082CE7">
        <w:rPr>
          <w:rFonts w:ascii="Work Sans" w:hAnsi="Work Sans"/>
        </w:rPr>
        <w:t>at Archetype 2A reflects governance positioning, not operational virtue. With $246M+ in CFTC derivatives enforcement — including benchmark manipulation and swap reporting failures — Goldman faces meaningful regulatory pressure. But unlike Citi's data governance consent order, Goldman's enforcement history is concentrated in conduct and supervision rather than infrastructure architecture. More importantly, Goldman has made strategic investments in CDM leadership: open-sourcing Legend (their data modeling platform) through FINOS, securing the ISDA Board Chair position, and actively leading CDM working groups. At 65% IB&amp;Markets, Goldman's derivatives franchise is existential — giving them both the incentive and capability to shape standards that protect their competitive position. The question isn't whether Goldman will adopt CDM, but whether they'll shape it to their advantage.</w:t>
      </w:r>
    </w:p>
    <w:p w14:paraId="647B4F53" w14:textId="15F92C80" w:rsidR="00BC7599" w:rsidRPr="00082CE7" w:rsidRDefault="00BC7599" w:rsidP="00BC7599">
      <w:pPr>
        <w:spacing w:after="120"/>
        <w:rPr>
          <w:rFonts w:ascii="Work Sans" w:hAnsi="Work Sans"/>
        </w:rPr>
      </w:pPr>
      <w:r w:rsidRPr="00082CE7">
        <w:rPr>
          <w:rFonts w:ascii="Work Sans" w:hAnsi="Work Sans"/>
          <w:b/>
          <w:bCs/>
        </w:rPr>
        <w:t>Morgan Stanley's</w:t>
      </w:r>
      <w:r w:rsidRPr="00082CE7">
        <w:rPr>
          <w:rFonts w:ascii="Work Sans" w:hAnsi="Work Sans"/>
        </w:rPr>
        <w:t xml:space="preserve"> Archetype 2B positioning reflects its hybrid business model. At 45% IB&amp;Markets, derivatives are material but not dominant; wealth management creates competing investment priorities. A modest derivatives enforcement history ($85M cumulative) provides optionality to follow rather than lead. The bank can benefit from JPMorgan's production learnings and Goldman's governance influence without bearing first-mover costs.</w:t>
      </w:r>
    </w:p>
    <w:p w14:paraId="55AF6C78" w14:textId="77777777" w:rsidR="00997FC0" w:rsidRDefault="00997FC0" w:rsidP="00BC7599">
      <w:pPr>
        <w:spacing w:after="160"/>
        <w:rPr>
          <w:rFonts w:ascii="Work Sans" w:hAnsi="Work Sans"/>
        </w:rPr>
      </w:pPr>
      <w:r w:rsidRPr="00082CE7">
        <w:rPr>
          <w:rFonts w:ascii="Work Sans" w:hAnsi="Work Sans"/>
          <w:b/>
          <w:bCs/>
        </w:rPr>
        <w:t xml:space="preserve">Wells Fargo's </w:t>
      </w:r>
      <w:r w:rsidRPr="00082CE7">
        <w:rPr>
          <w:rFonts w:ascii="Work Sans" w:hAnsi="Work Sans"/>
        </w:rPr>
        <w:t>Archetype 4 positioning reflects strategic alignment: at 24% IB&amp;Markets, derivatives are secondary to a consumer and commercial core, and the bank's regulatory burden has been concentrated in retail operations rather than markets compliance.</w:t>
      </w:r>
    </w:p>
    <w:p w14:paraId="45E11435" w14:textId="77777777" w:rsidR="00997FC0" w:rsidRPr="00082CE7" w:rsidRDefault="00997FC0" w:rsidP="00BC7599">
      <w:pPr>
        <w:spacing w:after="160"/>
        <w:rPr>
          <w:rFonts w:ascii="Work Sans" w:hAnsi="Work Sans"/>
        </w:rPr>
      </w:pPr>
      <w:r w:rsidRPr="00082CE7">
        <w:rPr>
          <w:rFonts w:ascii="Work Sans" w:hAnsi="Work Sans"/>
          <w:b/>
          <w:bCs/>
        </w:rPr>
        <w:t>Custody Bank Dynamics</w:t>
      </w:r>
      <w:r>
        <w:rPr>
          <w:rFonts w:ascii="Work Sans" w:hAnsi="Work Sans"/>
          <w:b/>
          <w:bCs/>
        </w:rPr>
        <w:t xml:space="preserve"> - </w:t>
      </w:r>
      <w:r w:rsidRPr="00082CE7">
        <w:rPr>
          <w:rFonts w:ascii="Work Sans" w:hAnsi="Work Sans"/>
        </w:rPr>
        <w:t>State Street and BNY Mellon are the two titans of the asset servicing world, forming a virtual duopoly in global custody.</w:t>
      </w:r>
      <w:r>
        <w:rPr>
          <w:rFonts w:ascii="Work Sans" w:hAnsi="Work Sans"/>
        </w:rPr>
        <w:t xml:space="preserve"> B</w:t>
      </w:r>
      <w:r w:rsidRPr="00082CE7">
        <w:rPr>
          <w:rFonts w:ascii="Work Sans" w:hAnsi="Work Sans"/>
        </w:rPr>
        <w:t xml:space="preserve">oth banks sit at Archetype 3 (Compliance Layer) because their business model is fundamentally different from trading-intensive banks. At </w:t>
      </w:r>
      <w:r w:rsidRPr="00082CE7">
        <w:rPr>
          <w:rFonts w:ascii="Work Sans" w:hAnsi="Work Sans"/>
          <w:color w:val="FF0000"/>
        </w:rPr>
        <w:t xml:space="preserve">41% combined </w:t>
      </w:r>
      <w:r w:rsidRPr="00082CE7">
        <w:rPr>
          <w:rFonts w:ascii="Work Sans" w:hAnsi="Work Sans"/>
        </w:rPr>
        <w:t>global custody market share,</w:t>
      </w:r>
      <w:r>
        <w:rPr>
          <w:rFonts w:ascii="Work Sans" w:hAnsi="Work Sans"/>
        </w:rPr>
        <w:t xml:space="preserve"> </w:t>
      </w:r>
      <w:r w:rsidRPr="00082CE7">
        <w:rPr>
          <w:rFonts w:ascii="Work Sans" w:hAnsi="Work Sans"/>
        </w:rPr>
        <w:t xml:space="preserve">(~$98.7T AUC/A combined) </w:t>
      </w:r>
      <w:r>
        <w:rPr>
          <w:rFonts w:ascii="Work Sans" w:hAnsi="Work Sans"/>
        </w:rPr>
        <w:t xml:space="preserve">they </w:t>
      </w:r>
      <w:r w:rsidRPr="00082CE7">
        <w:rPr>
          <w:rFonts w:ascii="Work Sans" w:hAnsi="Work Sans"/>
        </w:rPr>
        <w:t>control the most underappreciated lever in the CDM landscape: embedding CDM connectivity into custody services could create rapid network effects through U.S.-controlled infrastructure—potentially the fastest path to domestic CDM ubiquity.</w:t>
      </w:r>
      <w:r>
        <w:rPr>
          <w:rFonts w:ascii="Work Sans" w:hAnsi="Work Sans"/>
        </w:rPr>
        <w:t xml:space="preserve"> </w:t>
      </w:r>
      <w:r w:rsidRPr="00082CE7">
        <w:rPr>
          <w:rFonts w:ascii="Work Sans" w:hAnsi="Work Sans"/>
        </w:rPr>
        <w:t>This hasn't happened because derivatives are ancillary to their fee-based models, CDM benefits remain indirect, and investment capacity is committed to priority platforms (BNY's NEXEN; State Street's Alpha). That calculus shifts if clients demand CDM-enabled custody as differentiation, regulators extend CDM expectations into settlement, or either firm chooses to lead.</w:t>
      </w:r>
    </w:p>
    <w:p w14:paraId="66D0FC35" w14:textId="77777777" w:rsidR="00997FC0" w:rsidRDefault="00997FC0" w:rsidP="00997FC0">
      <w:pPr>
        <w:spacing w:after="160"/>
        <w:rPr>
          <w:rFonts w:ascii="Work Sans" w:hAnsi="Work Sans"/>
        </w:rPr>
      </w:pPr>
      <w:r w:rsidRPr="00082CE7">
        <w:rPr>
          <w:rFonts w:ascii="Work Sans" w:hAnsi="Work Sans"/>
        </w:rPr>
        <w:t>These archetypes aren't static assignments. Three external forces are actively shifting the ground beneath them.</w:t>
      </w:r>
    </w:p>
    <w:p w14:paraId="7A687DFA" w14:textId="77777777" w:rsidR="00997FC0" w:rsidRPr="00082CE7" w:rsidRDefault="00997FC0" w:rsidP="00997FC0">
      <w:pPr>
        <w:spacing w:after="160"/>
        <w:rPr>
          <w:rFonts w:ascii="Work Sans" w:hAnsi="Work Sans"/>
        </w:rPr>
      </w:pPr>
    </w:p>
    <w:p w14:paraId="15B5E246" w14:textId="77777777" w:rsidR="00997FC0" w:rsidRPr="00082CE7" w:rsidRDefault="00997FC0" w:rsidP="00997FC0">
      <w:pPr>
        <w:spacing w:before="360" w:after="160"/>
        <w:rPr>
          <w:rFonts w:ascii="Work Sans" w:hAnsi="Work Sans"/>
          <w:color w:val="DA291C"/>
          <w:sz w:val="48"/>
          <w:szCs w:val="48"/>
        </w:rPr>
      </w:pPr>
      <w:r w:rsidRPr="00082CE7">
        <w:rPr>
          <w:rFonts w:ascii="Work Sans" w:hAnsi="Work Sans"/>
          <w:color w:val="DA291C"/>
          <w:sz w:val="48"/>
          <w:szCs w:val="48"/>
        </w:rPr>
        <w:t>Section 3: External Forces</w:t>
      </w:r>
    </w:p>
    <w:p w14:paraId="7DB6540B" w14:textId="77777777" w:rsidR="00997FC0" w:rsidRPr="00082CE7" w:rsidRDefault="00997FC0" w:rsidP="00997FC0">
      <w:pPr>
        <w:spacing w:after="160"/>
        <w:rPr>
          <w:rFonts w:ascii="Work Sans" w:hAnsi="Work Sans"/>
        </w:rPr>
      </w:pPr>
      <w:r w:rsidRPr="00082CE7">
        <w:rPr>
          <w:rFonts w:ascii="Work Sans" w:hAnsi="Work Sans"/>
        </w:rPr>
        <w:t>Three forces are reshaping the decision calculus—and each has the power to shift a bank's natural archetype.</w:t>
      </w:r>
    </w:p>
    <w:p w14:paraId="56C3282D" w14:textId="77777777" w:rsidR="00997FC0" w:rsidRPr="00082CE7" w:rsidRDefault="00997FC0" w:rsidP="00997FC0">
      <w:pPr>
        <w:spacing w:before="360" w:after="160"/>
        <w:rPr>
          <w:rFonts w:ascii="Work Sans" w:hAnsi="Work Sans"/>
          <w:color w:val="DA291C"/>
          <w:sz w:val="28"/>
          <w:szCs w:val="28"/>
        </w:rPr>
      </w:pPr>
      <w:r w:rsidRPr="00082CE7">
        <w:rPr>
          <w:rFonts w:ascii="Work Sans" w:hAnsi="Work Sans"/>
          <w:color w:val="DA291C"/>
          <w:sz w:val="28"/>
          <w:szCs w:val="28"/>
        </w:rPr>
        <w:t>Regulatory Pressure</w:t>
      </w:r>
    </w:p>
    <w:p w14:paraId="17E91BB2" w14:textId="77777777" w:rsidR="00997FC0" w:rsidRPr="00082CE7" w:rsidRDefault="00997FC0" w:rsidP="00997FC0">
      <w:pPr>
        <w:spacing w:after="160"/>
        <w:rPr>
          <w:rFonts w:ascii="Work Sans" w:hAnsi="Work Sans"/>
        </w:rPr>
      </w:pPr>
      <w:r w:rsidRPr="00082CE7">
        <w:rPr>
          <w:rFonts w:ascii="Work Sans" w:hAnsi="Work Sans"/>
        </w:rPr>
        <w:lastRenderedPageBreak/>
        <w:t>Regulatory fines already shape CDM decisions. Banks with significant enforcement history face a different calculus. At some point, the cost of non-compliance exceeds the cost of transformation.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9"/>
        <w:gridCol w:w="1710"/>
        <w:gridCol w:w="5335"/>
      </w:tblGrid>
      <w:tr w:rsidR="00997FC0" w:rsidRPr="00082CE7" w14:paraId="01E86BC0" w14:textId="77777777" w:rsidTr="00E3392E">
        <w:trPr>
          <w:tblHeader/>
        </w:trPr>
        <w:tc>
          <w:tcPr>
            <w:tcW w:w="1979" w:type="dxa"/>
            <w:tcBorders>
              <w:top w:val="single" w:sz="1" w:space="0" w:color="AAAAAA"/>
              <w:left w:val="single" w:sz="1" w:space="0" w:color="AAAAAA"/>
              <w:bottom w:val="single" w:sz="1" w:space="0" w:color="AAAAAA"/>
              <w:right w:val="single" w:sz="1" w:space="0" w:color="AAAAAA"/>
            </w:tcBorders>
            <w:shd w:val="clear" w:color="auto" w:fill="032340"/>
            <w:tcMar>
              <w:top w:w="40" w:type="dxa"/>
              <w:left w:w="80" w:type="dxa"/>
              <w:bottom w:w="40" w:type="dxa"/>
              <w:right w:w="80" w:type="dxa"/>
            </w:tcMar>
            <w:vAlign w:val="center"/>
          </w:tcPr>
          <w:p w14:paraId="64D82ADE" w14:textId="77777777" w:rsidR="00997FC0" w:rsidRPr="00082CE7" w:rsidRDefault="00997FC0" w:rsidP="00E3392E">
            <w:pPr>
              <w:jc w:val="center"/>
              <w:rPr>
                <w:rFonts w:ascii="Work Sans" w:hAnsi="Work Sans"/>
              </w:rPr>
            </w:pPr>
            <w:r w:rsidRPr="00082CE7">
              <w:rPr>
                <w:rFonts w:ascii="Work Sans" w:hAnsi="Work Sans"/>
                <w:b/>
                <w:bCs/>
                <w:color w:val="FFFFFF"/>
                <w:sz w:val="18"/>
                <w:szCs w:val="18"/>
              </w:rPr>
              <w:t>Bank</w:t>
            </w:r>
          </w:p>
        </w:tc>
        <w:tc>
          <w:tcPr>
            <w:tcW w:w="1710" w:type="dxa"/>
            <w:tcBorders>
              <w:top w:val="single" w:sz="1" w:space="0" w:color="AAAAAA"/>
              <w:left w:val="single" w:sz="1" w:space="0" w:color="AAAAAA"/>
              <w:bottom w:val="single" w:sz="1" w:space="0" w:color="AAAAAA"/>
              <w:right w:val="single" w:sz="1" w:space="0" w:color="AAAAAA"/>
            </w:tcBorders>
            <w:shd w:val="clear" w:color="auto" w:fill="032340"/>
            <w:tcMar>
              <w:top w:w="40" w:type="dxa"/>
              <w:left w:w="80" w:type="dxa"/>
              <w:bottom w:w="40" w:type="dxa"/>
              <w:right w:w="80" w:type="dxa"/>
            </w:tcMar>
            <w:vAlign w:val="center"/>
          </w:tcPr>
          <w:p w14:paraId="53F1711F" w14:textId="77777777" w:rsidR="00997FC0" w:rsidRPr="00082CE7" w:rsidRDefault="00997FC0" w:rsidP="00E3392E">
            <w:pPr>
              <w:jc w:val="center"/>
              <w:rPr>
                <w:rFonts w:ascii="Work Sans" w:hAnsi="Work Sans"/>
              </w:rPr>
            </w:pPr>
            <w:r w:rsidRPr="00082CE7">
              <w:rPr>
                <w:rFonts w:ascii="Work Sans" w:hAnsi="Work Sans"/>
                <w:b/>
                <w:bCs/>
                <w:color w:val="FFFFFF"/>
                <w:sz w:val="18"/>
                <w:szCs w:val="18"/>
              </w:rPr>
              <w:t>Cumulative Fines</w:t>
            </w:r>
          </w:p>
        </w:tc>
        <w:tc>
          <w:tcPr>
            <w:tcW w:w="5335" w:type="dxa"/>
            <w:tcBorders>
              <w:top w:val="single" w:sz="1" w:space="0" w:color="AAAAAA"/>
              <w:left w:val="single" w:sz="1" w:space="0" w:color="AAAAAA"/>
              <w:bottom w:val="single" w:sz="1" w:space="0" w:color="AAAAAA"/>
              <w:right w:val="single" w:sz="1" w:space="0" w:color="AAAAAA"/>
            </w:tcBorders>
            <w:shd w:val="clear" w:color="auto" w:fill="032340"/>
            <w:tcMar>
              <w:top w:w="40" w:type="dxa"/>
              <w:left w:w="80" w:type="dxa"/>
              <w:bottom w:w="40" w:type="dxa"/>
              <w:right w:w="80" w:type="dxa"/>
            </w:tcMar>
            <w:vAlign w:val="center"/>
          </w:tcPr>
          <w:p w14:paraId="708D905E" w14:textId="77777777" w:rsidR="00997FC0" w:rsidRPr="00082CE7" w:rsidRDefault="00997FC0" w:rsidP="00E3392E">
            <w:pPr>
              <w:jc w:val="center"/>
              <w:rPr>
                <w:rFonts w:ascii="Work Sans" w:hAnsi="Work Sans"/>
              </w:rPr>
            </w:pPr>
            <w:r w:rsidRPr="00082CE7">
              <w:rPr>
                <w:rFonts w:ascii="Work Sans" w:hAnsi="Work Sans"/>
                <w:b/>
                <w:bCs/>
                <w:color w:val="FFFFFF"/>
                <w:sz w:val="18"/>
                <w:szCs w:val="18"/>
              </w:rPr>
              <w:t>Pressure Assessment</w:t>
            </w:r>
          </w:p>
        </w:tc>
      </w:tr>
      <w:tr w:rsidR="00997FC0" w:rsidRPr="00082CE7" w14:paraId="7C796F3D" w14:textId="77777777" w:rsidTr="00E3392E">
        <w:trPr>
          <w:trHeight w:val="439"/>
        </w:trPr>
        <w:tc>
          <w:tcPr>
            <w:tcW w:w="1979"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C7A5321" w14:textId="77777777" w:rsidR="00997FC0" w:rsidRPr="00082CE7" w:rsidRDefault="00997FC0" w:rsidP="00E3392E">
            <w:pPr>
              <w:rPr>
                <w:rFonts w:ascii="Work Sans" w:hAnsi="Work Sans"/>
              </w:rPr>
            </w:pPr>
            <w:r w:rsidRPr="00082CE7">
              <w:rPr>
                <w:rFonts w:ascii="Work Sans" w:hAnsi="Work Sans"/>
                <w:b/>
                <w:bCs/>
                <w:sz w:val="18"/>
                <w:szCs w:val="18"/>
              </w:rPr>
              <w:t>Goldman Sachs</w:t>
            </w:r>
          </w:p>
        </w:tc>
        <w:tc>
          <w:tcPr>
            <w:tcW w:w="17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BD4038B" w14:textId="77777777" w:rsidR="00997FC0" w:rsidRPr="00082CE7" w:rsidRDefault="00997FC0" w:rsidP="00E3392E">
            <w:pPr>
              <w:jc w:val="center"/>
              <w:rPr>
                <w:rFonts w:ascii="Work Sans" w:hAnsi="Work Sans"/>
              </w:rPr>
            </w:pPr>
            <w:r w:rsidRPr="00082CE7">
              <w:rPr>
                <w:rFonts w:ascii="Work Sans" w:hAnsi="Work Sans"/>
                <w:sz w:val="18"/>
                <w:szCs w:val="18"/>
              </w:rPr>
              <w:t>$128.5M</w:t>
            </w:r>
          </w:p>
        </w:tc>
        <w:tc>
          <w:tcPr>
            <w:tcW w:w="5335"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F989AD9" w14:textId="77777777" w:rsidR="00997FC0" w:rsidRPr="00082CE7" w:rsidRDefault="00997FC0" w:rsidP="00E3392E">
            <w:pPr>
              <w:rPr>
                <w:rFonts w:ascii="Work Sans" w:hAnsi="Work Sans"/>
              </w:rPr>
            </w:pPr>
            <w:r w:rsidRPr="00082CE7">
              <w:rPr>
                <w:rFonts w:ascii="Work Sans" w:hAnsi="Work Sans"/>
                <w:sz w:val="18"/>
                <w:szCs w:val="18"/>
              </w:rPr>
              <w:t>Highest exposure; 1M+ swap transactions affected; enforcement driver for CDM investment</w:t>
            </w:r>
          </w:p>
        </w:tc>
      </w:tr>
      <w:tr w:rsidR="00997FC0" w:rsidRPr="00082CE7" w14:paraId="0738719B" w14:textId="77777777" w:rsidTr="00E3392E">
        <w:trPr>
          <w:trHeight w:val="439"/>
        </w:trPr>
        <w:tc>
          <w:tcPr>
            <w:tcW w:w="1979"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60" w:type="dxa"/>
              <w:left w:w="80" w:type="dxa"/>
              <w:bottom w:w="60" w:type="dxa"/>
              <w:right w:w="80" w:type="dxa"/>
            </w:tcMar>
            <w:vAlign w:val="center"/>
          </w:tcPr>
          <w:p w14:paraId="59AD7364" w14:textId="77777777" w:rsidR="00997FC0" w:rsidRPr="00082CE7" w:rsidRDefault="00997FC0" w:rsidP="00E3392E">
            <w:pPr>
              <w:rPr>
                <w:rFonts w:ascii="Work Sans" w:hAnsi="Work Sans"/>
              </w:rPr>
            </w:pPr>
            <w:r w:rsidRPr="00082CE7">
              <w:rPr>
                <w:rFonts w:ascii="Work Sans" w:hAnsi="Work Sans"/>
                <w:b/>
                <w:bCs/>
                <w:sz w:val="18"/>
                <w:szCs w:val="18"/>
              </w:rPr>
              <w:t>Bank of America</w:t>
            </w:r>
          </w:p>
        </w:tc>
        <w:tc>
          <w:tcPr>
            <w:tcW w:w="171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40" w:type="dxa"/>
              <w:left w:w="80" w:type="dxa"/>
              <w:bottom w:w="40" w:type="dxa"/>
              <w:right w:w="80" w:type="dxa"/>
            </w:tcMar>
            <w:vAlign w:val="center"/>
          </w:tcPr>
          <w:p w14:paraId="6E30A375" w14:textId="77777777" w:rsidR="00997FC0" w:rsidRPr="00082CE7" w:rsidRDefault="00997FC0" w:rsidP="00E3392E">
            <w:pPr>
              <w:jc w:val="center"/>
              <w:rPr>
                <w:rFonts w:ascii="Work Sans" w:hAnsi="Work Sans"/>
              </w:rPr>
            </w:pPr>
            <w:r w:rsidRPr="00082CE7">
              <w:rPr>
                <w:rFonts w:ascii="Work Sans" w:hAnsi="Work Sans"/>
                <w:sz w:val="18"/>
                <w:szCs w:val="18"/>
              </w:rPr>
              <w:t>$233M+</w:t>
            </w:r>
          </w:p>
        </w:tc>
        <w:tc>
          <w:tcPr>
            <w:tcW w:w="533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40" w:type="dxa"/>
              <w:left w:w="80" w:type="dxa"/>
              <w:bottom w:w="40" w:type="dxa"/>
              <w:right w:w="80" w:type="dxa"/>
            </w:tcMar>
            <w:vAlign w:val="center"/>
          </w:tcPr>
          <w:p w14:paraId="5AFBC16E" w14:textId="77777777" w:rsidR="00997FC0" w:rsidRPr="00082CE7" w:rsidRDefault="00997FC0" w:rsidP="00E3392E">
            <w:pPr>
              <w:rPr>
                <w:rFonts w:ascii="Work Sans" w:hAnsi="Work Sans"/>
              </w:rPr>
            </w:pPr>
            <w:r w:rsidRPr="00082CE7">
              <w:rPr>
                <w:rFonts w:ascii="Work Sans" w:hAnsi="Work Sans"/>
                <w:sz w:val="18"/>
                <w:szCs w:val="18"/>
              </w:rPr>
              <w:t>4M misreported swap transactions; fine trajectory may force Archetype 3 upgrade</w:t>
            </w:r>
          </w:p>
        </w:tc>
      </w:tr>
      <w:tr w:rsidR="00997FC0" w:rsidRPr="00082CE7" w14:paraId="49AD0D28" w14:textId="77777777" w:rsidTr="00E3392E">
        <w:trPr>
          <w:trHeight w:val="439"/>
        </w:trPr>
        <w:tc>
          <w:tcPr>
            <w:tcW w:w="1979"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B6AF637" w14:textId="77777777" w:rsidR="00997FC0" w:rsidRPr="00082CE7" w:rsidRDefault="00997FC0" w:rsidP="00E3392E">
            <w:pPr>
              <w:rPr>
                <w:rFonts w:ascii="Work Sans" w:hAnsi="Work Sans"/>
              </w:rPr>
            </w:pPr>
            <w:r w:rsidRPr="00082CE7">
              <w:rPr>
                <w:rFonts w:ascii="Work Sans" w:hAnsi="Work Sans"/>
                <w:b/>
                <w:bCs/>
                <w:sz w:val="18"/>
                <w:szCs w:val="18"/>
              </w:rPr>
              <w:t>Citigroup</w:t>
            </w:r>
          </w:p>
        </w:tc>
        <w:tc>
          <w:tcPr>
            <w:tcW w:w="17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1746A94" w14:textId="77777777" w:rsidR="00997FC0" w:rsidRPr="00082CE7" w:rsidRDefault="00997FC0" w:rsidP="00E3392E">
            <w:pPr>
              <w:jc w:val="center"/>
              <w:rPr>
                <w:rFonts w:ascii="Work Sans" w:hAnsi="Work Sans"/>
              </w:rPr>
            </w:pPr>
            <w:r w:rsidRPr="00082CE7">
              <w:rPr>
                <w:rFonts w:ascii="Work Sans" w:hAnsi="Work Sans"/>
                <w:sz w:val="18"/>
                <w:szCs w:val="18"/>
              </w:rPr>
              <w:t>$535.6M</w:t>
            </w:r>
          </w:p>
        </w:tc>
        <w:tc>
          <w:tcPr>
            <w:tcW w:w="5335"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A299E5D" w14:textId="77777777" w:rsidR="00997FC0" w:rsidRPr="00082CE7" w:rsidRDefault="00997FC0" w:rsidP="00E3392E">
            <w:pPr>
              <w:rPr>
                <w:rFonts w:ascii="Work Sans" w:hAnsi="Work Sans"/>
              </w:rPr>
            </w:pPr>
            <w:r w:rsidRPr="00082CE7">
              <w:rPr>
                <w:rFonts w:ascii="Work Sans" w:hAnsi="Work Sans"/>
                <w:sz w:val="18"/>
                <w:szCs w:val="18"/>
              </w:rPr>
              <w:t>OCC consent order penalties (not derivatives-specific); validates compliance-first approach</w:t>
            </w:r>
          </w:p>
        </w:tc>
      </w:tr>
      <w:tr w:rsidR="00997FC0" w:rsidRPr="00082CE7" w14:paraId="4FDE9296" w14:textId="77777777" w:rsidTr="00E3392E">
        <w:trPr>
          <w:trHeight w:val="439"/>
        </w:trPr>
        <w:tc>
          <w:tcPr>
            <w:tcW w:w="1979"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60" w:type="dxa"/>
              <w:left w:w="80" w:type="dxa"/>
              <w:bottom w:w="60" w:type="dxa"/>
              <w:right w:w="80" w:type="dxa"/>
            </w:tcMar>
            <w:vAlign w:val="center"/>
          </w:tcPr>
          <w:p w14:paraId="0EDE9A4A" w14:textId="77777777" w:rsidR="00997FC0" w:rsidRPr="00082CE7" w:rsidRDefault="00997FC0" w:rsidP="00E3392E">
            <w:pPr>
              <w:rPr>
                <w:rFonts w:ascii="Work Sans" w:hAnsi="Work Sans"/>
              </w:rPr>
            </w:pPr>
            <w:r w:rsidRPr="00082CE7">
              <w:rPr>
                <w:rFonts w:ascii="Work Sans" w:hAnsi="Work Sans"/>
                <w:b/>
                <w:bCs/>
                <w:sz w:val="18"/>
                <w:szCs w:val="18"/>
              </w:rPr>
              <w:t>JPMorgan</w:t>
            </w:r>
          </w:p>
        </w:tc>
        <w:tc>
          <w:tcPr>
            <w:tcW w:w="171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40" w:type="dxa"/>
              <w:left w:w="80" w:type="dxa"/>
              <w:bottom w:w="40" w:type="dxa"/>
              <w:right w:w="80" w:type="dxa"/>
            </w:tcMar>
            <w:vAlign w:val="center"/>
          </w:tcPr>
          <w:p w14:paraId="0CD1CBCC" w14:textId="77777777" w:rsidR="00997FC0" w:rsidRPr="00082CE7" w:rsidRDefault="00997FC0" w:rsidP="00E3392E">
            <w:pPr>
              <w:jc w:val="center"/>
              <w:rPr>
                <w:rFonts w:ascii="Work Sans" w:hAnsi="Work Sans"/>
              </w:rPr>
            </w:pPr>
            <w:r w:rsidRPr="00082CE7">
              <w:rPr>
                <w:rFonts w:ascii="Work Sans" w:hAnsi="Work Sans"/>
                <w:sz w:val="18"/>
                <w:szCs w:val="18"/>
              </w:rPr>
              <w:t>$50M+ (shared)</w:t>
            </w:r>
          </w:p>
        </w:tc>
        <w:tc>
          <w:tcPr>
            <w:tcW w:w="533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40" w:type="dxa"/>
              <w:left w:w="80" w:type="dxa"/>
              <w:bottom w:w="40" w:type="dxa"/>
              <w:right w:w="80" w:type="dxa"/>
            </w:tcMar>
            <w:vAlign w:val="center"/>
          </w:tcPr>
          <w:p w14:paraId="67840C73" w14:textId="77777777" w:rsidR="00997FC0" w:rsidRPr="00082CE7" w:rsidRDefault="00997FC0" w:rsidP="00E3392E">
            <w:pPr>
              <w:rPr>
                <w:rFonts w:ascii="Work Sans" w:hAnsi="Work Sans"/>
              </w:rPr>
            </w:pPr>
            <w:r w:rsidRPr="00082CE7">
              <w:rPr>
                <w:rFonts w:ascii="Work Sans" w:hAnsi="Work Sans"/>
                <w:sz w:val="18"/>
                <w:szCs w:val="18"/>
              </w:rPr>
              <w:t>Scale justified Native investment; now positioned as compliance leader</w:t>
            </w:r>
          </w:p>
        </w:tc>
      </w:tr>
      <w:tr w:rsidR="00997FC0" w:rsidRPr="00082CE7" w14:paraId="0BD7CD0D" w14:textId="77777777" w:rsidTr="00E3392E">
        <w:trPr>
          <w:trHeight w:val="440"/>
        </w:trPr>
        <w:tc>
          <w:tcPr>
            <w:tcW w:w="1979"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8AA532B" w14:textId="77777777" w:rsidR="00997FC0" w:rsidRPr="00082CE7" w:rsidRDefault="00997FC0" w:rsidP="00E3392E">
            <w:pPr>
              <w:rPr>
                <w:rFonts w:ascii="Work Sans" w:hAnsi="Work Sans"/>
              </w:rPr>
            </w:pPr>
            <w:r w:rsidRPr="00082CE7">
              <w:rPr>
                <w:rFonts w:ascii="Work Sans" w:hAnsi="Work Sans"/>
                <w:b/>
                <w:bCs/>
                <w:sz w:val="18"/>
                <w:szCs w:val="18"/>
              </w:rPr>
              <w:t>BNY Mellon</w:t>
            </w:r>
          </w:p>
        </w:tc>
        <w:tc>
          <w:tcPr>
            <w:tcW w:w="17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94567D2" w14:textId="77777777" w:rsidR="00997FC0" w:rsidRPr="00082CE7" w:rsidRDefault="00997FC0" w:rsidP="00E3392E">
            <w:pPr>
              <w:jc w:val="center"/>
              <w:rPr>
                <w:rFonts w:ascii="Work Sans" w:hAnsi="Work Sans"/>
              </w:rPr>
            </w:pPr>
            <w:r w:rsidRPr="00082CE7">
              <w:rPr>
                <w:rFonts w:ascii="Work Sans" w:hAnsi="Work Sans"/>
                <w:sz w:val="18"/>
                <w:szCs w:val="18"/>
              </w:rPr>
              <w:t>$5.75M</w:t>
            </w:r>
          </w:p>
        </w:tc>
        <w:tc>
          <w:tcPr>
            <w:tcW w:w="5335"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6ACBCE7" w14:textId="77777777" w:rsidR="00997FC0" w:rsidRPr="00082CE7" w:rsidRDefault="00997FC0" w:rsidP="00E3392E">
            <w:pPr>
              <w:rPr>
                <w:rFonts w:ascii="Work Sans" w:hAnsi="Work Sans"/>
              </w:rPr>
            </w:pPr>
            <w:r w:rsidRPr="00082CE7">
              <w:rPr>
                <w:rFonts w:ascii="Work Sans" w:hAnsi="Work Sans"/>
                <w:sz w:val="18"/>
                <w:szCs w:val="18"/>
              </w:rPr>
              <w:t>Lower exposure reflects custody focus; Compliance Layer appropriate</w:t>
            </w:r>
          </w:p>
        </w:tc>
      </w:tr>
    </w:tbl>
    <w:p w14:paraId="70E22B1C" w14:textId="77777777" w:rsidR="00997FC0" w:rsidRPr="00082CE7" w:rsidRDefault="00997FC0" w:rsidP="00997FC0">
      <w:pPr>
        <w:spacing w:before="160" w:after="160"/>
        <w:rPr>
          <w:rFonts w:ascii="Work Sans" w:hAnsi="Work Sans"/>
        </w:rPr>
      </w:pPr>
      <w:r w:rsidRPr="00082CE7">
        <w:rPr>
          <w:rFonts w:ascii="Work Sans" w:hAnsi="Work Sans"/>
          <w:b/>
          <w:bCs/>
        </w:rPr>
        <w:t xml:space="preserve">Strategic implication: </w:t>
      </w:r>
      <w:r w:rsidRPr="00082CE7">
        <w:rPr>
          <w:rFonts w:ascii="Work Sans" w:hAnsi="Work Sans"/>
        </w:rPr>
        <w:t>Cumulative enforcement exposure is becoming a forcing function. For institutions in Archetypes 3-4 with enforcement histories exceeding $200M, the cost of continued non-compliance may soon exceed the cost of accelerated CDM investment. Bank of America's position warrants particular scrutiny.</w:t>
      </w:r>
    </w:p>
    <w:p w14:paraId="2F9CC4A3" w14:textId="77777777" w:rsidR="00997FC0" w:rsidRPr="00082CE7" w:rsidRDefault="00997FC0" w:rsidP="00997FC0">
      <w:pPr>
        <w:spacing w:before="360" w:after="160"/>
        <w:rPr>
          <w:rFonts w:ascii="Work Sans" w:hAnsi="Work Sans"/>
          <w:color w:val="DA291C"/>
          <w:sz w:val="28"/>
          <w:szCs w:val="28"/>
        </w:rPr>
      </w:pPr>
      <w:r w:rsidRPr="00082CE7">
        <w:rPr>
          <w:rFonts w:ascii="Work Sans" w:hAnsi="Work Sans"/>
          <w:color w:val="DA291C"/>
          <w:sz w:val="28"/>
          <w:szCs w:val="28"/>
        </w:rPr>
        <w:t>International Counterparty Pressure</w:t>
      </w:r>
    </w:p>
    <w:p w14:paraId="2C30779C" w14:textId="77777777" w:rsidR="00997FC0" w:rsidRPr="00082CE7" w:rsidRDefault="00997FC0" w:rsidP="00997FC0">
      <w:pPr>
        <w:spacing w:after="160"/>
        <w:rPr>
          <w:rFonts w:ascii="Work Sans" w:hAnsi="Work Sans"/>
        </w:rPr>
      </w:pPr>
      <w:r w:rsidRPr="00A674E9">
        <w:rPr>
          <w:rFonts w:ascii="Work Sans" w:hAnsi="Work Sans"/>
        </w:rPr>
        <w:t>US banks don't operate in isolation. BNP Paribas is already in production; Deutsche Bank is piloting. As major European counterparties move CDM-native, they'll expect matching connectivity from American trading partners—regardless of US regulatory posture.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7"/>
        <w:gridCol w:w="1556"/>
        <w:gridCol w:w="5531"/>
      </w:tblGrid>
      <w:tr w:rsidR="00997FC0" w:rsidRPr="00082CE7" w14:paraId="3D44B427" w14:textId="77777777" w:rsidTr="00E3392E">
        <w:trPr>
          <w:tblHeader/>
        </w:trPr>
        <w:tc>
          <w:tcPr>
            <w:tcW w:w="1937" w:type="dxa"/>
            <w:tcBorders>
              <w:top w:val="single" w:sz="1" w:space="0" w:color="AAAAAA"/>
              <w:left w:val="single" w:sz="1" w:space="0" w:color="AAAAAA"/>
              <w:bottom w:val="single" w:sz="1" w:space="0" w:color="AAAAAA"/>
              <w:right w:val="single" w:sz="1" w:space="0" w:color="AAAAAA"/>
            </w:tcBorders>
            <w:shd w:val="clear" w:color="auto" w:fill="032340"/>
            <w:tcMar>
              <w:top w:w="40" w:type="dxa"/>
              <w:left w:w="80" w:type="dxa"/>
              <w:bottom w:w="40" w:type="dxa"/>
              <w:right w:w="80" w:type="dxa"/>
            </w:tcMar>
            <w:vAlign w:val="center"/>
          </w:tcPr>
          <w:p w14:paraId="5A695FB5" w14:textId="77777777" w:rsidR="00997FC0" w:rsidRPr="00082CE7" w:rsidRDefault="00997FC0" w:rsidP="00E3392E">
            <w:pPr>
              <w:jc w:val="center"/>
              <w:rPr>
                <w:rFonts w:ascii="Work Sans" w:hAnsi="Work Sans"/>
              </w:rPr>
            </w:pPr>
            <w:r w:rsidRPr="00082CE7">
              <w:rPr>
                <w:rFonts w:ascii="Work Sans" w:hAnsi="Work Sans"/>
                <w:b/>
                <w:bCs/>
                <w:color w:val="FFFFFF"/>
                <w:sz w:val="18"/>
                <w:szCs w:val="18"/>
              </w:rPr>
              <w:t>Bank</w:t>
            </w:r>
          </w:p>
        </w:tc>
        <w:tc>
          <w:tcPr>
            <w:tcW w:w="1556" w:type="dxa"/>
            <w:tcBorders>
              <w:top w:val="single" w:sz="1" w:space="0" w:color="AAAAAA"/>
              <w:left w:val="single" w:sz="1" w:space="0" w:color="AAAAAA"/>
              <w:bottom w:val="single" w:sz="1" w:space="0" w:color="AAAAAA"/>
              <w:right w:val="single" w:sz="1" w:space="0" w:color="AAAAAA"/>
            </w:tcBorders>
            <w:shd w:val="clear" w:color="auto" w:fill="032340"/>
            <w:tcMar>
              <w:top w:w="40" w:type="dxa"/>
              <w:left w:w="80" w:type="dxa"/>
              <w:bottom w:w="40" w:type="dxa"/>
              <w:right w:w="80" w:type="dxa"/>
            </w:tcMar>
            <w:vAlign w:val="center"/>
          </w:tcPr>
          <w:p w14:paraId="178979E6" w14:textId="77777777" w:rsidR="00997FC0" w:rsidRPr="00082CE7" w:rsidRDefault="00997FC0" w:rsidP="00E3392E">
            <w:pPr>
              <w:jc w:val="center"/>
              <w:rPr>
                <w:rFonts w:ascii="Work Sans" w:hAnsi="Work Sans"/>
              </w:rPr>
            </w:pPr>
            <w:r w:rsidRPr="00082CE7">
              <w:rPr>
                <w:rFonts w:ascii="Work Sans" w:hAnsi="Work Sans"/>
                <w:b/>
                <w:bCs/>
                <w:color w:val="FFFFFF"/>
                <w:sz w:val="18"/>
                <w:szCs w:val="18"/>
              </w:rPr>
              <w:t>CDM Status</w:t>
            </w:r>
          </w:p>
        </w:tc>
        <w:tc>
          <w:tcPr>
            <w:tcW w:w="5531" w:type="dxa"/>
            <w:tcBorders>
              <w:top w:val="single" w:sz="1" w:space="0" w:color="AAAAAA"/>
              <w:left w:val="single" w:sz="1" w:space="0" w:color="AAAAAA"/>
              <w:bottom w:val="single" w:sz="1" w:space="0" w:color="AAAAAA"/>
              <w:right w:val="single" w:sz="1" w:space="0" w:color="AAAAAA"/>
            </w:tcBorders>
            <w:shd w:val="clear" w:color="auto" w:fill="032340"/>
            <w:tcMar>
              <w:top w:w="40" w:type="dxa"/>
              <w:left w:w="80" w:type="dxa"/>
              <w:bottom w:w="40" w:type="dxa"/>
              <w:right w:w="80" w:type="dxa"/>
            </w:tcMar>
            <w:vAlign w:val="center"/>
          </w:tcPr>
          <w:p w14:paraId="1016298D" w14:textId="77777777" w:rsidR="00997FC0" w:rsidRPr="00082CE7" w:rsidRDefault="00997FC0" w:rsidP="00E3392E">
            <w:pPr>
              <w:jc w:val="center"/>
              <w:rPr>
                <w:rFonts w:ascii="Work Sans" w:hAnsi="Work Sans"/>
              </w:rPr>
            </w:pPr>
            <w:r w:rsidRPr="00082CE7">
              <w:rPr>
                <w:rFonts w:ascii="Work Sans" w:hAnsi="Work Sans"/>
                <w:b/>
                <w:bCs/>
                <w:color w:val="FFFFFF"/>
                <w:sz w:val="18"/>
                <w:szCs w:val="18"/>
              </w:rPr>
              <w:t>Strategic Implication</w:t>
            </w:r>
          </w:p>
        </w:tc>
      </w:tr>
      <w:tr w:rsidR="00997FC0" w:rsidRPr="00082CE7" w14:paraId="3988AD88" w14:textId="77777777" w:rsidTr="00E3392E">
        <w:trPr>
          <w:trHeight w:val="422"/>
        </w:trPr>
        <w:tc>
          <w:tcPr>
            <w:tcW w:w="1937"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FC02346" w14:textId="77777777" w:rsidR="00997FC0" w:rsidRPr="00082CE7" w:rsidRDefault="00997FC0" w:rsidP="00E3392E">
            <w:pPr>
              <w:rPr>
                <w:rFonts w:ascii="Work Sans" w:hAnsi="Work Sans"/>
              </w:rPr>
            </w:pPr>
            <w:r w:rsidRPr="00082CE7">
              <w:rPr>
                <w:rFonts w:ascii="Work Sans" w:hAnsi="Work Sans"/>
                <w:b/>
                <w:bCs/>
                <w:sz w:val="18"/>
                <w:szCs w:val="18"/>
              </w:rPr>
              <w:t>BNP Paribas</w:t>
            </w:r>
          </w:p>
        </w:tc>
        <w:tc>
          <w:tcPr>
            <w:tcW w:w="1556"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915E582" w14:textId="77777777" w:rsidR="00997FC0" w:rsidRPr="00082CE7" w:rsidRDefault="00997FC0" w:rsidP="00E3392E">
            <w:pPr>
              <w:jc w:val="center"/>
              <w:rPr>
                <w:rFonts w:ascii="Work Sans" w:hAnsi="Work Sans"/>
              </w:rPr>
            </w:pPr>
            <w:r w:rsidRPr="00082CE7">
              <w:rPr>
                <w:rFonts w:ascii="Work Sans" w:hAnsi="Work Sans"/>
                <w:sz w:val="18"/>
                <w:szCs w:val="18"/>
              </w:rPr>
              <w:t>Production</w:t>
            </w:r>
          </w:p>
        </w:tc>
        <w:tc>
          <w:tcPr>
            <w:tcW w:w="5531"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8128518" w14:textId="77777777" w:rsidR="00997FC0" w:rsidRPr="00082CE7" w:rsidRDefault="00997FC0" w:rsidP="00E3392E">
            <w:pPr>
              <w:rPr>
                <w:rFonts w:ascii="Work Sans" w:hAnsi="Work Sans"/>
              </w:rPr>
            </w:pPr>
            <w:r w:rsidRPr="00082CE7">
              <w:rPr>
                <w:rFonts w:ascii="Work Sans" w:hAnsi="Work Sans"/>
                <w:sz w:val="18"/>
                <w:szCs w:val="18"/>
              </w:rPr>
              <w:t>First major global bank in production; setting interoperability expectations with US counterparties</w:t>
            </w:r>
          </w:p>
        </w:tc>
      </w:tr>
      <w:tr w:rsidR="00997FC0" w:rsidRPr="00082CE7" w14:paraId="245328F6" w14:textId="77777777" w:rsidTr="00E3392E">
        <w:trPr>
          <w:trHeight w:val="422"/>
        </w:trPr>
        <w:tc>
          <w:tcPr>
            <w:tcW w:w="1937"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60" w:type="dxa"/>
              <w:left w:w="80" w:type="dxa"/>
              <w:bottom w:w="60" w:type="dxa"/>
              <w:right w:w="80" w:type="dxa"/>
            </w:tcMar>
            <w:vAlign w:val="center"/>
          </w:tcPr>
          <w:p w14:paraId="4B75FCA4" w14:textId="77777777" w:rsidR="00997FC0" w:rsidRPr="00082CE7" w:rsidRDefault="00997FC0" w:rsidP="00E3392E">
            <w:pPr>
              <w:rPr>
                <w:rFonts w:ascii="Work Sans" w:hAnsi="Work Sans"/>
              </w:rPr>
            </w:pPr>
            <w:r w:rsidRPr="00082CE7">
              <w:rPr>
                <w:rFonts w:ascii="Work Sans" w:hAnsi="Work Sans"/>
                <w:b/>
                <w:bCs/>
                <w:sz w:val="18"/>
                <w:szCs w:val="18"/>
              </w:rPr>
              <w:t>Deutsche Bank</w:t>
            </w:r>
          </w:p>
        </w:tc>
        <w:tc>
          <w:tcPr>
            <w:tcW w:w="1556"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40" w:type="dxa"/>
              <w:left w:w="80" w:type="dxa"/>
              <w:bottom w:w="40" w:type="dxa"/>
              <w:right w:w="80" w:type="dxa"/>
            </w:tcMar>
            <w:vAlign w:val="center"/>
          </w:tcPr>
          <w:p w14:paraId="086A0F4D" w14:textId="77777777" w:rsidR="00997FC0" w:rsidRPr="00082CE7" w:rsidRDefault="00997FC0" w:rsidP="00E3392E">
            <w:pPr>
              <w:jc w:val="center"/>
              <w:rPr>
                <w:rFonts w:ascii="Work Sans" w:hAnsi="Work Sans"/>
              </w:rPr>
            </w:pPr>
            <w:r w:rsidRPr="00082CE7">
              <w:rPr>
                <w:rFonts w:ascii="Work Sans" w:hAnsi="Work Sans"/>
                <w:sz w:val="18"/>
                <w:szCs w:val="18"/>
              </w:rPr>
              <w:t>Active Pilots</w:t>
            </w:r>
          </w:p>
        </w:tc>
        <w:tc>
          <w:tcPr>
            <w:tcW w:w="5531"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40" w:type="dxa"/>
              <w:left w:w="80" w:type="dxa"/>
              <w:bottom w:w="40" w:type="dxa"/>
              <w:right w:w="80" w:type="dxa"/>
            </w:tcMar>
            <w:vAlign w:val="center"/>
          </w:tcPr>
          <w:p w14:paraId="67D9A9C7" w14:textId="77777777" w:rsidR="00997FC0" w:rsidRPr="00082CE7" w:rsidRDefault="00997FC0" w:rsidP="00E3392E">
            <w:pPr>
              <w:rPr>
                <w:rFonts w:ascii="Work Sans" w:hAnsi="Work Sans"/>
              </w:rPr>
            </w:pPr>
            <w:r w:rsidRPr="00082CE7">
              <w:rPr>
                <w:rFonts w:ascii="Work Sans" w:hAnsi="Work Sans"/>
                <w:sz w:val="18"/>
                <w:szCs w:val="18"/>
              </w:rPr>
              <w:t>Major derivatives counterparty to US banks; CDM connectivity increasingly expected</w:t>
            </w:r>
          </w:p>
        </w:tc>
      </w:tr>
      <w:tr w:rsidR="00997FC0" w:rsidRPr="00082CE7" w14:paraId="551580CC" w14:textId="77777777" w:rsidTr="00E3392E">
        <w:trPr>
          <w:trHeight w:val="422"/>
        </w:trPr>
        <w:tc>
          <w:tcPr>
            <w:tcW w:w="1937"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5572DE6" w14:textId="77777777" w:rsidR="00997FC0" w:rsidRPr="00082CE7" w:rsidRDefault="00997FC0" w:rsidP="00E3392E">
            <w:pPr>
              <w:rPr>
                <w:rFonts w:ascii="Work Sans" w:hAnsi="Work Sans"/>
              </w:rPr>
            </w:pPr>
            <w:r w:rsidRPr="00082CE7">
              <w:rPr>
                <w:rFonts w:ascii="Work Sans" w:hAnsi="Work Sans"/>
                <w:b/>
                <w:bCs/>
                <w:sz w:val="18"/>
                <w:szCs w:val="18"/>
              </w:rPr>
              <w:t>UBS</w:t>
            </w:r>
          </w:p>
        </w:tc>
        <w:tc>
          <w:tcPr>
            <w:tcW w:w="1556"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C88A3CD" w14:textId="77777777" w:rsidR="00997FC0" w:rsidRPr="00082CE7" w:rsidRDefault="00997FC0" w:rsidP="00E3392E">
            <w:pPr>
              <w:jc w:val="center"/>
              <w:rPr>
                <w:rFonts w:ascii="Work Sans" w:hAnsi="Work Sans"/>
              </w:rPr>
            </w:pPr>
            <w:r w:rsidRPr="00082CE7">
              <w:rPr>
                <w:rFonts w:ascii="Work Sans" w:hAnsi="Work Sans"/>
                <w:sz w:val="18"/>
                <w:szCs w:val="18"/>
              </w:rPr>
              <w:t>Pilot/Evaluation</w:t>
            </w:r>
          </w:p>
        </w:tc>
        <w:tc>
          <w:tcPr>
            <w:tcW w:w="5531"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100C1BF" w14:textId="77777777" w:rsidR="00997FC0" w:rsidRPr="00082CE7" w:rsidRDefault="00997FC0" w:rsidP="00E3392E">
            <w:pPr>
              <w:rPr>
                <w:rFonts w:ascii="Work Sans" w:hAnsi="Work Sans"/>
              </w:rPr>
            </w:pPr>
            <w:r w:rsidRPr="00082CE7">
              <w:rPr>
                <w:rFonts w:ascii="Work Sans" w:hAnsi="Work Sans"/>
                <w:sz w:val="18"/>
                <w:szCs w:val="18"/>
              </w:rPr>
              <w:t>Scale of combined entity may accelerate adoption decision</w:t>
            </w:r>
          </w:p>
        </w:tc>
      </w:tr>
      <w:tr w:rsidR="00997FC0" w:rsidRPr="00082CE7" w14:paraId="32F4AE85" w14:textId="77777777" w:rsidTr="00E3392E">
        <w:trPr>
          <w:trHeight w:val="422"/>
        </w:trPr>
        <w:tc>
          <w:tcPr>
            <w:tcW w:w="1937"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60" w:type="dxa"/>
              <w:left w:w="80" w:type="dxa"/>
              <w:bottom w:w="60" w:type="dxa"/>
              <w:right w:w="80" w:type="dxa"/>
            </w:tcMar>
            <w:vAlign w:val="center"/>
          </w:tcPr>
          <w:p w14:paraId="34FAE5BB" w14:textId="77777777" w:rsidR="00997FC0" w:rsidRPr="00082CE7" w:rsidRDefault="00997FC0" w:rsidP="00E3392E">
            <w:pPr>
              <w:rPr>
                <w:rFonts w:ascii="Work Sans" w:hAnsi="Work Sans"/>
              </w:rPr>
            </w:pPr>
            <w:r w:rsidRPr="00082CE7">
              <w:rPr>
                <w:rFonts w:ascii="Work Sans" w:hAnsi="Work Sans"/>
                <w:b/>
                <w:bCs/>
                <w:sz w:val="18"/>
                <w:szCs w:val="18"/>
              </w:rPr>
              <w:t>Barclays</w:t>
            </w:r>
          </w:p>
        </w:tc>
        <w:tc>
          <w:tcPr>
            <w:tcW w:w="1556"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40" w:type="dxa"/>
              <w:left w:w="80" w:type="dxa"/>
              <w:bottom w:w="40" w:type="dxa"/>
              <w:right w:w="80" w:type="dxa"/>
            </w:tcMar>
            <w:vAlign w:val="center"/>
          </w:tcPr>
          <w:p w14:paraId="184C05B0" w14:textId="77777777" w:rsidR="00997FC0" w:rsidRPr="00082CE7" w:rsidRDefault="00997FC0" w:rsidP="00E3392E">
            <w:pPr>
              <w:jc w:val="center"/>
              <w:rPr>
                <w:rFonts w:ascii="Work Sans" w:hAnsi="Work Sans"/>
              </w:rPr>
            </w:pPr>
            <w:r w:rsidRPr="00082CE7">
              <w:rPr>
                <w:rFonts w:ascii="Work Sans" w:hAnsi="Work Sans"/>
                <w:sz w:val="18"/>
                <w:szCs w:val="18"/>
              </w:rPr>
              <w:t>FINOS Contributor</w:t>
            </w:r>
          </w:p>
        </w:tc>
        <w:tc>
          <w:tcPr>
            <w:tcW w:w="5531"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40" w:type="dxa"/>
              <w:left w:w="80" w:type="dxa"/>
              <w:bottom w:w="40" w:type="dxa"/>
              <w:right w:w="80" w:type="dxa"/>
            </w:tcMar>
            <w:vAlign w:val="center"/>
          </w:tcPr>
          <w:p w14:paraId="3782E0BE" w14:textId="77777777" w:rsidR="00997FC0" w:rsidRPr="00082CE7" w:rsidRDefault="00997FC0" w:rsidP="00E3392E">
            <w:pPr>
              <w:rPr>
                <w:rFonts w:ascii="Work Sans" w:hAnsi="Work Sans"/>
              </w:rPr>
            </w:pPr>
            <w:r w:rsidRPr="00082CE7">
              <w:rPr>
                <w:rFonts w:ascii="Work Sans" w:hAnsi="Work Sans"/>
                <w:sz w:val="18"/>
                <w:szCs w:val="18"/>
              </w:rPr>
              <w:t>UK EMIR compliance driver; potential fast-follower</w:t>
            </w:r>
          </w:p>
        </w:tc>
      </w:tr>
      <w:tr w:rsidR="00997FC0" w:rsidRPr="00082CE7" w14:paraId="2FC35498" w14:textId="77777777" w:rsidTr="00E3392E">
        <w:trPr>
          <w:trHeight w:val="423"/>
        </w:trPr>
        <w:tc>
          <w:tcPr>
            <w:tcW w:w="1937"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FD7E175" w14:textId="77777777" w:rsidR="00997FC0" w:rsidRPr="00082CE7" w:rsidRDefault="00997FC0" w:rsidP="00E3392E">
            <w:pPr>
              <w:rPr>
                <w:rFonts w:ascii="Work Sans" w:hAnsi="Work Sans"/>
              </w:rPr>
            </w:pPr>
            <w:r w:rsidRPr="00082CE7">
              <w:rPr>
                <w:rFonts w:ascii="Work Sans" w:hAnsi="Work Sans"/>
                <w:b/>
                <w:bCs/>
                <w:sz w:val="18"/>
                <w:szCs w:val="18"/>
              </w:rPr>
              <w:t>JSCC (Japan)</w:t>
            </w:r>
          </w:p>
        </w:tc>
        <w:tc>
          <w:tcPr>
            <w:tcW w:w="1556"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7F127BC" w14:textId="77777777" w:rsidR="00997FC0" w:rsidRPr="00082CE7" w:rsidRDefault="00997FC0" w:rsidP="00E3392E">
            <w:pPr>
              <w:jc w:val="center"/>
              <w:rPr>
                <w:rFonts w:ascii="Work Sans" w:hAnsi="Work Sans"/>
              </w:rPr>
            </w:pPr>
            <w:r w:rsidRPr="00082CE7">
              <w:rPr>
                <w:rFonts w:ascii="Work Sans" w:hAnsi="Work Sans"/>
                <w:sz w:val="18"/>
                <w:szCs w:val="18"/>
              </w:rPr>
              <w:t>Production</w:t>
            </w:r>
          </w:p>
        </w:tc>
        <w:tc>
          <w:tcPr>
            <w:tcW w:w="5531"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98E363C" w14:textId="77777777" w:rsidR="00997FC0" w:rsidRPr="00082CE7" w:rsidRDefault="00997FC0" w:rsidP="00E3392E">
            <w:pPr>
              <w:rPr>
                <w:rFonts w:ascii="Work Sans" w:hAnsi="Work Sans"/>
              </w:rPr>
            </w:pPr>
            <w:r w:rsidRPr="00082CE7">
              <w:rPr>
                <w:rFonts w:ascii="Work Sans" w:hAnsi="Work Sans"/>
                <w:sz w:val="18"/>
                <w:szCs w:val="18"/>
              </w:rPr>
              <w:t>Central counterparty adoption creates network pressure across Asia-Pacific</w:t>
            </w:r>
          </w:p>
        </w:tc>
      </w:tr>
    </w:tbl>
    <w:p w14:paraId="739118EB" w14:textId="77777777" w:rsidR="00997FC0" w:rsidRDefault="00997FC0" w:rsidP="00997FC0">
      <w:pPr>
        <w:spacing w:before="360" w:after="160"/>
        <w:rPr>
          <w:rFonts w:ascii="Work Sans" w:hAnsi="Work Sans"/>
        </w:rPr>
      </w:pPr>
      <w:r w:rsidRPr="00A674E9">
        <w:rPr>
          <w:rFonts w:ascii="Work Sans" w:hAnsi="Work Sans"/>
        </w:rPr>
        <w:t>Network effects are building offshore. When counterparties require CDM-native connectivity for collateral and settlement, pressure transmits to US institutions. The timeline is uncertain; the direction is not.</w:t>
      </w:r>
    </w:p>
    <w:p w14:paraId="2075D713" w14:textId="77777777" w:rsidR="00997FC0" w:rsidRPr="00A674E9" w:rsidRDefault="00997FC0" w:rsidP="00997FC0">
      <w:pPr>
        <w:spacing w:before="360" w:after="160"/>
        <w:rPr>
          <w:rFonts w:ascii="Work Sans" w:hAnsi="Work Sans"/>
        </w:rPr>
      </w:pPr>
      <w:r w:rsidRPr="00A674E9">
        <w:rPr>
          <w:rFonts w:ascii="Work Sans" w:hAnsi="Work Sans"/>
        </w:rPr>
        <w:t xml:space="preserve">The </w:t>
      </w:r>
      <w:commentRangeStart w:id="9"/>
      <w:r w:rsidRPr="00D849C8">
        <w:rPr>
          <w:rFonts w:ascii="Work Sans" w:hAnsi="Work Sans"/>
          <w:b/>
          <w:bCs/>
        </w:rPr>
        <w:t>custody banks represent a wildcard</w:t>
      </w:r>
      <w:commentRangeEnd w:id="9"/>
      <w:r w:rsidR="00D849C8">
        <w:rPr>
          <w:rStyle w:val="CommentReference"/>
        </w:rPr>
        <w:commentReference w:id="9"/>
      </w:r>
      <w:r w:rsidRPr="00A674E9">
        <w:rPr>
          <w:rFonts w:ascii="Work Sans" w:hAnsi="Work Sans"/>
        </w:rPr>
        <w:t>. If either moves CDM from compliance checkbox to service differentiator, the entire market timeline compresses—the trigger most likely to catch Archetype 3-4 institutions off-guard.</w:t>
      </w:r>
    </w:p>
    <w:p w14:paraId="63C8B65D" w14:textId="77777777" w:rsidR="00997FC0" w:rsidRPr="00A674E9" w:rsidRDefault="00997FC0" w:rsidP="00997FC0">
      <w:pPr>
        <w:spacing w:before="360" w:after="160"/>
        <w:rPr>
          <w:rFonts w:ascii="Work Sans" w:hAnsi="Work Sans"/>
        </w:rPr>
      </w:pPr>
      <w:r w:rsidRPr="00A674E9">
        <w:rPr>
          <w:rFonts w:ascii="Work Sans" w:hAnsi="Work Sans"/>
        </w:rPr>
        <w:t>These forces frame the calculus. The question is timing.</w:t>
      </w:r>
    </w:p>
    <w:p w14:paraId="2608EC0C" w14:textId="77777777" w:rsidR="00997FC0" w:rsidRPr="00082CE7" w:rsidRDefault="00997FC0" w:rsidP="00997FC0">
      <w:pPr>
        <w:spacing w:before="360" w:after="160"/>
        <w:rPr>
          <w:rFonts w:ascii="Work Sans" w:hAnsi="Work Sans"/>
          <w:color w:val="DA291C"/>
          <w:sz w:val="48"/>
          <w:szCs w:val="48"/>
        </w:rPr>
      </w:pPr>
      <w:r w:rsidRPr="00082CE7">
        <w:rPr>
          <w:rFonts w:ascii="Work Sans" w:hAnsi="Work Sans"/>
          <w:color w:val="DA291C"/>
          <w:sz w:val="48"/>
          <w:szCs w:val="48"/>
        </w:rPr>
        <w:lastRenderedPageBreak/>
        <w:t>Section 4: Adoption Timing</w:t>
      </w:r>
    </w:p>
    <w:p w14:paraId="3F544F2B" w14:textId="518DA01A" w:rsidR="00997FC0" w:rsidRPr="00082CE7" w:rsidRDefault="00997FC0" w:rsidP="00997FC0">
      <w:pPr>
        <w:spacing w:after="160"/>
        <w:rPr>
          <w:rFonts w:ascii="Work Sans" w:hAnsi="Work Sans"/>
        </w:rPr>
      </w:pPr>
      <w:r w:rsidRPr="00082CE7">
        <w:rPr>
          <w:rFonts w:ascii="Work Sans" w:hAnsi="Work Sans"/>
        </w:rPr>
        <w:t>The strategic calculus favors deliberate positioning over reactive adoption</w:t>
      </w:r>
      <w:r w:rsidR="00D849C8">
        <w:rPr>
          <w:rFonts w:ascii="Work Sans" w:hAnsi="Work Sans"/>
        </w:rPr>
        <w:t xml:space="preserve">, </w:t>
      </w:r>
      <w:r w:rsidRPr="00082CE7">
        <w:rPr>
          <w:rFonts w:ascii="Work Sans" w:hAnsi="Work Sans"/>
        </w:rPr>
        <w:t>but deliberate is not the same as passive. Several factors currently favor patience; others could compress timelines rapidly. Navigating this tension requires understanding both the forces at play and the specific thresholds that should prompt reassessment.</w:t>
      </w:r>
    </w:p>
    <w:p w14:paraId="206DF10D" w14:textId="77777777" w:rsidR="00997FC0" w:rsidRPr="00082CE7" w:rsidRDefault="00997FC0" w:rsidP="00997FC0">
      <w:pPr>
        <w:spacing w:before="360" w:after="160"/>
        <w:rPr>
          <w:rFonts w:ascii="Work Sans" w:hAnsi="Work Sans"/>
          <w:color w:val="DA291C"/>
          <w:sz w:val="28"/>
          <w:szCs w:val="28"/>
        </w:rPr>
      </w:pPr>
      <w:r w:rsidRPr="00082CE7">
        <w:rPr>
          <w:rFonts w:ascii="Work Sans" w:hAnsi="Work Sans"/>
          <w:color w:val="DA291C"/>
          <w:sz w:val="28"/>
          <w:szCs w:val="28"/>
        </w:rPr>
        <w:t>Forces Supporting Staged Entry</w:t>
      </w:r>
    </w:p>
    <w:p w14:paraId="34C53DB0" w14:textId="77777777" w:rsidR="00997FC0" w:rsidRPr="00082CE7" w:rsidRDefault="00997FC0" w:rsidP="00997FC0">
      <w:pPr>
        <w:spacing w:after="160"/>
        <w:rPr>
          <w:rFonts w:ascii="Work Sans" w:hAnsi="Work Sans"/>
        </w:rPr>
      </w:pPr>
      <w:r w:rsidRPr="00082CE7">
        <w:rPr>
          <w:rFonts w:ascii="Work Sans" w:hAnsi="Work Sans"/>
        </w:rPr>
        <w:t>Five forces support staged entry through 2026:</w:t>
      </w:r>
    </w:p>
    <w:p w14:paraId="0EAFC284" w14:textId="3BDF2CD2" w:rsidR="00D849C8" w:rsidRDefault="00D849C8" w:rsidP="00997FC0">
      <w:pPr>
        <w:spacing w:after="160"/>
        <w:rPr>
          <w:rFonts w:ascii="Work Sans" w:hAnsi="Work Sans"/>
        </w:rPr>
      </w:pPr>
      <w:r w:rsidRPr="00082CE7">
        <w:rPr>
          <w:rFonts w:ascii="Work Sans" w:hAnsi="Work Sans"/>
          <w:b/>
          <w:bCs/>
        </w:rPr>
        <w:t xml:space="preserve">Maturing utilities. </w:t>
      </w:r>
      <w:r w:rsidRPr="00082CE7">
        <w:rPr>
          <w:rFonts w:ascii="Work Sans" w:hAnsi="Work Sans"/>
        </w:rPr>
        <w:t>DTCC/REGnosys solutions may deliver 80% of compliance value at a fraction of Native cost for Archetypes 3–4.</w:t>
      </w:r>
    </w:p>
    <w:p w14:paraId="20FCB246" w14:textId="377035A7" w:rsidR="00D849C8" w:rsidRDefault="00D849C8" w:rsidP="00997FC0">
      <w:pPr>
        <w:spacing w:after="160"/>
        <w:rPr>
          <w:rFonts w:ascii="Work Sans" w:hAnsi="Work Sans"/>
        </w:rPr>
      </w:pPr>
      <w:r w:rsidRPr="00082CE7">
        <w:rPr>
          <w:rFonts w:ascii="Work Sans" w:hAnsi="Work Sans"/>
          <w:b/>
          <w:bCs/>
        </w:rPr>
        <w:t xml:space="preserve">Standard still evolving. </w:t>
      </w:r>
      <w:r w:rsidRPr="00082CE7">
        <w:rPr>
          <w:rFonts w:ascii="Work Sans" w:hAnsi="Work Sans"/>
        </w:rPr>
        <w:t>REGnosys noted gaps before CDM was 'CFTC-ready.' First sell-side maintainer added May 2025. Waiting reduces custom development requirements.</w:t>
      </w:r>
    </w:p>
    <w:p w14:paraId="03209763" w14:textId="2D2E9D02" w:rsidR="00D849C8" w:rsidRDefault="00D849C8" w:rsidP="00997FC0">
      <w:pPr>
        <w:spacing w:after="160"/>
        <w:rPr>
          <w:rFonts w:ascii="Work Sans" w:hAnsi="Work Sans"/>
        </w:rPr>
      </w:pPr>
      <w:r w:rsidRPr="00082CE7">
        <w:rPr>
          <w:rFonts w:ascii="Work Sans" w:hAnsi="Work Sans"/>
          <w:b/>
          <w:bCs/>
        </w:rPr>
        <w:t xml:space="preserve">No explicit mandate. </w:t>
      </w:r>
      <w:r w:rsidRPr="00082CE7">
        <w:rPr>
          <w:rFonts w:ascii="Work Sans" w:hAnsi="Work Sans"/>
        </w:rPr>
        <w:t>Despite ISDA's FDTA recommendation, no CDM mandate has emerged. SEC data transparency compliance is expected early 2027, but regulatory trajectory could favor any archetype.</w:t>
      </w:r>
    </w:p>
    <w:p w14:paraId="0DDC6B19" w14:textId="5009452D" w:rsidR="00997FC0" w:rsidRPr="00082CE7" w:rsidRDefault="00997FC0" w:rsidP="00997FC0">
      <w:pPr>
        <w:spacing w:after="160"/>
        <w:rPr>
          <w:rFonts w:ascii="Work Sans" w:hAnsi="Work Sans"/>
        </w:rPr>
      </w:pPr>
      <w:r w:rsidRPr="00082CE7">
        <w:rPr>
          <w:rFonts w:ascii="Work Sans" w:hAnsi="Work Sans"/>
          <w:b/>
          <w:bCs/>
        </w:rPr>
        <w:t xml:space="preserve">ISO 20022 precedent. </w:t>
      </w:r>
      <w:r w:rsidRPr="00082CE7">
        <w:rPr>
          <w:rFonts w:ascii="Work Sans" w:hAnsi="Work Sans"/>
        </w:rPr>
        <w:t>SWIFT delays meant early adopters faced rework costs; fast-followers benefited from mature specs. With only four firms in CDM production globally, this remains early-adopter territory.</w:t>
      </w:r>
    </w:p>
    <w:p w14:paraId="611C661F" w14:textId="77777777" w:rsidR="00997FC0" w:rsidRPr="00082CE7" w:rsidRDefault="00997FC0" w:rsidP="00997FC0">
      <w:pPr>
        <w:spacing w:after="160"/>
        <w:rPr>
          <w:rFonts w:ascii="Work Sans" w:hAnsi="Work Sans"/>
        </w:rPr>
      </w:pPr>
      <w:r w:rsidRPr="00082CE7">
        <w:rPr>
          <w:rFonts w:ascii="Work Sans" w:hAnsi="Work Sans"/>
          <w:b/>
          <w:bCs/>
        </w:rPr>
        <w:t xml:space="preserve">History favors wrappers. </w:t>
      </w:r>
      <w:r w:rsidRPr="00082CE7">
        <w:rPr>
          <w:rFonts w:ascii="Work Sans" w:hAnsi="Work Sans"/>
        </w:rPr>
        <w:t>The FpML (legacy) adoption cycle proved translation strategies can succeed for decades.</w:t>
      </w:r>
    </w:p>
    <w:p w14:paraId="19868E01" w14:textId="77777777" w:rsidR="00997FC0" w:rsidRPr="00082CE7" w:rsidRDefault="00997FC0" w:rsidP="00997FC0">
      <w:pPr>
        <w:spacing w:before="360" w:after="160"/>
        <w:rPr>
          <w:rFonts w:ascii="Work Sans" w:hAnsi="Work Sans"/>
          <w:color w:val="DA291C"/>
          <w:sz w:val="28"/>
          <w:szCs w:val="28"/>
        </w:rPr>
      </w:pPr>
      <w:r w:rsidRPr="00082CE7">
        <w:rPr>
          <w:rFonts w:ascii="Work Sans" w:hAnsi="Work Sans"/>
          <w:color w:val="DA291C"/>
          <w:sz w:val="28"/>
          <w:szCs w:val="28"/>
        </w:rPr>
        <w:t>Forces That Could Compress Timelines</w:t>
      </w:r>
    </w:p>
    <w:p w14:paraId="5A026E90" w14:textId="77777777" w:rsidR="00997FC0" w:rsidRPr="00082CE7" w:rsidRDefault="00997FC0" w:rsidP="00997FC0">
      <w:pPr>
        <w:spacing w:after="160"/>
        <w:rPr>
          <w:rFonts w:ascii="Work Sans" w:hAnsi="Work Sans"/>
        </w:rPr>
      </w:pPr>
      <w:r w:rsidRPr="00A674E9">
        <w:rPr>
          <w:rFonts w:ascii="Work Sans" w:hAnsi="Work Sans"/>
        </w:rPr>
        <w:t xml:space="preserve">Eight forces could accelerate timelines. </w:t>
      </w:r>
      <w:r w:rsidRPr="00A674E9">
        <w:rPr>
          <w:rFonts w:ascii="Work Sans" w:hAnsi="Work Sans"/>
          <w:color w:val="DA291C"/>
        </w:rPr>
        <w:t>Three carry outsized probability: regulatory trajectory, adoption velocity, and custodian positioning</w:t>
      </w:r>
      <w:r w:rsidRPr="00A674E9">
        <w:rPr>
          <w:rFonts w:ascii="Work Sans" w:hAnsi="Work Sans"/>
        </w:rPr>
        <w:t>. The table below details each with specific reassessment thresholds.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00"/>
      </w:tblGrid>
      <w:tr w:rsidR="00997FC0" w:rsidRPr="00082CE7" w14:paraId="3502D0F4" w14:textId="77777777" w:rsidTr="00E3392E">
        <w:trPr>
          <w:tblHeader/>
        </w:trPr>
        <w:tc>
          <w:tcPr>
            <w:tcW w:w="2200" w:type="dxa"/>
            <w:tcBorders>
              <w:top w:val="single" w:sz="2" w:space="0" w:color="CCCCCC"/>
              <w:left w:val="single" w:sz="2" w:space="0" w:color="CCCCCC"/>
              <w:bottom w:val="single" w:sz="2" w:space="0" w:color="CCCCCC"/>
              <w:right w:val="single" w:sz="2" w:space="0" w:color="CCCCCC"/>
            </w:tcBorders>
            <w:shd w:val="clear" w:color="auto" w:fill="032340"/>
            <w:vAlign w:val="center"/>
            <w:hideMark/>
          </w:tcPr>
          <w:p w14:paraId="2A587EFA" w14:textId="77777777" w:rsidR="00997FC0" w:rsidRPr="00082CE7" w:rsidRDefault="00997FC0" w:rsidP="00E3392E">
            <w:pPr>
              <w:jc w:val="center"/>
              <w:rPr>
                <w:rFonts w:ascii="Work Sans" w:hAnsi="Work Sans"/>
              </w:rPr>
            </w:pPr>
            <w:r w:rsidRPr="00082CE7">
              <w:rPr>
                <w:rFonts w:ascii="Work Sans" w:hAnsi="Work Sans"/>
                <w:b/>
                <w:bCs/>
                <w:color w:val="FFFFFF"/>
                <w:sz w:val="18"/>
                <w:szCs w:val="18"/>
              </w:rPr>
              <w:t>Force</w:t>
            </w:r>
          </w:p>
        </w:tc>
        <w:tc>
          <w:tcPr>
            <w:tcW w:w="3200" w:type="dxa"/>
            <w:tcBorders>
              <w:top w:val="single" w:sz="2" w:space="0" w:color="CCCCCC"/>
              <w:left w:val="single" w:sz="2" w:space="0" w:color="CCCCCC"/>
              <w:bottom w:val="single" w:sz="2" w:space="0" w:color="CCCCCC"/>
              <w:right w:val="single" w:sz="2" w:space="0" w:color="CCCCCC"/>
            </w:tcBorders>
            <w:shd w:val="clear" w:color="auto" w:fill="032340"/>
            <w:vAlign w:val="center"/>
            <w:hideMark/>
          </w:tcPr>
          <w:p w14:paraId="200C0F8B" w14:textId="77777777" w:rsidR="00997FC0" w:rsidRPr="00082CE7" w:rsidRDefault="00997FC0" w:rsidP="00E3392E">
            <w:pPr>
              <w:jc w:val="center"/>
              <w:rPr>
                <w:rFonts w:ascii="Work Sans" w:hAnsi="Work Sans"/>
              </w:rPr>
            </w:pPr>
            <w:r w:rsidRPr="00082CE7">
              <w:rPr>
                <w:rFonts w:ascii="Work Sans" w:hAnsi="Work Sans"/>
                <w:b/>
                <w:bCs/>
                <w:color w:val="FFFFFF"/>
                <w:sz w:val="18"/>
                <w:szCs w:val="18"/>
              </w:rPr>
              <w:t>Strategic Logic</w:t>
            </w:r>
          </w:p>
        </w:tc>
        <w:tc>
          <w:tcPr>
            <w:tcW w:w="3600" w:type="dxa"/>
            <w:tcBorders>
              <w:top w:val="single" w:sz="2" w:space="0" w:color="CCCCCC"/>
              <w:left w:val="single" w:sz="2" w:space="0" w:color="CCCCCC"/>
              <w:bottom w:val="single" w:sz="2" w:space="0" w:color="CCCCCC"/>
              <w:right w:val="single" w:sz="2" w:space="0" w:color="CCCCCC"/>
            </w:tcBorders>
            <w:shd w:val="clear" w:color="auto" w:fill="032340"/>
            <w:vAlign w:val="center"/>
            <w:hideMark/>
          </w:tcPr>
          <w:p w14:paraId="09BD0F5B" w14:textId="77777777" w:rsidR="00997FC0" w:rsidRPr="00082CE7" w:rsidRDefault="00997FC0" w:rsidP="00E3392E">
            <w:pPr>
              <w:jc w:val="center"/>
              <w:rPr>
                <w:rFonts w:ascii="Work Sans" w:hAnsi="Work Sans"/>
              </w:rPr>
            </w:pPr>
            <w:r w:rsidRPr="00082CE7">
              <w:rPr>
                <w:rFonts w:ascii="Work Sans" w:hAnsi="Work Sans"/>
                <w:b/>
                <w:bCs/>
                <w:color w:val="FFFFFF"/>
                <w:sz w:val="18"/>
                <w:szCs w:val="18"/>
              </w:rPr>
              <w:t>Reassessment Trigger</w:t>
            </w:r>
          </w:p>
        </w:tc>
      </w:tr>
      <w:tr w:rsidR="00997FC0" w:rsidRPr="00082CE7" w14:paraId="64844013" w14:textId="77777777" w:rsidTr="00E3392E">
        <w:trPr>
          <w:trHeight w:val="659"/>
        </w:trPr>
        <w:tc>
          <w:tcPr>
            <w:tcW w:w="2200" w:type="dxa"/>
            <w:tcBorders>
              <w:top w:val="single" w:sz="2" w:space="0" w:color="CCCCCC"/>
              <w:left w:val="single" w:sz="2" w:space="0" w:color="CCCCCC"/>
              <w:bottom w:val="single" w:sz="2" w:space="0" w:color="CCCCCC"/>
              <w:right w:val="single" w:sz="2" w:space="0" w:color="CCCCCC"/>
            </w:tcBorders>
            <w:vAlign w:val="center"/>
            <w:hideMark/>
          </w:tcPr>
          <w:p w14:paraId="4816F1A3" w14:textId="77777777" w:rsidR="00997FC0" w:rsidRPr="00082CE7" w:rsidRDefault="00997FC0" w:rsidP="00E3392E">
            <w:pPr>
              <w:rPr>
                <w:rFonts w:ascii="Work Sans" w:hAnsi="Work Sans"/>
              </w:rPr>
            </w:pPr>
            <w:r w:rsidRPr="00082CE7">
              <w:rPr>
                <w:rFonts w:ascii="Work Sans" w:hAnsi="Work Sans"/>
                <w:b/>
                <w:bCs/>
                <w:sz w:val="18"/>
                <w:szCs w:val="18"/>
              </w:rPr>
              <w:t>Regulatory trajectory</w:t>
            </w:r>
          </w:p>
        </w:tc>
        <w:tc>
          <w:tcPr>
            <w:tcW w:w="3200" w:type="dxa"/>
            <w:tcBorders>
              <w:top w:val="single" w:sz="2" w:space="0" w:color="CCCCCC"/>
              <w:left w:val="single" w:sz="2" w:space="0" w:color="CCCCCC"/>
              <w:bottom w:val="single" w:sz="2" w:space="0" w:color="CCCCCC"/>
              <w:right w:val="single" w:sz="2" w:space="0" w:color="CCCCCC"/>
            </w:tcBorders>
            <w:vAlign w:val="center"/>
            <w:hideMark/>
          </w:tcPr>
          <w:p w14:paraId="3340E19E" w14:textId="77777777" w:rsidR="00997FC0" w:rsidRPr="00082CE7" w:rsidRDefault="00997FC0" w:rsidP="00E3392E">
            <w:pPr>
              <w:rPr>
                <w:rFonts w:ascii="Work Sans" w:hAnsi="Work Sans"/>
              </w:rPr>
            </w:pPr>
            <w:r w:rsidRPr="00082CE7">
              <w:rPr>
                <w:rFonts w:ascii="Work Sans" w:hAnsi="Work Sans"/>
                <w:sz w:val="18"/>
                <w:szCs w:val="18"/>
              </w:rPr>
              <w:t>FDTA (enacted December 2022) plus August 2024 joint proposal suggest a possible mandate pathway</w:t>
            </w:r>
          </w:p>
        </w:tc>
        <w:tc>
          <w:tcPr>
            <w:tcW w:w="3600" w:type="dxa"/>
            <w:tcBorders>
              <w:top w:val="single" w:sz="2" w:space="0" w:color="CCCCCC"/>
              <w:left w:val="single" w:sz="2" w:space="0" w:color="CCCCCC"/>
              <w:bottom w:val="single" w:sz="2" w:space="0" w:color="CCCCCC"/>
              <w:right w:val="single" w:sz="2" w:space="0" w:color="CCCCCC"/>
            </w:tcBorders>
            <w:vAlign w:val="center"/>
            <w:hideMark/>
          </w:tcPr>
          <w:p w14:paraId="5B1C3759" w14:textId="77777777" w:rsidR="00997FC0" w:rsidRPr="00082CE7" w:rsidRDefault="00997FC0" w:rsidP="00E3392E">
            <w:pPr>
              <w:rPr>
                <w:rFonts w:ascii="Work Sans" w:hAnsi="Work Sans"/>
              </w:rPr>
            </w:pPr>
            <w:r w:rsidRPr="00082CE7">
              <w:rPr>
                <w:rFonts w:ascii="Work Sans" w:hAnsi="Work Sans"/>
                <w:sz w:val="18"/>
                <w:szCs w:val="18"/>
              </w:rPr>
              <w:t>Regulators signal CDM-upstream requirements (data lineage, real-time reporting)</w:t>
            </w:r>
          </w:p>
        </w:tc>
      </w:tr>
      <w:tr w:rsidR="00997FC0" w:rsidRPr="00082CE7" w14:paraId="3264F992" w14:textId="77777777" w:rsidTr="00E3392E">
        <w:trPr>
          <w:trHeight w:val="659"/>
        </w:trPr>
        <w:tc>
          <w:tcPr>
            <w:tcW w:w="2200" w:type="dxa"/>
            <w:tcBorders>
              <w:top w:val="single" w:sz="2" w:space="0" w:color="CCCCCC"/>
              <w:left w:val="single" w:sz="2" w:space="0" w:color="CCCCCC"/>
              <w:bottom w:val="single" w:sz="2" w:space="0" w:color="CCCCCC"/>
              <w:right w:val="single" w:sz="2" w:space="0" w:color="CCCCCC"/>
            </w:tcBorders>
            <w:shd w:val="clear" w:color="auto" w:fill="F2F2F2"/>
            <w:vAlign w:val="center"/>
            <w:hideMark/>
          </w:tcPr>
          <w:p w14:paraId="409B0493" w14:textId="77777777" w:rsidR="00997FC0" w:rsidRPr="00082CE7" w:rsidRDefault="00997FC0" w:rsidP="00E3392E">
            <w:pPr>
              <w:rPr>
                <w:rFonts w:ascii="Work Sans" w:hAnsi="Work Sans"/>
              </w:rPr>
            </w:pPr>
            <w:r w:rsidRPr="00082CE7">
              <w:rPr>
                <w:rFonts w:ascii="Work Sans" w:hAnsi="Work Sans"/>
                <w:b/>
                <w:bCs/>
                <w:sz w:val="18"/>
                <w:szCs w:val="18"/>
              </w:rPr>
              <w:t>Adoption velocity</w:t>
            </w:r>
          </w:p>
        </w:tc>
        <w:tc>
          <w:tcPr>
            <w:tcW w:w="3200" w:type="dxa"/>
            <w:tcBorders>
              <w:top w:val="single" w:sz="2" w:space="0" w:color="CCCCCC"/>
              <w:left w:val="single" w:sz="2" w:space="0" w:color="CCCCCC"/>
              <w:bottom w:val="single" w:sz="2" w:space="0" w:color="CCCCCC"/>
              <w:right w:val="single" w:sz="2" w:space="0" w:color="CCCCCC"/>
            </w:tcBorders>
            <w:shd w:val="clear" w:color="auto" w:fill="F2F2F2"/>
            <w:vAlign w:val="center"/>
            <w:hideMark/>
          </w:tcPr>
          <w:p w14:paraId="160B55EB" w14:textId="77777777" w:rsidR="00997FC0" w:rsidRPr="00082CE7" w:rsidRDefault="00997FC0" w:rsidP="00E3392E">
            <w:pPr>
              <w:rPr>
                <w:rFonts w:ascii="Work Sans" w:hAnsi="Work Sans"/>
              </w:rPr>
            </w:pPr>
            <w:r w:rsidRPr="00082CE7">
              <w:rPr>
                <w:rFonts w:ascii="Work Sans" w:hAnsi="Work Sans"/>
                <w:sz w:val="18"/>
                <w:szCs w:val="18"/>
              </w:rPr>
              <w:t>A second major U.S. bank going native would validate JPMorgan's bet and shift market expectations</w:t>
            </w:r>
          </w:p>
        </w:tc>
        <w:tc>
          <w:tcPr>
            <w:tcW w:w="3600" w:type="dxa"/>
            <w:tcBorders>
              <w:top w:val="single" w:sz="2" w:space="0" w:color="CCCCCC"/>
              <w:left w:val="single" w:sz="2" w:space="0" w:color="CCCCCC"/>
              <w:bottom w:val="single" w:sz="2" w:space="0" w:color="CCCCCC"/>
              <w:right w:val="single" w:sz="2" w:space="0" w:color="CCCCCC"/>
            </w:tcBorders>
            <w:shd w:val="clear" w:color="auto" w:fill="F2F2F2"/>
            <w:vAlign w:val="center"/>
            <w:hideMark/>
          </w:tcPr>
          <w:p w14:paraId="4BEBDC08" w14:textId="77777777" w:rsidR="00997FC0" w:rsidRPr="00082CE7" w:rsidRDefault="00997FC0" w:rsidP="00E3392E">
            <w:pPr>
              <w:rPr>
                <w:rFonts w:ascii="Work Sans" w:hAnsi="Work Sans"/>
              </w:rPr>
            </w:pPr>
            <w:r w:rsidRPr="00082CE7">
              <w:rPr>
                <w:rFonts w:ascii="Work Sans" w:hAnsi="Work Sans"/>
                <w:sz w:val="18"/>
                <w:szCs w:val="18"/>
              </w:rPr>
              <w:t>Second Tier 1 bank announces Native production timeline</w:t>
            </w:r>
          </w:p>
        </w:tc>
      </w:tr>
      <w:tr w:rsidR="00997FC0" w:rsidRPr="00082CE7" w14:paraId="0D217CB2" w14:textId="77777777" w:rsidTr="00E3392E">
        <w:trPr>
          <w:trHeight w:val="659"/>
        </w:trPr>
        <w:tc>
          <w:tcPr>
            <w:tcW w:w="2200" w:type="dxa"/>
            <w:tcBorders>
              <w:top w:val="single" w:sz="2" w:space="0" w:color="CCCCCC"/>
              <w:left w:val="single" w:sz="2" w:space="0" w:color="CCCCCC"/>
              <w:bottom w:val="single" w:sz="2" w:space="0" w:color="CCCCCC"/>
              <w:right w:val="single" w:sz="2" w:space="0" w:color="CCCCCC"/>
            </w:tcBorders>
            <w:vAlign w:val="center"/>
            <w:hideMark/>
          </w:tcPr>
          <w:p w14:paraId="66C727A2" w14:textId="77777777" w:rsidR="00997FC0" w:rsidRPr="00082CE7" w:rsidRDefault="00997FC0" w:rsidP="00E3392E">
            <w:pPr>
              <w:rPr>
                <w:rFonts w:ascii="Work Sans" w:hAnsi="Work Sans"/>
              </w:rPr>
            </w:pPr>
            <w:r w:rsidRPr="00082CE7">
              <w:rPr>
                <w:rFonts w:ascii="Work Sans" w:hAnsi="Work Sans"/>
                <w:b/>
                <w:bCs/>
                <w:sz w:val="18"/>
                <w:szCs w:val="18"/>
              </w:rPr>
              <w:t>Network effects</w:t>
            </w:r>
          </w:p>
        </w:tc>
        <w:tc>
          <w:tcPr>
            <w:tcW w:w="3200" w:type="dxa"/>
            <w:tcBorders>
              <w:top w:val="single" w:sz="2" w:space="0" w:color="CCCCCC"/>
              <w:left w:val="single" w:sz="2" w:space="0" w:color="CCCCCC"/>
              <w:bottom w:val="single" w:sz="2" w:space="0" w:color="CCCCCC"/>
              <w:right w:val="single" w:sz="2" w:space="0" w:color="CCCCCC"/>
            </w:tcBorders>
            <w:vAlign w:val="center"/>
            <w:hideMark/>
          </w:tcPr>
          <w:p w14:paraId="01486AA4" w14:textId="77777777" w:rsidR="00997FC0" w:rsidRPr="00082CE7" w:rsidRDefault="00997FC0" w:rsidP="00E3392E">
            <w:pPr>
              <w:rPr>
                <w:rFonts w:ascii="Work Sans" w:hAnsi="Work Sans"/>
              </w:rPr>
            </w:pPr>
            <w:r w:rsidRPr="00082CE7">
              <w:rPr>
                <w:rFonts w:ascii="Work Sans" w:hAnsi="Work Sans"/>
                <w:sz w:val="18"/>
                <w:szCs w:val="18"/>
              </w:rPr>
              <w:t>Early adopters creating interoperable CDM networks raise non-participation costs</w:t>
            </w:r>
          </w:p>
        </w:tc>
        <w:tc>
          <w:tcPr>
            <w:tcW w:w="3600" w:type="dxa"/>
            <w:tcBorders>
              <w:top w:val="single" w:sz="2" w:space="0" w:color="CCCCCC"/>
              <w:left w:val="single" w:sz="2" w:space="0" w:color="CCCCCC"/>
              <w:bottom w:val="single" w:sz="2" w:space="0" w:color="CCCCCC"/>
              <w:right w:val="single" w:sz="2" w:space="0" w:color="CCCCCC"/>
            </w:tcBorders>
            <w:vAlign w:val="center"/>
            <w:hideMark/>
          </w:tcPr>
          <w:p w14:paraId="522FC18F" w14:textId="77777777" w:rsidR="00997FC0" w:rsidRPr="00082CE7" w:rsidRDefault="00997FC0" w:rsidP="00E3392E">
            <w:pPr>
              <w:rPr>
                <w:rFonts w:ascii="Work Sans" w:hAnsi="Work Sans"/>
              </w:rPr>
            </w:pPr>
            <w:r w:rsidRPr="00082CE7">
              <w:rPr>
                <w:rFonts w:ascii="Work Sans" w:hAnsi="Work Sans"/>
                <w:sz w:val="18"/>
                <w:szCs w:val="18"/>
              </w:rPr>
              <w:t>Counterparties require CDM-native connectivity for collateral or settlement</w:t>
            </w:r>
          </w:p>
        </w:tc>
      </w:tr>
      <w:tr w:rsidR="00997FC0" w:rsidRPr="00082CE7" w14:paraId="716D2B58" w14:textId="77777777" w:rsidTr="00E3392E">
        <w:trPr>
          <w:trHeight w:val="659"/>
        </w:trPr>
        <w:tc>
          <w:tcPr>
            <w:tcW w:w="2200" w:type="dxa"/>
            <w:tcBorders>
              <w:top w:val="single" w:sz="2" w:space="0" w:color="CCCCCC"/>
              <w:left w:val="single" w:sz="2" w:space="0" w:color="CCCCCC"/>
              <w:bottom w:val="single" w:sz="2" w:space="0" w:color="CCCCCC"/>
              <w:right w:val="single" w:sz="2" w:space="0" w:color="CCCCCC"/>
            </w:tcBorders>
            <w:shd w:val="clear" w:color="auto" w:fill="F2F2F2"/>
            <w:vAlign w:val="center"/>
            <w:hideMark/>
          </w:tcPr>
          <w:p w14:paraId="58B96D43" w14:textId="77777777" w:rsidR="00997FC0" w:rsidRPr="00082CE7" w:rsidRDefault="00997FC0" w:rsidP="00E3392E">
            <w:pPr>
              <w:rPr>
                <w:rFonts w:ascii="Work Sans" w:hAnsi="Work Sans"/>
              </w:rPr>
            </w:pPr>
            <w:r w:rsidRPr="00082CE7">
              <w:rPr>
                <w:rFonts w:ascii="Work Sans" w:hAnsi="Work Sans"/>
                <w:b/>
                <w:bCs/>
                <w:sz w:val="18"/>
                <w:szCs w:val="18"/>
              </w:rPr>
              <w:t>Client pressure</w:t>
            </w:r>
          </w:p>
        </w:tc>
        <w:tc>
          <w:tcPr>
            <w:tcW w:w="3200" w:type="dxa"/>
            <w:tcBorders>
              <w:top w:val="single" w:sz="2" w:space="0" w:color="CCCCCC"/>
              <w:left w:val="single" w:sz="2" w:space="0" w:color="CCCCCC"/>
              <w:bottom w:val="single" w:sz="2" w:space="0" w:color="CCCCCC"/>
              <w:right w:val="single" w:sz="2" w:space="0" w:color="CCCCCC"/>
            </w:tcBorders>
            <w:shd w:val="clear" w:color="auto" w:fill="F2F2F2"/>
            <w:vAlign w:val="center"/>
            <w:hideMark/>
          </w:tcPr>
          <w:p w14:paraId="5CA190CF" w14:textId="77777777" w:rsidR="00997FC0" w:rsidRPr="00082CE7" w:rsidRDefault="00997FC0" w:rsidP="00E3392E">
            <w:pPr>
              <w:rPr>
                <w:rFonts w:ascii="Work Sans" w:hAnsi="Work Sans"/>
              </w:rPr>
            </w:pPr>
            <w:r w:rsidRPr="00082CE7">
              <w:rPr>
                <w:rFonts w:ascii="Work Sans" w:hAnsi="Work Sans"/>
                <w:sz w:val="18"/>
                <w:szCs w:val="18"/>
              </w:rPr>
              <w:t>Buy-side firms requiring CDM connectivity could accelerate timelines beyond regulatory drivers</w:t>
            </w:r>
          </w:p>
        </w:tc>
        <w:tc>
          <w:tcPr>
            <w:tcW w:w="3600" w:type="dxa"/>
            <w:tcBorders>
              <w:top w:val="single" w:sz="2" w:space="0" w:color="CCCCCC"/>
              <w:left w:val="single" w:sz="2" w:space="0" w:color="CCCCCC"/>
              <w:bottom w:val="single" w:sz="2" w:space="0" w:color="CCCCCC"/>
              <w:right w:val="single" w:sz="2" w:space="0" w:color="CCCCCC"/>
            </w:tcBorders>
            <w:shd w:val="clear" w:color="auto" w:fill="F2F2F2"/>
            <w:vAlign w:val="center"/>
            <w:hideMark/>
          </w:tcPr>
          <w:p w14:paraId="3D3D3D80" w14:textId="77777777" w:rsidR="00997FC0" w:rsidRPr="00082CE7" w:rsidRDefault="00997FC0" w:rsidP="00E3392E">
            <w:pPr>
              <w:rPr>
                <w:rFonts w:ascii="Work Sans" w:hAnsi="Work Sans"/>
              </w:rPr>
            </w:pPr>
            <w:r w:rsidRPr="00082CE7">
              <w:rPr>
                <w:rFonts w:ascii="Work Sans" w:hAnsi="Work Sans"/>
                <w:sz w:val="18"/>
                <w:szCs w:val="18"/>
              </w:rPr>
              <w:t>CDM connectivity gaps cause &gt;$25M annual client losses</w:t>
            </w:r>
          </w:p>
        </w:tc>
      </w:tr>
      <w:tr w:rsidR="00997FC0" w:rsidRPr="00082CE7" w14:paraId="71FD1DFC" w14:textId="77777777" w:rsidTr="00E3392E">
        <w:trPr>
          <w:trHeight w:val="659"/>
        </w:trPr>
        <w:tc>
          <w:tcPr>
            <w:tcW w:w="2200" w:type="dxa"/>
            <w:tcBorders>
              <w:top w:val="single" w:sz="2" w:space="0" w:color="CCCCCC"/>
              <w:left w:val="single" w:sz="2" w:space="0" w:color="CCCCCC"/>
              <w:bottom w:val="single" w:sz="2" w:space="0" w:color="CCCCCC"/>
              <w:right w:val="single" w:sz="2" w:space="0" w:color="CCCCCC"/>
            </w:tcBorders>
            <w:vAlign w:val="center"/>
            <w:hideMark/>
          </w:tcPr>
          <w:p w14:paraId="0424B2A1" w14:textId="77777777" w:rsidR="00997FC0" w:rsidRPr="00082CE7" w:rsidRDefault="00997FC0" w:rsidP="00E3392E">
            <w:pPr>
              <w:rPr>
                <w:rFonts w:ascii="Work Sans" w:hAnsi="Work Sans"/>
              </w:rPr>
            </w:pPr>
            <w:r w:rsidRPr="00082CE7">
              <w:rPr>
                <w:rFonts w:ascii="Work Sans" w:hAnsi="Work Sans"/>
                <w:b/>
                <w:bCs/>
                <w:sz w:val="18"/>
                <w:szCs w:val="18"/>
              </w:rPr>
              <w:t>Talent scarcity</w:t>
            </w:r>
          </w:p>
        </w:tc>
        <w:tc>
          <w:tcPr>
            <w:tcW w:w="3200" w:type="dxa"/>
            <w:tcBorders>
              <w:top w:val="single" w:sz="2" w:space="0" w:color="CCCCCC"/>
              <w:left w:val="single" w:sz="2" w:space="0" w:color="CCCCCC"/>
              <w:bottom w:val="single" w:sz="2" w:space="0" w:color="CCCCCC"/>
              <w:right w:val="single" w:sz="2" w:space="0" w:color="CCCCCC"/>
            </w:tcBorders>
            <w:vAlign w:val="center"/>
            <w:hideMark/>
          </w:tcPr>
          <w:p w14:paraId="0EE56E15" w14:textId="77777777" w:rsidR="00997FC0" w:rsidRPr="00082CE7" w:rsidRDefault="00997FC0" w:rsidP="00E3392E">
            <w:pPr>
              <w:rPr>
                <w:rFonts w:ascii="Work Sans" w:hAnsi="Work Sans"/>
              </w:rPr>
            </w:pPr>
            <w:r w:rsidRPr="00082CE7">
              <w:rPr>
                <w:rFonts w:ascii="Work Sans" w:hAnsi="Work Sans"/>
                <w:sz w:val="18"/>
                <w:szCs w:val="18"/>
              </w:rPr>
              <w:t>Rune DSL expertise is highly specialized; late adopters may face permanent capability gaps</w:t>
            </w:r>
          </w:p>
        </w:tc>
        <w:tc>
          <w:tcPr>
            <w:tcW w:w="3600" w:type="dxa"/>
            <w:tcBorders>
              <w:top w:val="single" w:sz="2" w:space="0" w:color="CCCCCC"/>
              <w:left w:val="single" w:sz="2" w:space="0" w:color="CCCCCC"/>
              <w:bottom w:val="single" w:sz="2" w:space="0" w:color="CCCCCC"/>
              <w:right w:val="single" w:sz="2" w:space="0" w:color="CCCCCC"/>
            </w:tcBorders>
            <w:vAlign w:val="center"/>
            <w:hideMark/>
          </w:tcPr>
          <w:p w14:paraId="12BCD9D3" w14:textId="77777777" w:rsidR="00997FC0" w:rsidRPr="00082CE7" w:rsidRDefault="00997FC0" w:rsidP="00E3392E">
            <w:pPr>
              <w:rPr>
                <w:rFonts w:ascii="Work Sans" w:hAnsi="Work Sans"/>
              </w:rPr>
            </w:pPr>
            <w:r w:rsidRPr="00082CE7">
              <w:rPr>
                <w:rFonts w:ascii="Work Sans" w:hAnsi="Work Sans"/>
                <w:sz w:val="18"/>
                <w:szCs w:val="18"/>
              </w:rPr>
              <w:t>Rune DSL contractor rates exceed 2x current levels; lead times exceed 6 months</w:t>
            </w:r>
          </w:p>
        </w:tc>
      </w:tr>
      <w:tr w:rsidR="00997FC0" w:rsidRPr="00082CE7" w14:paraId="6EB8E49F" w14:textId="77777777" w:rsidTr="00E3392E">
        <w:trPr>
          <w:trHeight w:val="659"/>
        </w:trPr>
        <w:tc>
          <w:tcPr>
            <w:tcW w:w="2200" w:type="dxa"/>
            <w:tcBorders>
              <w:top w:val="single" w:sz="2" w:space="0" w:color="CCCCCC"/>
              <w:left w:val="single" w:sz="2" w:space="0" w:color="CCCCCC"/>
              <w:bottom w:val="single" w:sz="2" w:space="0" w:color="CCCCCC"/>
              <w:right w:val="single" w:sz="2" w:space="0" w:color="CCCCCC"/>
            </w:tcBorders>
            <w:shd w:val="clear" w:color="auto" w:fill="F2F2F2"/>
            <w:vAlign w:val="center"/>
            <w:hideMark/>
          </w:tcPr>
          <w:p w14:paraId="16743E71" w14:textId="77777777" w:rsidR="00997FC0" w:rsidRPr="00082CE7" w:rsidRDefault="00997FC0" w:rsidP="00E3392E">
            <w:pPr>
              <w:rPr>
                <w:rFonts w:ascii="Work Sans" w:hAnsi="Work Sans"/>
              </w:rPr>
            </w:pPr>
            <w:r w:rsidRPr="00082CE7">
              <w:rPr>
                <w:rFonts w:ascii="Work Sans" w:hAnsi="Work Sans"/>
                <w:b/>
                <w:bCs/>
                <w:sz w:val="18"/>
                <w:szCs w:val="18"/>
              </w:rPr>
              <w:t>Digital asset convergence</w:t>
            </w:r>
          </w:p>
        </w:tc>
        <w:tc>
          <w:tcPr>
            <w:tcW w:w="3200" w:type="dxa"/>
            <w:tcBorders>
              <w:top w:val="single" w:sz="2" w:space="0" w:color="CCCCCC"/>
              <w:left w:val="single" w:sz="2" w:space="0" w:color="CCCCCC"/>
              <w:bottom w:val="single" w:sz="2" w:space="0" w:color="CCCCCC"/>
              <w:right w:val="single" w:sz="2" w:space="0" w:color="CCCCCC"/>
            </w:tcBorders>
            <w:shd w:val="clear" w:color="auto" w:fill="F2F2F2"/>
            <w:vAlign w:val="center"/>
            <w:hideMark/>
          </w:tcPr>
          <w:p w14:paraId="048C2C21" w14:textId="77777777" w:rsidR="00997FC0" w:rsidRPr="00082CE7" w:rsidRDefault="00997FC0" w:rsidP="00E3392E">
            <w:pPr>
              <w:rPr>
                <w:rFonts w:ascii="Work Sans" w:hAnsi="Work Sans"/>
              </w:rPr>
            </w:pPr>
            <w:r w:rsidRPr="00082CE7">
              <w:rPr>
                <w:rFonts w:ascii="Work Sans" w:hAnsi="Work Sans"/>
                <w:sz w:val="18"/>
                <w:szCs w:val="18"/>
              </w:rPr>
              <w:t>Institutions with upstream CDM architectures will have structural advantages in tokenized derivatives</w:t>
            </w:r>
          </w:p>
        </w:tc>
        <w:tc>
          <w:tcPr>
            <w:tcW w:w="3600" w:type="dxa"/>
            <w:tcBorders>
              <w:top w:val="single" w:sz="2" w:space="0" w:color="CCCCCC"/>
              <w:left w:val="single" w:sz="2" w:space="0" w:color="CCCCCC"/>
              <w:bottom w:val="single" w:sz="2" w:space="0" w:color="CCCCCC"/>
              <w:right w:val="single" w:sz="2" w:space="0" w:color="CCCCCC"/>
            </w:tcBorders>
            <w:shd w:val="clear" w:color="auto" w:fill="F2F2F2"/>
            <w:vAlign w:val="center"/>
            <w:hideMark/>
          </w:tcPr>
          <w:p w14:paraId="10858E83" w14:textId="77777777" w:rsidR="00997FC0" w:rsidRPr="00082CE7" w:rsidRDefault="00997FC0" w:rsidP="00E3392E">
            <w:pPr>
              <w:rPr>
                <w:rFonts w:ascii="Work Sans" w:hAnsi="Work Sans"/>
              </w:rPr>
            </w:pPr>
            <w:r w:rsidRPr="00082CE7">
              <w:rPr>
                <w:rFonts w:ascii="Work Sans" w:hAnsi="Work Sans"/>
                <w:sz w:val="18"/>
                <w:szCs w:val="18"/>
              </w:rPr>
              <w:t>Major exchange or clearinghouse announces CDM-native tokenization platform</w:t>
            </w:r>
          </w:p>
        </w:tc>
      </w:tr>
      <w:tr w:rsidR="00997FC0" w:rsidRPr="00082CE7" w14:paraId="3477B4FE" w14:textId="77777777" w:rsidTr="00E3392E">
        <w:trPr>
          <w:trHeight w:val="659"/>
        </w:trPr>
        <w:tc>
          <w:tcPr>
            <w:tcW w:w="2200" w:type="dxa"/>
            <w:tcBorders>
              <w:top w:val="single" w:sz="2" w:space="0" w:color="CCCCCC"/>
              <w:left w:val="single" w:sz="2" w:space="0" w:color="CCCCCC"/>
              <w:bottom w:val="single" w:sz="2" w:space="0" w:color="CCCCCC"/>
              <w:right w:val="single" w:sz="2" w:space="0" w:color="CCCCCC"/>
            </w:tcBorders>
            <w:vAlign w:val="center"/>
            <w:hideMark/>
          </w:tcPr>
          <w:p w14:paraId="462787F8" w14:textId="77777777" w:rsidR="00997FC0" w:rsidRPr="00082CE7" w:rsidRDefault="00997FC0" w:rsidP="00E3392E">
            <w:pPr>
              <w:rPr>
                <w:rFonts w:ascii="Work Sans" w:hAnsi="Work Sans"/>
              </w:rPr>
            </w:pPr>
            <w:r w:rsidRPr="00082CE7">
              <w:rPr>
                <w:rFonts w:ascii="Work Sans" w:hAnsi="Work Sans"/>
                <w:b/>
                <w:bCs/>
                <w:sz w:val="18"/>
                <w:szCs w:val="18"/>
              </w:rPr>
              <w:lastRenderedPageBreak/>
              <w:t>Custodian adoption</w:t>
            </w:r>
          </w:p>
        </w:tc>
        <w:tc>
          <w:tcPr>
            <w:tcW w:w="3200" w:type="dxa"/>
            <w:tcBorders>
              <w:top w:val="single" w:sz="2" w:space="0" w:color="CCCCCC"/>
              <w:left w:val="single" w:sz="2" w:space="0" w:color="CCCCCC"/>
              <w:bottom w:val="single" w:sz="2" w:space="0" w:color="CCCCCC"/>
              <w:right w:val="single" w:sz="2" w:space="0" w:color="CCCCCC"/>
            </w:tcBorders>
            <w:vAlign w:val="center"/>
            <w:hideMark/>
          </w:tcPr>
          <w:p w14:paraId="7598179F" w14:textId="77777777" w:rsidR="00997FC0" w:rsidRPr="00082CE7" w:rsidRDefault="00997FC0" w:rsidP="00E3392E">
            <w:pPr>
              <w:rPr>
                <w:rFonts w:ascii="Work Sans" w:hAnsi="Work Sans"/>
              </w:rPr>
            </w:pPr>
            <w:r w:rsidRPr="00082CE7">
              <w:rPr>
                <w:rFonts w:ascii="Work Sans" w:hAnsi="Work Sans"/>
                <w:sz w:val="18"/>
                <w:szCs w:val="18"/>
              </w:rPr>
              <w:t>BNY Mellon and State Street control ~$98.7T AUC/A; embedding CDM into custody could create rapid network effects</w:t>
            </w:r>
          </w:p>
        </w:tc>
        <w:tc>
          <w:tcPr>
            <w:tcW w:w="3600" w:type="dxa"/>
            <w:tcBorders>
              <w:top w:val="single" w:sz="2" w:space="0" w:color="CCCCCC"/>
              <w:left w:val="single" w:sz="2" w:space="0" w:color="CCCCCC"/>
              <w:bottom w:val="single" w:sz="2" w:space="0" w:color="CCCCCC"/>
              <w:right w:val="single" w:sz="2" w:space="0" w:color="CCCCCC"/>
            </w:tcBorders>
            <w:vAlign w:val="center"/>
            <w:hideMark/>
          </w:tcPr>
          <w:p w14:paraId="66CF297E" w14:textId="77777777" w:rsidR="00997FC0" w:rsidRPr="00082CE7" w:rsidRDefault="00997FC0" w:rsidP="00E3392E">
            <w:pPr>
              <w:rPr>
                <w:rFonts w:ascii="Work Sans" w:hAnsi="Work Sans"/>
              </w:rPr>
            </w:pPr>
            <w:r w:rsidRPr="00082CE7">
              <w:rPr>
                <w:rFonts w:ascii="Work Sans" w:hAnsi="Work Sans"/>
                <w:sz w:val="18"/>
                <w:szCs w:val="18"/>
              </w:rPr>
              <w:t>Either custodian embeds CDM connectivity requirements into custody/settlement services</w:t>
            </w:r>
          </w:p>
        </w:tc>
      </w:tr>
      <w:tr w:rsidR="00997FC0" w:rsidRPr="00082CE7" w14:paraId="3CA54E1D" w14:textId="77777777" w:rsidTr="00E3392E">
        <w:trPr>
          <w:trHeight w:val="660"/>
        </w:trPr>
        <w:tc>
          <w:tcPr>
            <w:tcW w:w="2200" w:type="dxa"/>
            <w:tcBorders>
              <w:top w:val="single" w:sz="2" w:space="0" w:color="CCCCCC"/>
              <w:left w:val="single" w:sz="2" w:space="0" w:color="CCCCCC"/>
              <w:bottom w:val="single" w:sz="2" w:space="0" w:color="CCCCCC"/>
              <w:right w:val="single" w:sz="2" w:space="0" w:color="CCCCCC"/>
            </w:tcBorders>
            <w:shd w:val="clear" w:color="auto" w:fill="F2F2F2"/>
            <w:vAlign w:val="center"/>
            <w:hideMark/>
          </w:tcPr>
          <w:p w14:paraId="6F675587" w14:textId="77777777" w:rsidR="00997FC0" w:rsidRPr="00082CE7" w:rsidRDefault="00997FC0" w:rsidP="00E3392E">
            <w:pPr>
              <w:rPr>
                <w:rFonts w:ascii="Work Sans" w:hAnsi="Work Sans"/>
              </w:rPr>
            </w:pPr>
            <w:r w:rsidRPr="00082CE7">
              <w:rPr>
                <w:rFonts w:ascii="Work Sans" w:hAnsi="Work Sans"/>
                <w:b/>
                <w:bCs/>
                <w:sz w:val="18"/>
                <w:szCs w:val="18"/>
              </w:rPr>
              <w:t>Business model shift</w:t>
            </w:r>
          </w:p>
        </w:tc>
        <w:tc>
          <w:tcPr>
            <w:tcW w:w="3200" w:type="dxa"/>
            <w:tcBorders>
              <w:top w:val="single" w:sz="2" w:space="0" w:color="CCCCCC"/>
              <w:left w:val="single" w:sz="2" w:space="0" w:color="CCCCCC"/>
              <w:bottom w:val="single" w:sz="2" w:space="0" w:color="CCCCCC"/>
              <w:right w:val="single" w:sz="2" w:space="0" w:color="CCCCCC"/>
            </w:tcBorders>
            <w:shd w:val="clear" w:color="auto" w:fill="F2F2F2"/>
            <w:vAlign w:val="center"/>
            <w:hideMark/>
          </w:tcPr>
          <w:p w14:paraId="6A491367" w14:textId="77777777" w:rsidR="00997FC0" w:rsidRPr="00082CE7" w:rsidRDefault="00997FC0" w:rsidP="00E3392E">
            <w:pPr>
              <w:rPr>
                <w:rFonts w:ascii="Work Sans" w:hAnsi="Work Sans"/>
              </w:rPr>
            </w:pPr>
            <w:r w:rsidRPr="00082CE7">
              <w:rPr>
                <w:rFonts w:ascii="Work Sans" w:hAnsi="Work Sans"/>
                <w:sz w:val="18"/>
                <w:szCs w:val="18"/>
              </w:rPr>
              <w:t>Changes in derivatives revenue concentration alter the cost-benefit calculus for CDM investment depth</w:t>
            </w:r>
          </w:p>
        </w:tc>
        <w:tc>
          <w:tcPr>
            <w:tcW w:w="3600" w:type="dxa"/>
            <w:tcBorders>
              <w:top w:val="single" w:sz="2" w:space="0" w:color="CCCCCC"/>
              <w:left w:val="single" w:sz="2" w:space="0" w:color="CCCCCC"/>
              <w:bottom w:val="single" w:sz="2" w:space="0" w:color="CCCCCC"/>
              <w:right w:val="single" w:sz="2" w:space="0" w:color="CCCCCC"/>
            </w:tcBorders>
            <w:shd w:val="clear" w:color="auto" w:fill="F2F2F2"/>
            <w:vAlign w:val="center"/>
            <w:hideMark/>
          </w:tcPr>
          <w:p w14:paraId="107A3DE6" w14:textId="77777777" w:rsidR="00997FC0" w:rsidRPr="00082CE7" w:rsidRDefault="00997FC0" w:rsidP="00E3392E">
            <w:pPr>
              <w:rPr>
                <w:rFonts w:ascii="Work Sans" w:hAnsi="Work Sans"/>
              </w:rPr>
            </w:pPr>
            <w:r w:rsidRPr="00082CE7">
              <w:rPr>
                <w:rFonts w:ascii="Work Sans" w:hAnsi="Work Sans"/>
                <w:sz w:val="18"/>
                <w:szCs w:val="18"/>
              </w:rPr>
              <w:t>Derivatives revenue share shifts &gt;10 percentage points (up or down)</w:t>
            </w:r>
          </w:p>
        </w:tc>
      </w:tr>
    </w:tbl>
    <w:p w14:paraId="2CB272CC" w14:textId="77777777" w:rsidR="00997FC0" w:rsidRPr="00082CE7" w:rsidRDefault="00997FC0" w:rsidP="00997FC0">
      <w:pPr>
        <w:spacing w:before="360" w:after="160"/>
        <w:rPr>
          <w:rFonts w:ascii="Work Sans" w:hAnsi="Work Sans" w:cs="Calibri"/>
          <w:color w:val="DA291C"/>
          <w:sz w:val="28"/>
          <w:szCs w:val="28"/>
        </w:rPr>
      </w:pPr>
      <w:r w:rsidRPr="00082CE7">
        <w:rPr>
          <w:rFonts w:ascii="Work Sans" w:hAnsi="Work Sans"/>
          <w:color w:val="DA291C"/>
          <w:sz w:val="28"/>
          <w:szCs w:val="28"/>
        </w:rPr>
        <w:t>Archetype Breaking Points</w:t>
      </w:r>
    </w:p>
    <w:p w14:paraId="54EAC1CB" w14:textId="77777777" w:rsidR="00997FC0" w:rsidRPr="00082CE7" w:rsidRDefault="00997FC0" w:rsidP="00997FC0">
      <w:pPr>
        <w:spacing w:after="160"/>
        <w:rPr>
          <w:rFonts w:ascii="Work Sans" w:hAnsi="Work Sans"/>
        </w:rPr>
      </w:pPr>
      <w:r w:rsidRPr="00082CE7">
        <w:rPr>
          <w:rFonts w:ascii="Work Sans" w:hAnsi="Work Sans"/>
        </w:rPr>
        <w:t>Each archetype has breaking points—specific conditions indicating it's time to upgrade, or scale back, CDM investment: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00"/>
      </w:tblGrid>
      <w:tr w:rsidR="00997FC0" w:rsidRPr="00082CE7" w14:paraId="78FF70D2" w14:textId="77777777" w:rsidTr="00E3392E">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032340"/>
            <w:vAlign w:val="center"/>
            <w:hideMark/>
          </w:tcPr>
          <w:p w14:paraId="4D195FBD" w14:textId="77777777" w:rsidR="00997FC0" w:rsidRPr="00082CE7" w:rsidRDefault="00997FC0" w:rsidP="00E3392E">
            <w:pPr>
              <w:jc w:val="center"/>
              <w:rPr>
                <w:rFonts w:ascii="Work Sans" w:hAnsi="Work Sans"/>
              </w:rPr>
            </w:pPr>
            <w:r w:rsidRPr="00082CE7">
              <w:rPr>
                <w:rFonts w:ascii="Work Sans" w:hAnsi="Work Sans"/>
                <w:b/>
                <w:bCs/>
                <w:color w:val="FFFFFF"/>
                <w:sz w:val="18"/>
                <w:szCs w:val="18"/>
              </w:rPr>
              <w:t>Archetype</w:t>
            </w:r>
          </w:p>
        </w:tc>
        <w:tc>
          <w:tcPr>
            <w:tcW w:w="3500" w:type="dxa"/>
            <w:tcBorders>
              <w:top w:val="single" w:sz="2" w:space="0" w:color="CCCCCC"/>
              <w:left w:val="single" w:sz="2" w:space="0" w:color="CCCCCC"/>
              <w:bottom w:val="single" w:sz="2" w:space="0" w:color="CCCCCC"/>
              <w:right w:val="single" w:sz="2" w:space="0" w:color="CCCCCC"/>
            </w:tcBorders>
            <w:shd w:val="clear" w:color="auto" w:fill="032340"/>
            <w:vAlign w:val="center"/>
            <w:hideMark/>
          </w:tcPr>
          <w:p w14:paraId="617AAB14" w14:textId="77777777" w:rsidR="00997FC0" w:rsidRPr="00082CE7" w:rsidRDefault="00997FC0" w:rsidP="00E3392E">
            <w:pPr>
              <w:jc w:val="center"/>
              <w:rPr>
                <w:rFonts w:ascii="Work Sans" w:hAnsi="Work Sans"/>
              </w:rPr>
            </w:pPr>
            <w:r w:rsidRPr="00082CE7">
              <w:rPr>
                <w:rFonts w:ascii="Work Sans" w:hAnsi="Work Sans"/>
                <w:b/>
                <w:bCs/>
                <w:color w:val="FFFFFF"/>
                <w:sz w:val="18"/>
                <w:szCs w:val="18"/>
              </w:rPr>
              <w:t>Upgrade Triggers</w:t>
            </w:r>
          </w:p>
        </w:tc>
        <w:tc>
          <w:tcPr>
            <w:tcW w:w="3500" w:type="dxa"/>
            <w:tcBorders>
              <w:top w:val="single" w:sz="2" w:space="0" w:color="CCCCCC"/>
              <w:left w:val="single" w:sz="2" w:space="0" w:color="CCCCCC"/>
              <w:bottom w:val="single" w:sz="2" w:space="0" w:color="CCCCCC"/>
              <w:right w:val="single" w:sz="2" w:space="0" w:color="CCCCCC"/>
            </w:tcBorders>
            <w:shd w:val="clear" w:color="auto" w:fill="032340"/>
            <w:vAlign w:val="center"/>
            <w:hideMark/>
          </w:tcPr>
          <w:p w14:paraId="3A01FACE" w14:textId="77777777" w:rsidR="00997FC0" w:rsidRPr="00082CE7" w:rsidRDefault="00997FC0" w:rsidP="00E3392E">
            <w:pPr>
              <w:jc w:val="center"/>
              <w:rPr>
                <w:rFonts w:ascii="Work Sans" w:hAnsi="Work Sans"/>
              </w:rPr>
            </w:pPr>
            <w:r w:rsidRPr="00082CE7">
              <w:rPr>
                <w:rFonts w:ascii="Work Sans" w:hAnsi="Work Sans"/>
                <w:b/>
                <w:bCs/>
                <w:color w:val="FFFFFF"/>
                <w:sz w:val="18"/>
                <w:szCs w:val="18"/>
              </w:rPr>
              <w:t>Downgrade Triggers</w:t>
            </w:r>
          </w:p>
        </w:tc>
      </w:tr>
      <w:tr w:rsidR="00997FC0" w:rsidRPr="00082CE7" w14:paraId="1D672C65" w14:textId="77777777" w:rsidTr="00C72490">
        <w:trPr>
          <w:trHeight w:val="1008"/>
        </w:trPr>
        <w:tc>
          <w:tcPr>
            <w:tcW w:w="2000" w:type="dxa"/>
            <w:tcBorders>
              <w:top w:val="single" w:sz="2" w:space="0" w:color="CCCCCC"/>
              <w:left w:val="single" w:sz="2" w:space="0" w:color="CCCCCC"/>
              <w:bottom w:val="single" w:sz="2" w:space="0" w:color="CCCCCC"/>
              <w:right w:val="single" w:sz="2" w:space="0" w:color="CCCCCC"/>
            </w:tcBorders>
            <w:vAlign w:val="center"/>
            <w:hideMark/>
          </w:tcPr>
          <w:p w14:paraId="7A982D22" w14:textId="77777777" w:rsidR="00997FC0" w:rsidRPr="00082CE7" w:rsidRDefault="00997FC0" w:rsidP="00E3392E">
            <w:pPr>
              <w:rPr>
                <w:rFonts w:ascii="Work Sans" w:hAnsi="Work Sans"/>
              </w:rPr>
            </w:pPr>
            <w:r w:rsidRPr="00082CE7">
              <w:rPr>
                <w:rFonts w:ascii="Work Sans" w:hAnsi="Work Sans"/>
                <w:b/>
                <w:bCs/>
                <w:sz w:val="18"/>
                <w:szCs w:val="18"/>
              </w:rPr>
              <w:t>1: Native Integration</w:t>
            </w:r>
          </w:p>
        </w:tc>
        <w:tc>
          <w:tcPr>
            <w:tcW w:w="3500" w:type="dxa"/>
            <w:tcBorders>
              <w:top w:val="single" w:sz="2" w:space="0" w:color="CCCCCC"/>
              <w:left w:val="single" w:sz="2" w:space="0" w:color="CCCCCC"/>
              <w:bottom w:val="single" w:sz="2" w:space="0" w:color="CCCCCC"/>
              <w:right w:val="single" w:sz="2" w:space="0" w:color="CCCCCC"/>
            </w:tcBorders>
            <w:vAlign w:val="center"/>
            <w:hideMark/>
          </w:tcPr>
          <w:p w14:paraId="3B087381" w14:textId="77777777" w:rsidR="00997FC0" w:rsidRPr="00082CE7" w:rsidRDefault="00997FC0" w:rsidP="0039442E">
            <w:pPr>
              <w:pStyle w:val="ListParagraph"/>
              <w:numPr>
                <w:ilvl w:val="0"/>
                <w:numId w:val="23"/>
              </w:numPr>
              <w:ind w:left="252" w:hanging="180"/>
              <w:rPr>
                <w:rFonts w:ascii="Work Sans" w:hAnsi="Work Sans"/>
              </w:rPr>
            </w:pPr>
            <w:r w:rsidRPr="00082CE7">
              <w:rPr>
                <w:rFonts w:ascii="Work Sans" w:hAnsi="Work Sans"/>
                <w:sz w:val="18"/>
                <w:szCs w:val="18"/>
              </w:rPr>
              <w:t>N/A (maximum posture)</w:t>
            </w:r>
          </w:p>
        </w:tc>
        <w:tc>
          <w:tcPr>
            <w:tcW w:w="3500" w:type="dxa"/>
            <w:tcBorders>
              <w:top w:val="single" w:sz="2" w:space="0" w:color="CCCCCC"/>
              <w:left w:val="single" w:sz="2" w:space="0" w:color="CCCCCC"/>
              <w:bottom w:val="single" w:sz="2" w:space="0" w:color="CCCCCC"/>
              <w:right w:val="single" w:sz="2" w:space="0" w:color="CCCCCC"/>
            </w:tcBorders>
            <w:vAlign w:val="center"/>
            <w:hideMark/>
          </w:tcPr>
          <w:p w14:paraId="48277572" w14:textId="77777777" w:rsidR="00AD7071" w:rsidRPr="00AD7071" w:rsidRDefault="00997FC0" w:rsidP="0039442E">
            <w:pPr>
              <w:pStyle w:val="ListParagraph"/>
              <w:numPr>
                <w:ilvl w:val="0"/>
                <w:numId w:val="23"/>
              </w:numPr>
              <w:ind w:left="252" w:hanging="180"/>
              <w:rPr>
                <w:rFonts w:ascii="Work Sans" w:hAnsi="Work Sans"/>
              </w:rPr>
            </w:pPr>
            <w:r w:rsidRPr="00AD7071">
              <w:rPr>
                <w:rFonts w:ascii="Work Sans" w:hAnsi="Work Sans"/>
                <w:sz w:val="18"/>
                <w:szCs w:val="18"/>
              </w:rPr>
              <w:t>CDM standard stalls &gt;18 months</w:t>
            </w:r>
          </w:p>
          <w:p w14:paraId="5AA5A9FF" w14:textId="77777777" w:rsidR="0039442E" w:rsidRPr="0039442E" w:rsidRDefault="00AD7071" w:rsidP="0039442E">
            <w:pPr>
              <w:pStyle w:val="ListParagraph"/>
              <w:numPr>
                <w:ilvl w:val="0"/>
                <w:numId w:val="23"/>
              </w:numPr>
              <w:ind w:left="252" w:hanging="180"/>
              <w:rPr>
                <w:rFonts w:ascii="Work Sans" w:hAnsi="Work Sans"/>
              </w:rPr>
            </w:pPr>
            <w:r>
              <w:rPr>
                <w:rFonts w:ascii="Work Sans" w:hAnsi="Work Sans"/>
                <w:sz w:val="18"/>
                <w:szCs w:val="18"/>
              </w:rPr>
              <w:t>T</w:t>
            </w:r>
            <w:r w:rsidR="00997FC0" w:rsidRPr="00AD7071">
              <w:rPr>
                <w:rFonts w:ascii="Work Sans" w:hAnsi="Work Sans"/>
                <w:sz w:val="18"/>
                <w:szCs w:val="18"/>
              </w:rPr>
              <w:t xml:space="preserve">okenization fails to materialize </w:t>
            </w:r>
            <w:r w:rsidR="00997FC0" w:rsidRPr="00987011">
              <w:rPr>
                <w:rFonts w:ascii="Work Sans" w:hAnsi="Work Sans"/>
                <w:color w:val="FF0000"/>
                <w:sz w:val="18"/>
                <w:szCs w:val="18"/>
              </w:rPr>
              <w:t>2028</w:t>
            </w:r>
          </w:p>
          <w:p w14:paraId="4E43E2F8" w14:textId="29F53ABA" w:rsidR="00997FC0" w:rsidRPr="00AD7071" w:rsidRDefault="0039442E" w:rsidP="0039442E">
            <w:pPr>
              <w:pStyle w:val="ListParagraph"/>
              <w:numPr>
                <w:ilvl w:val="0"/>
                <w:numId w:val="23"/>
              </w:numPr>
              <w:ind w:left="252" w:hanging="180"/>
              <w:rPr>
                <w:rFonts w:ascii="Work Sans" w:hAnsi="Work Sans"/>
              </w:rPr>
            </w:pPr>
            <w:r>
              <w:rPr>
                <w:rFonts w:ascii="Work Sans" w:hAnsi="Work Sans"/>
                <w:sz w:val="18"/>
                <w:szCs w:val="18"/>
              </w:rPr>
              <w:t>U</w:t>
            </w:r>
            <w:r w:rsidR="00997FC0" w:rsidRPr="00AD7071">
              <w:rPr>
                <w:rFonts w:ascii="Work Sans" w:hAnsi="Work Sans"/>
                <w:sz w:val="18"/>
                <w:szCs w:val="18"/>
              </w:rPr>
              <w:t>tility solutions emerge at Integration Layer cost</w:t>
            </w:r>
          </w:p>
        </w:tc>
      </w:tr>
      <w:tr w:rsidR="00997FC0" w:rsidRPr="00082CE7" w14:paraId="3B314609" w14:textId="77777777" w:rsidTr="00C72490">
        <w:trPr>
          <w:trHeight w:val="1008"/>
        </w:trPr>
        <w:tc>
          <w:tcPr>
            <w:tcW w:w="2000" w:type="dxa"/>
            <w:tcBorders>
              <w:top w:val="single" w:sz="2" w:space="0" w:color="CCCCCC"/>
              <w:left w:val="single" w:sz="2" w:space="0" w:color="CCCCCC"/>
              <w:bottom w:val="single" w:sz="2" w:space="0" w:color="CCCCCC"/>
              <w:right w:val="single" w:sz="2" w:space="0" w:color="CCCCCC"/>
            </w:tcBorders>
            <w:shd w:val="clear" w:color="auto" w:fill="F2F2F2"/>
            <w:vAlign w:val="center"/>
            <w:hideMark/>
          </w:tcPr>
          <w:p w14:paraId="1A1EF28A" w14:textId="77777777" w:rsidR="00997FC0" w:rsidRPr="00082CE7" w:rsidRDefault="00997FC0" w:rsidP="00E3392E">
            <w:pPr>
              <w:rPr>
                <w:rFonts w:ascii="Work Sans" w:hAnsi="Work Sans"/>
              </w:rPr>
            </w:pPr>
            <w:r w:rsidRPr="00082CE7">
              <w:rPr>
                <w:rFonts w:ascii="Work Sans" w:hAnsi="Work Sans"/>
                <w:b/>
                <w:bCs/>
                <w:sz w:val="18"/>
                <w:szCs w:val="18"/>
              </w:rPr>
              <w:t>2A: Integration Leader</w:t>
            </w:r>
          </w:p>
        </w:tc>
        <w:tc>
          <w:tcPr>
            <w:tcW w:w="3500" w:type="dxa"/>
            <w:tcBorders>
              <w:top w:val="single" w:sz="2" w:space="0" w:color="CCCCCC"/>
              <w:left w:val="single" w:sz="2" w:space="0" w:color="CCCCCC"/>
              <w:bottom w:val="single" w:sz="2" w:space="0" w:color="CCCCCC"/>
              <w:right w:val="single" w:sz="2" w:space="0" w:color="CCCCCC"/>
            </w:tcBorders>
            <w:shd w:val="clear" w:color="auto" w:fill="F2F2F2"/>
            <w:vAlign w:val="center"/>
            <w:hideMark/>
          </w:tcPr>
          <w:p w14:paraId="6754AB69" w14:textId="77777777" w:rsidR="00987011" w:rsidRPr="00987011" w:rsidRDefault="00997FC0" w:rsidP="0039442E">
            <w:pPr>
              <w:pStyle w:val="ListParagraph"/>
              <w:numPr>
                <w:ilvl w:val="0"/>
                <w:numId w:val="23"/>
              </w:numPr>
              <w:ind w:left="252" w:hanging="180"/>
              <w:rPr>
                <w:rFonts w:ascii="Work Sans" w:hAnsi="Work Sans"/>
                <w:color w:val="FF0000"/>
              </w:rPr>
            </w:pPr>
            <w:r w:rsidRPr="00082CE7">
              <w:rPr>
                <w:rFonts w:ascii="Work Sans" w:hAnsi="Work Sans"/>
                <w:sz w:val="18"/>
                <w:szCs w:val="18"/>
              </w:rPr>
              <w:t xml:space="preserve">JPMorgan demonstrates </w:t>
            </w:r>
            <w:r w:rsidRPr="00987011">
              <w:rPr>
                <w:rFonts w:ascii="Work Sans" w:hAnsi="Work Sans"/>
                <w:color w:val="FF0000"/>
                <w:sz w:val="18"/>
                <w:szCs w:val="18"/>
              </w:rPr>
              <w:t>&gt;20% cost advantage by 2026</w:t>
            </w:r>
          </w:p>
          <w:p w14:paraId="304B556D" w14:textId="179834F1" w:rsidR="00997FC0" w:rsidRPr="00082CE7" w:rsidRDefault="00987011" w:rsidP="0039442E">
            <w:pPr>
              <w:pStyle w:val="ListParagraph"/>
              <w:numPr>
                <w:ilvl w:val="0"/>
                <w:numId w:val="23"/>
              </w:numPr>
              <w:ind w:left="252" w:hanging="180"/>
              <w:rPr>
                <w:rFonts w:ascii="Work Sans" w:hAnsi="Work Sans"/>
              </w:rPr>
            </w:pPr>
            <w:r>
              <w:rPr>
                <w:rFonts w:ascii="Work Sans" w:hAnsi="Work Sans"/>
                <w:sz w:val="18"/>
                <w:szCs w:val="18"/>
              </w:rPr>
              <w:t>T</w:t>
            </w:r>
            <w:r w:rsidR="00997FC0" w:rsidRPr="00082CE7">
              <w:rPr>
                <w:rFonts w:ascii="Work Sans" w:hAnsi="Work Sans"/>
                <w:sz w:val="18"/>
                <w:szCs w:val="18"/>
              </w:rPr>
              <w:t xml:space="preserve">ranslation costs exceed </w:t>
            </w:r>
            <w:r w:rsidR="00997FC0" w:rsidRPr="00987011">
              <w:rPr>
                <w:rFonts w:ascii="Work Sans" w:hAnsi="Work Sans"/>
                <w:color w:val="FF0000"/>
                <w:sz w:val="18"/>
                <w:szCs w:val="18"/>
              </w:rPr>
              <w:t>$50M/yr or grow &gt;10% YoY</w:t>
            </w:r>
          </w:p>
        </w:tc>
        <w:tc>
          <w:tcPr>
            <w:tcW w:w="3500" w:type="dxa"/>
            <w:tcBorders>
              <w:top w:val="single" w:sz="2" w:space="0" w:color="CCCCCC"/>
              <w:left w:val="single" w:sz="2" w:space="0" w:color="CCCCCC"/>
              <w:bottom w:val="single" w:sz="2" w:space="0" w:color="CCCCCC"/>
              <w:right w:val="single" w:sz="2" w:space="0" w:color="CCCCCC"/>
            </w:tcBorders>
            <w:shd w:val="clear" w:color="auto" w:fill="F2F2F2"/>
            <w:vAlign w:val="center"/>
            <w:hideMark/>
          </w:tcPr>
          <w:p w14:paraId="1331D96D" w14:textId="77777777" w:rsidR="0039442E" w:rsidRPr="0039442E" w:rsidRDefault="00997FC0" w:rsidP="0039442E">
            <w:pPr>
              <w:pStyle w:val="ListParagraph"/>
              <w:numPr>
                <w:ilvl w:val="0"/>
                <w:numId w:val="23"/>
              </w:numPr>
              <w:ind w:left="252" w:hanging="180"/>
              <w:rPr>
                <w:rFonts w:ascii="Work Sans" w:hAnsi="Work Sans"/>
              </w:rPr>
            </w:pPr>
            <w:r w:rsidRPr="00082CE7">
              <w:rPr>
                <w:rFonts w:ascii="Work Sans" w:hAnsi="Work Sans"/>
                <w:sz w:val="18"/>
                <w:szCs w:val="18"/>
              </w:rPr>
              <w:t>Governance influence proves ineffective</w:t>
            </w:r>
          </w:p>
          <w:p w14:paraId="55190067" w14:textId="2C6EA90A" w:rsidR="00997FC0" w:rsidRPr="00082CE7" w:rsidRDefault="00987011" w:rsidP="0039442E">
            <w:pPr>
              <w:pStyle w:val="ListParagraph"/>
              <w:numPr>
                <w:ilvl w:val="0"/>
                <w:numId w:val="23"/>
              </w:numPr>
              <w:ind w:left="252" w:hanging="180"/>
              <w:rPr>
                <w:rFonts w:ascii="Work Sans" w:hAnsi="Work Sans"/>
              </w:rPr>
            </w:pPr>
            <w:r>
              <w:rPr>
                <w:rFonts w:ascii="Work Sans" w:hAnsi="Work Sans"/>
                <w:sz w:val="18"/>
                <w:szCs w:val="18"/>
              </w:rPr>
              <w:t>S</w:t>
            </w:r>
            <w:r w:rsidR="00997FC0" w:rsidRPr="00082CE7">
              <w:rPr>
                <w:rFonts w:ascii="Work Sans" w:hAnsi="Work Sans"/>
                <w:sz w:val="18"/>
                <w:szCs w:val="18"/>
              </w:rPr>
              <w:t>tandard evolves away from firm's architecture</w:t>
            </w:r>
          </w:p>
        </w:tc>
      </w:tr>
      <w:tr w:rsidR="00997FC0" w:rsidRPr="00082CE7" w14:paraId="244C3E75" w14:textId="77777777" w:rsidTr="00C72490">
        <w:trPr>
          <w:trHeight w:val="1008"/>
        </w:trPr>
        <w:tc>
          <w:tcPr>
            <w:tcW w:w="2000" w:type="dxa"/>
            <w:tcBorders>
              <w:top w:val="single" w:sz="2" w:space="0" w:color="CCCCCC"/>
              <w:left w:val="single" w:sz="2" w:space="0" w:color="CCCCCC"/>
              <w:bottom w:val="single" w:sz="2" w:space="0" w:color="CCCCCC"/>
              <w:right w:val="single" w:sz="2" w:space="0" w:color="CCCCCC"/>
            </w:tcBorders>
            <w:vAlign w:val="center"/>
            <w:hideMark/>
          </w:tcPr>
          <w:p w14:paraId="6C58A035" w14:textId="77777777" w:rsidR="00997FC0" w:rsidRPr="00082CE7" w:rsidRDefault="00997FC0" w:rsidP="00E3392E">
            <w:pPr>
              <w:rPr>
                <w:rFonts w:ascii="Work Sans" w:hAnsi="Work Sans"/>
              </w:rPr>
            </w:pPr>
            <w:r w:rsidRPr="00082CE7">
              <w:rPr>
                <w:rFonts w:ascii="Work Sans" w:hAnsi="Work Sans"/>
                <w:b/>
                <w:bCs/>
                <w:sz w:val="18"/>
                <w:szCs w:val="18"/>
              </w:rPr>
              <w:t>2B: Integration Follower</w:t>
            </w:r>
          </w:p>
        </w:tc>
        <w:tc>
          <w:tcPr>
            <w:tcW w:w="3500" w:type="dxa"/>
            <w:tcBorders>
              <w:top w:val="single" w:sz="2" w:space="0" w:color="CCCCCC"/>
              <w:left w:val="single" w:sz="2" w:space="0" w:color="CCCCCC"/>
              <w:bottom w:val="single" w:sz="2" w:space="0" w:color="CCCCCC"/>
              <w:right w:val="single" w:sz="2" w:space="0" w:color="CCCCCC"/>
            </w:tcBorders>
            <w:vAlign w:val="center"/>
            <w:hideMark/>
          </w:tcPr>
          <w:p w14:paraId="5869A62C" w14:textId="357AB31C" w:rsidR="00987011" w:rsidRPr="00987011" w:rsidRDefault="00997FC0" w:rsidP="0039442E">
            <w:pPr>
              <w:pStyle w:val="ListParagraph"/>
              <w:numPr>
                <w:ilvl w:val="0"/>
                <w:numId w:val="23"/>
              </w:numPr>
              <w:ind w:left="252" w:hanging="180"/>
              <w:rPr>
                <w:rFonts w:ascii="Work Sans" w:hAnsi="Work Sans"/>
              </w:rPr>
            </w:pPr>
            <w:r w:rsidRPr="00082CE7">
              <w:rPr>
                <w:rFonts w:ascii="Work Sans" w:hAnsi="Work Sans"/>
                <w:sz w:val="18"/>
                <w:szCs w:val="18"/>
              </w:rPr>
              <w:t>Wealth platforms require CDM connectivity</w:t>
            </w:r>
          </w:p>
          <w:p w14:paraId="1F070266" w14:textId="17A67D49" w:rsidR="00997FC0" w:rsidRPr="00082CE7" w:rsidRDefault="00987011" w:rsidP="0039442E">
            <w:pPr>
              <w:pStyle w:val="ListParagraph"/>
              <w:numPr>
                <w:ilvl w:val="0"/>
                <w:numId w:val="23"/>
              </w:numPr>
              <w:ind w:left="252" w:hanging="180"/>
              <w:rPr>
                <w:rFonts w:ascii="Work Sans" w:hAnsi="Work Sans"/>
              </w:rPr>
            </w:pPr>
            <w:r>
              <w:rPr>
                <w:rFonts w:ascii="Work Sans" w:hAnsi="Work Sans"/>
                <w:sz w:val="18"/>
                <w:szCs w:val="18"/>
              </w:rPr>
              <w:t>P</w:t>
            </w:r>
            <w:r w:rsidR="00997FC0" w:rsidRPr="00082CE7">
              <w:rPr>
                <w:rFonts w:ascii="Work Sans" w:hAnsi="Work Sans"/>
                <w:sz w:val="18"/>
                <w:szCs w:val="18"/>
              </w:rPr>
              <w:t>rime brokerage clients mandate CDM-native</w:t>
            </w:r>
          </w:p>
        </w:tc>
        <w:tc>
          <w:tcPr>
            <w:tcW w:w="3500" w:type="dxa"/>
            <w:tcBorders>
              <w:top w:val="single" w:sz="2" w:space="0" w:color="CCCCCC"/>
              <w:left w:val="single" w:sz="2" w:space="0" w:color="CCCCCC"/>
              <w:bottom w:val="single" w:sz="2" w:space="0" w:color="CCCCCC"/>
              <w:right w:val="single" w:sz="2" w:space="0" w:color="CCCCCC"/>
            </w:tcBorders>
            <w:vAlign w:val="center"/>
            <w:hideMark/>
          </w:tcPr>
          <w:p w14:paraId="4264BA49" w14:textId="77777777" w:rsidR="00987011" w:rsidRPr="00987011" w:rsidRDefault="00997FC0" w:rsidP="0039442E">
            <w:pPr>
              <w:pStyle w:val="ListParagraph"/>
              <w:numPr>
                <w:ilvl w:val="0"/>
                <w:numId w:val="23"/>
              </w:numPr>
              <w:ind w:left="252" w:hanging="180"/>
              <w:rPr>
                <w:rFonts w:ascii="Work Sans" w:hAnsi="Work Sans"/>
              </w:rPr>
            </w:pPr>
            <w:r w:rsidRPr="00082CE7">
              <w:rPr>
                <w:rFonts w:ascii="Work Sans" w:hAnsi="Work Sans"/>
                <w:sz w:val="18"/>
                <w:szCs w:val="18"/>
              </w:rPr>
              <w:t>Leaders' costs prove prohibitive</w:t>
            </w:r>
          </w:p>
          <w:p w14:paraId="6AF3C151" w14:textId="3FD81EF2" w:rsidR="00997FC0" w:rsidRPr="00082CE7" w:rsidRDefault="00987011" w:rsidP="0039442E">
            <w:pPr>
              <w:pStyle w:val="ListParagraph"/>
              <w:numPr>
                <w:ilvl w:val="0"/>
                <w:numId w:val="23"/>
              </w:numPr>
              <w:ind w:left="252" w:hanging="180"/>
              <w:rPr>
                <w:rFonts w:ascii="Work Sans" w:hAnsi="Work Sans"/>
              </w:rPr>
            </w:pPr>
            <w:r>
              <w:rPr>
                <w:rFonts w:ascii="Work Sans" w:hAnsi="Work Sans"/>
                <w:sz w:val="18"/>
                <w:szCs w:val="18"/>
              </w:rPr>
              <w:t>U</w:t>
            </w:r>
            <w:r w:rsidR="00997FC0" w:rsidRPr="00082CE7">
              <w:rPr>
                <w:rFonts w:ascii="Work Sans" w:hAnsi="Work Sans"/>
                <w:sz w:val="18"/>
                <w:szCs w:val="18"/>
              </w:rPr>
              <w:t>tility solutions close the gap</w:t>
            </w:r>
          </w:p>
        </w:tc>
      </w:tr>
      <w:tr w:rsidR="00997FC0" w:rsidRPr="00082CE7" w14:paraId="339613D9" w14:textId="77777777" w:rsidTr="00C72490">
        <w:trPr>
          <w:trHeight w:val="1008"/>
        </w:trPr>
        <w:tc>
          <w:tcPr>
            <w:tcW w:w="2000" w:type="dxa"/>
            <w:tcBorders>
              <w:top w:val="single" w:sz="2" w:space="0" w:color="CCCCCC"/>
              <w:left w:val="single" w:sz="2" w:space="0" w:color="CCCCCC"/>
              <w:bottom w:val="single" w:sz="2" w:space="0" w:color="CCCCCC"/>
              <w:right w:val="single" w:sz="2" w:space="0" w:color="CCCCCC"/>
            </w:tcBorders>
            <w:shd w:val="clear" w:color="auto" w:fill="F2F2F2"/>
            <w:vAlign w:val="center"/>
            <w:hideMark/>
          </w:tcPr>
          <w:p w14:paraId="1C04D610" w14:textId="77777777" w:rsidR="00997FC0" w:rsidRPr="00082CE7" w:rsidRDefault="00997FC0" w:rsidP="00E3392E">
            <w:pPr>
              <w:rPr>
                <w:rFonts w:ascii="Work Sans" w:hAnsi="Work Sans"/>
              </w:rPr>
            </w:pPr>
            <w:r w:rsidRPr="00082CE7">
              <w:rPr>
                <w:rFonts w:ascii="Work Sans" w:hAnsi="Work Sans"/>
                <w:b/>
                <w:bCs/>
                <w:sz w:val="18"/>
                <w:szCs w:val="18"/>
              </w:rPr>
              <w:t>3: Compliance Layer</w:t>
            </w:r>
          </w:p>
        </w:tc>
        <w:tc>
          <w:tcPr>
            <w:tcW w:w="3500" w:type="dxa"/>
            <w:tcBorders>
              <w:top w:val="single" w:sz="2" w:space="0" w:color="CCCCCC"/>
              <w:left w:val="single" w:sz="2" w:space="0" w:color="CCCCCC"/>
              <w:bottom w:val="single" w:sz="2" w:space="0" w:color="CCCCCC"/>
              <w:right w:val="single" w:sz="2" w:space="0" w:color="CCCCCC"/>
            </w:tcBorders>
            <w:shd w:val="clear" w:color="auto" w:fill="F2F2F2"/>
            <w:vAlign w:val="center"/>
            <w:hideMark/>
          </w:tcPr>
          <w:p w14:paraId="16CC5F8D" w14:textId="024DC61A" w:rsidR="00987011" w:rsidRPr="00987011" w:rsidRDefault="00997FC0" w:rsidP="0039442E">
            <w:pPr>
              <w:pStyle w:val="ListParagraph"/>
              <w:numPr>
                <w:ilvl w:val="0"/>
                <w:numId w:val="23"/>
              </w:numPr>
              <w:ind w:left="252" w:hanging="180"/>
              <w:rPr>
                <w:rFonts w:ascii="Work Sans" w:hAnsi="Work Sans"/>
              </w:rPr>
            </w:pPr>
            <w:r w:rsidRPr="00082CE7">
              <w:rPr>
                <w:rFonts w:ascii="Work Sans" w:hAnsi="Work Sans"/>
                <w:sz w:val="18"/>
                <w:szCs w:val="18"/>
              </w:rPr>
              <w:t>Reporting becomes beachhead requirement for upstream CDM adoption</w:t>
            </w:r>
          </w:p>
          <w:p w14:paraId="0094E933" w14:textId="27F303A3" w:rsidR="00997FC0" w:rsidRPr="00082CE7" w:rsidRDefault="00987011" w:rsidP="0039442E">
            <w:pPr>
              <w:pStyle w:val="ListParagraph"/>
              <w:numPr>
                <w:ilvl w:val="0"/>
                <w:numId w:val="23"/>
              </w:numPr>
              <w:ind w:left="252" w:hanging="180"/>
              <w:rPr>
                <w:rFonts w:ascii="Work Sans" w:hAnsi="Work Sans"/>
              </w:rPr>
            </w:pPr>
            <w:r>
              <w:rPr>
                <w:rFonts w:ascii="Work Sans" w:hAnsi="Work Sans"/>
                <w:sz w:val="18"/>
                <w:szCs w:val="18"/>
              </w:rPr>
              <w:t>E</w:t>
            </w:r>
            <w:r w:rsidR="00997FC0" w:rsidRPr="00082CE7">
              <w:rPr>
                <w:rFonts w:ascii="Work Sans" w:hAnsi="Work Sans"/>
                <w:sz w:val="18"/>
                <w:szCs w:val="18"/>
              </w:rPr>
              <w:t>nforcement fines exceed transformation cost</w:t>
            </w:r>
          </w:p>
        </w:tc>
        <w:tc>
          <w:tcPr>
            <w:tcW w:w="3500" w:type="dxa"/>
            <w:tcBorders>
              <w:top w:val="single" w:sz="2" w:space="0" w:color="CCCCCC"/>
              <w:left w:val="single" w:sz="2" w:space="0" w:color="CCCCCC"/>
              <w:bottom w:val="single" w:sz="2" w:space="0" w:color="CCCCCC"/>
              <w:right w:val="single" w:sz="2" w:space="0" w:color="CCCCCC"/>
            </w:tcBorders>
            <w:shd w:val="clear" w:color="auto" w:fill="F2F2F2"/>
            <w:vAlign w:val="center"/>
            <w:hideMark/>
          </w:tcPr>
          <w:p w14:paraId="6BC304A5" w14:textId="77777777" w:rsidR="00997FC0" w:rsidRPr="00082CE7" w:rsidRDefault="00997FC0" w:rsidP="0039442E">
            <w:pPr>
              <w:pStyle w:val="ListParagraph"/>
              <w:numPr>
                <w:ilvl w:val="0"/>
                <w:numId w:val="23"/>
              </w:numPr>
              <w:ind w:left="252" w:hanging="180"/>
              <w:rPr>
                <w:rFonts w:ascii="Work Sans" w:hAnsi="Work Sans"/>
              </w:rPr>
            </w:pPr>
            <w:r w:rsidRPr="00082CE7">
              <w:rPr>
                <w:rFonts w:ascii="Work Sans" w:hAnsi="Work Sans"/>
                <w:sz w:val="18"/>
                <w:szCs w:val="18"/>
              </w:rPr>
              <w:t>Utilities deliver full compliance value; regulatory pressure stabilizes</w:t>
            </w:r>
          </w:p>
        </w:tc>
      </w:tr>
      <w:tr w:rsidR="00997FC0" w:rsidRPr="00082CE7" w14:paraId="5F01D29D" w14:textId="77777777" w:rsidTr="00C72490">
        <w:trPr>
          <w:trHeight w:val="1008"/>
        </w:trPr>
        <w:tc>
          <w:tcPr>
            <w:tcW w:w="2000" w:type="dxa"/>
            <w:tcBorders>
              <w:top w:val="single" w:sz="2" w:space="0" w:color="CCCCCC"/>
              <w:left w:val="single" w:sz="2" w:space="0" w:color="CCCCCC"/>
              <w:bottom w:val="single" w:sz="2" w:space="0" w:color="CCCCCC"/>
              <w:right w:val="single" w:sz="2" w:space="0" w:color="CCCCCC"/>
            </w:tcBorders>
            <w:vAlign w:val="center"/>
            <w:hideMark/>
          </w:tcPr>
          <w:p w14:paraId="1F842C0C" w14:textId="77777777" w:rsidR="00997FC0" w:rsidRPr="00082CE7" w:rsidRDefault="00997FC0" w:rsidP="00E3392E">
            <w:pPr>
              <w:rPr>
                <w:rFonts w:ascii="Work Sans" w:hAnsi="Work Sans"/>
              </w:rPr>
            </w:pPr>
            <w:r w:rsidRPr="00082CE7">
              <w:rPr>
                <w:rFonts w:ascii="Work Sans" w:hAnsi="Work Sans"/>
                <w:b/>
                <w:bCs/>
                <w:sz w:val="18"/>
                <w:szCs w:val="18"/>
              </w:rPr>
              <w:t>4: Tactical / Selective</w:t>
            </w:r>
          </w:p>
        </w:tc>
        <w:tc>
          <w:tcPr>
            <w:tcW w:w="3500" w:type="dxa"/>
            <w:tcBorders>
              <w:top w:val="single" w:sz="2" w:space="0" w:color="CCCCCC"/>
              <w:left w:val="single" w:sz="2" w:space="0" w:color="CCCCCC"/>
              <w:bottom w:val="single" w:sz="2" w:space="0" w:color="CCCCCC"/>
              <w:right w:val="single" w:sz="2" w:space="0" w:color="CCCCCC"/>
            </w:tcBorders>
            <w:vAlign w:val="center"/>
            <w:hideMark/>
          </w:tcPr>
          <w:p w14:paraId="389D013F" w14:textId="77777777" w:rsidR="00987011" w:rsidRPr="00987011" w:rsidRDefault="00997FC0" w:rsidP="0039442E">
            <w:pPr>
              <w:pStyle w:val="ListParagraph"/>
              <w:numPr>
                <w:ilvl w:val="0"/>
                <w:numId w:val="23"/>
              </w:numPr>
              <w:ind w:left="252" w:hanging="180"/>
              <w:rPr>
                <w:rFonts w:ascii="Work Sans" w:hAnsi="Work Sans"/>
              </w:rPr>
            </w:pPr>
            <w:r w:rsidRPr="00082CE7">
              <w:rPr>
                <w:rFonts w:ascii="Work Sans" w:hAnsi="Work Sans"/>
                <w:sz w:val="18"/>
                <w:szCs w:val="18"/>
              </w:rPr>
              <w:t>Second major US bank announces Native production</w:t>
            </w:r>
          </w:p>
          <w:p w14:paraId="2C9A9563" w14:textId="22B2F092" w:rsidR="00997FC0" w:rsidRPr="00082CE7" w:rsidRDefault="00987011" w:rsidP="0039442E">
            <w:pPr>
              <w:pStyle w:val="ListParagraph"/>
              <w:numPr>
                <w:ilvl w:val="0"/>
                <w:numId w:val="23"/>
              </w:numPr>
              <w:ind w:left="252" w:hanging="180"/>
              <w:rPr>
                <w:rFonts w:ascii="Work Sans" w:hAnsi="Work Sans"/>
              </w:rPr>
            </w:pPr>
            <w:r>
              <w:rPr>
                <w:rFonts w:ascii="Work Sans" w:hAnsi="Work Sans"/>
                <w:sz w:val="18"/>
                <w:szCs w:val="18"/>
              </w:rPr>
              <w:t>C</w:t>
            </w:r>
            <w:r w:rsidR="00997FC0" w:rsidRPr="00082CE7">
              <w:rPr>
                <w:rFonts w:ascii="Work Sans" w:hAnsi="Work Sans"/>
                <w:sz w:val="18"/>
                <w:szCs w:val="18"/>
              </w:rPr>
              <w:t xml:space="preserve">umulative reporting fines exceed </w:t>
            </w:r>
            <w:r w:rsidR="00997FC0" w:rsidRPr="00987011">
              <w:rPr>
                <w:rFonts w:ascii="Work Sans" w:hAnsi="Work Sans"/>
                <w:color w:val="FF0000"/>
                <w:sz w:val="18"/>
                <w:szCs w:val="18"/>
              </w:rPr>
              <w:t>$300M</w:t>
            </w:r>
          </w:p>
        </w:tc>
        <w:tc>
          <w:tcPr>
            <w:tcW w:w="3500" w:type="dxa"/>
            <w:tcBorders>
              <w:top w:val="single" w:sz="2" w:space="0" w:color="CCCCCC"/>
              <w:left w:val="single" w:sz="2" w:space="0" w:color="CCCCCC"/>
              <w:bottom w:val="single" w:sz="2" w:space="0" w:color="CCCCCC"/>
              <w:right w:val="single" w:sz="2" w:space="0" w:color="CCCCCC"/>
            </w:tcBorders>
            <w:vAlign w:val="center"/>
            <w:hideMark/>
          </w:tcPr>
          <w:p w14:paraId="2A47143A" w14:textId="77777777" w:rsidR="00987011" w:rsidRPr="00987011" w:rsidRDefault="00997FC0" w:rsidP="0039442E">
            <w:pPr>
              <w:pStyle w:val="ListParagraph"/>
              <w:numPr>
                <w:ilvl w:val="0"/>
                <w:numId w:val="23"/>
              </w:numPr>
              <w:ind w:left="252" w:hanging="180"/>
              <w:rPr>
                <w:rFonts w:ascii="Work Sans" w:hAnsi="Work Sans"/>
              </w:rPr>
            </w:pPr>
            <w:r w:rsidRPr="00082CE7">
              <w:rPr>
                <w:rFonts w:ascii="Work Sans" w:hAnsi="Work Sans"/>
                <w:sz w:val="18"/>
                <w:szCs w:val="18"/>
              </w:rPr>
              <w:t>Derivatives revenue declines further</w:t>
            </w:r>
          </w:p>
          <w:p w14:paraId="4161C650" w14:textId="38573D41" w:rsidR="00997FC0" w:rsidRPr="00082CE7" w:rsidRDefault="00987011" w:rsidP="0039442E">
            <w:pPr>
              <w:pStyle w:val="ListParagraph"/>
              <w:numPr>
                <w:ilvl w:val="0"/>
                <w:numId w:val="23"/>
              </w:numPr>
              <w:ind w:left="252" w:hanging="180"/>
              <w:rPr>
                <w:rFonts w:ascii="Work Sans" w:hAnsi="Work Sans"/>
              </w:rPr>
            </w:pPr>
            <w:r>
              <w:rPr>
                <w:rFonts w:ascii="Work Sans" w:hAnsi="Work Sans"/>
                <w:sz w:val="18"/>
                <w:szCs w:val="18"/>
              </w:rPr>
              <w:t>V</w:t>
            </w:r>
            <w:r w:rsidR="00997FC0" w:rsidRPr="00082CE7">
              <w:rPr>
                <w:rFonts w:ascii="Work Sans" w:hAnsi="Work Sans"/>
                <w:sz w:val="18"/>
                <w:szCs w:val="18"/>
              </w:rPr>
              <w:t>endor solutions prove sufficient indefinitely</w:t>
            </w:r>
          </w:p>
        </w:tc>
      </w:tr>
    </w:tbl>
    <w:p w14:paraId="63F9ABEC" w14:textId="77777777" w:rsidR="00997FC0" w:rsidRPr="00082CE7" w:rsidRDefault="00997FC0" w:rsidP="00997FC0">
      <w:pPr>
        <w:spacing w:before="360" w:after="160"/>
        <w:rPr>
          <w:rFonts w:ascii="Work Sans" w:hAnsi="Work Sans" w:cs="Calibri"/>
          <w:color w:val="DA291C"/>
          <w:sz w:val="28"/>
          <w:szCs w:val="28"/>
        </w:rPr>
      </w:pPr>
      <w:r w:rsidRPr="00082CE7">
        <w:rPr>
          <w:rFonts w:ascii="Work Sans" w:hAnsi="Work Sans"/>
          <w:color w:val="DA291C"/>
          <w:sz w:val="28"/>
          <w:szCs w:val="28"/>
        </w:rPr>
        <w:t>Monitoring Protocol</w:t>
      </w:r>
    </w:p>
    <w:p w14:paraId="7C45633C" w14:textId="77777777" w:rsidR="00997FC0" w:rsidRPr="00082CE7" w:rsidRDefault="00997FC0" w:rsidP="00997FC0">
      <w:pPr>
        <w:spacing w:after="160"/>
        <w:rPr>
          <w:rFonts w:ascii="Work Sans" w:hAnsi="Work Sans"/>
        </w:rPr>
      </w:pPr>
      <w:r w:rsidRPr="00082CE7">
        <w:rPr>
          <w:rFonts w:ascii="Work Sans" w:hAnsi="Work Sans"/>
        </w:rPr>
        <w:t>Recognizing a trigger matters only if you can respond to it. We recommend:</w:t>
      </w:r>
    </w:p>
    <w:p w14:paraId="0CFCE139" w14:textId="77777777" w:rsidR="00997FC0" w:rsidRPr="00082CE7" w:rsidRDefault="00997FC0" w:rsidP="00997FC0">
      <w:pPr>
        <w:spacing w:after="80"/>
        <w:rPr>
          <w:rFonts w:ascii="Work Sans" w:hAnsi="Work Sans"/>
        </w:rPr>
      </w:pPr>
      <w:r w:rsidRPr="00082CE7">
        <w:rPr>
          <w:rFonts w:ascii="Work Sans" w:hAnsi="Work Sans"/>
          <w:b/>
          <w:bCs/>
        </w:rPr>
        <w:t xml:space="preserve">Quarterly review: </w:t>
      </w:r>
      <w:r w:rsidRPr="00082CE7">
        <w:rPr>
          <w:rFonts w:ascii="Work Sans" w:hAnsi="Work Sans"/>
        </w:rPr>
        <w:t>Track trigger thresholds against current conditions</w:t>
      </w:r>
    </w:p>
    <w:p w14:paraId="5C58F4E3" w14:textId="77777777" w:rsidR="00997FC0" w:rsidRPr="00082CE7" w:rsidRDefault="00997FC0" w:rsidP="00997FC0">
      <w:pPr>
        <w:spacing w:after="80"/>
        <w:rPr>
          <w:rFonts w:ascii="Work Sans" w:hAnsi="Work Sans"/>
        </w:rPr>
      </w:pPr>
      <w:r w:rsidRPr="00082CE7">
        <w:rPr>
          <w:rFonts w:ascii="Work Sans" w:hAnsi="Work Sans"/>
          <w:b/>
          <w:bCs/>
        </w:rPr>
        <w:t xml:space="preserve">Ownership assignment: </w:t>
      </w:r>
      <w:r w:rsidRPr="00082CE7">
        <w:rPr>
          <w:rFonts w:ascii="Work Sans" w:hAnsi="Work Sans"/>
        </w:rPr>
        <w:t>Designate internal sponsor for each trigger category</w:t>
      </w:r>
    </w:p>
    <w:p w14:paraId="5BB7969C" w14:textId="77777777" w:rsidR="00997FC0" w:rsidRPr="00082CE7" w:rsidRDefault="00997FC0" w:rsidP="00997FC0">
      <w:pPr>
        <w:spacing w:after="80"/>
        <w:rPr>
          <w:rFonts w:ascii="Work Sans" w:hAnsi="Work Sans"/>
        </w:rPr>
      </w:pPr>
      <w:r w:rsidRPr="00082CE7">
        <w:rPr>
          <w:rFonts w:ascii="Work Sans" w:hAnsi="Work Sans"/>
          <w:b/>
          <w:bCs/>
        </w:rPr>
        <w:t xml:space="preserve">Response playbook: </w:t>
      </w:r>
      <w:r w:rsidRPr="00082CE7">
        <w:rPr>
          <w:rFonts w:ascii="Work Sans" w:hAnsi="Work Sans"/>
        </w:rPr>
        <w:t>Pre-define escalation path and decision timeline for each trigger</w:t>
      </w:r>
    </w:p>
    <w:p w14:paraId="2D19B8F6" w14:textId="77777777" w:rsidR="00997FC0" w:rsidRPr="00082CE7" w:rsidRDefault="00997FC0" w:rsidP="00997FC0">
      <w:pPr>
        <w:spacing w:after="160"/>
        <w:rPr>
          <w:rFonts w:ascii="Work Sans" w:hAnsi="Work Sans"/>
        </w:rPr>
      </w:pPr>
      <w:r w:rsidRPr="00082CE7">
        <w:rPr>
          <w:rFonts w:ascii="Work Sans" w:hAnsi="Work Sans"/>
          <w:b/>
          <w:bCs/>
        </w:rPr>
        <w:t xml:space="preserve">BIP support: </w:t>
      </w:r>
      <w:r w:rsidRPr="00082CE7">
        <w:rPr>
          <w:rFonts w:ascii="Work Sans" w:hAnsi="Work Sans"/>
        </w:rPr>
        <w:t>Our Trigger Monitoring Program provides quarterly briefings on regulatory developments, peer moves, and threshold tracking</w:t>
      </w:r>
    </w:p>
    <w:p w14:paraId="4ED98A7C" w14:textId="77777777" w:rsidR="00997FC0" w:rsidRPr="00082CE7" w:rsidRDefault="00997FC0" w:rsidP="00997FC0">
      <w:pPr>
        <w:spacing w:before="360" w:after="160"/>
        <w:rPr>
          <w:rFonts w:ascii="Work Sans" w:hAnsi="Work Sans"/>
          <w:color w:val="DA291C"/>
          <w:sz w:val="28"/>
          <w:szCs w:val="28"/>
        </w:rPr>
      </w:pPr>
      <w:r w:rsidRPr="00082CE7">
        <w:rPr>
          <w:rFonts w:ascii="Work Sans" w:hAnsi="Work Sans"/>
          <w:color w:val="DA291C"/>
          <w:sz w:val="28"/>
          <w:szCs w:val="28"/>
        </w:rPr>
        <w:t>Our Read</w:t>
      </w:r>
    </w:p>
    <w:p w14:paraId="0AA29E14" w14:textId="77777777" w:rsidR="00997FC0" w:rsidRPr="00A674E9" w:rsidRDefault="00997FC0" w:rsidP="00997FC0">
      <w:pPr>
        <w:spacing w:before="360" w:after="160"/>
        <w:rPr>
          <w:rFonts w:ascii="Work Sans" w:hAnsi="Work Sans"/>
        </w:rPr>
      </w:pPr>
      <w:r w:rsidRPr="00A674E9">
        <w:rPr>
          <w:rFonts w:ascii="Work Sans" w:hAnsi="Work Sans"/>
        </w:rPr>
        <w:t xml:space="preserve">The staged-entry factors are real but time-bound. ISO 20022 delays taught that fast-followers can benefit from mature specs—but the analogy has limits. CDM is not just a messaging standard; it's an architectural choice with compounding </w:t>
      </w:r>
      <w:r w:rsidRPr="00A674E9">
        <w:rPr>
          <w:rFonts w:ascii="Work Sans" w:hAnsi="Work Sans"/>
        </w:rPr>
        <w:lastRenderedPageBreak/>
        <w:t>network effects. We believe the window for low-cost optionality extends through 2026. After that, late movers face a steeper curve.</w:t>
      </w:r>
    </w:p>
    <w:p w14:paraId="1B970F61" w14:textId="77777777" w:rsidR="00997FC0" w:rsidRPr="00A674E9" w:rsidRDefault="00997FC0" w:rsidP="00997FC0">
      <w:pPr>
        <w:spacing w:before="360" w:after="160"/>
        <w:rPr>
          <w:rFonts w:ascii="Work Sans" w:hAnsi="Work Sans"/>
        </w:rPr>
      </w:pPr>
      <w:r w:rsidRPr="00A674E9">
        <w:rPr>
          <w:rFonts w:ascii="Work Sans" w:hAnsi="Work Sans"/>
        </w:rPr>
        <w:t>The institutions best positioned are those that have deliberately selected their archetype and built the monitoring capability to recognize when that selection requires revision.</w:t>
      </w:r>
    </w:p>
    <w:p w14:paraId="0D35B2DD" w14:textId="5622B7F2" w:rsidR="00997FC0" w:rsidRDefault="00997FC0" w:rsidP="00997FC0">
      <w:pPr>
        <w:spacing w:before="360" w:after="160"/>
        <w:rPr>
          <w:rFonts w:ascii="Work Sans" w:hAnsi="Work Sans"/>
        </w:rPr>
      </w:pPr>
      <w:r w:rsidRPr="00A674E9">
        <w:rPr>
          <w:rFonts w:ascii="Work Sans" w:hAnsi="Work Sans"/>
        </w:rPr>
        <w:t xml:space="preserve">Conditions will change. The question is whether </w:t>
      </w:r>
      <w:r w:rsidR="00987011">
        <w:rPr>
          <w:rFonts w:ascii="Work Sans" w:hAnsi="Work Sans"/>
        </w:rPr>
        <w:t>our client’s</w:t>
      </w:r>
      <w:r w:rsidRPr="00A674E9">
        <w:rPr>
          <w:rFonts w:ascii="Work Sans" w:hAnsi="Work Sans"/>
        </w:rPr>
        <w:t xml:space="preserve"> recognize the shift in time to act</w:t>
      </w:r>
      <w:r>
        <w:rPr>
          <w:rFonts w:ascii="Work Sans" w:hAnsi="Work Sans"/>
        </w:rPr>
        <w:t>.</w:t>
      </w:r>
    </w:p>
    <w:p w14:paraId="601B8BB8" w14:textId="77777777" w:rsidR="00997FC0" w:rsidRPr="00082CE7" w:rsidRDefault="00997FC0" w:rsidP="00997FC0">
      <w:pPr>
        <w:spacing w:before="360" w:after="160"/>
        <w:rPr>
          <w:rFonts w:ascii="Work Sans" w:hAnsi="Work Sans"/>
          <w:color w:val="DA291C"/>
          <w:sz w:val="48"/>
          <w:szCs w:val="48"/>
        </w:rPr>
      </w:pPr>
      <w:r w:rsidRPr="00082CE7">
        <w:rPr>
          <w:rFonts w:ascii="Work Sans" w:hAnsi="Work Sans"/>
          <w:color w:val="DA291C"/>
          <w:sz w:val="48"/>
          <w:szCs w:val="48"/>
        </w:rPr>
        <w:t>Section 6: How We Help</w:t>
      </w:r>
    </w:p>
    <w:p w14:paraId="1BCBFDF8" w14:textId="77777777" w:rsidR="00997FC0" w:rsidRPr="00082CE7" w:rsidRDefault="00997FC0" w:rsidP="00997FC0">
      <w:pPr>
        <w:spacing w:after="160"/>
        <w:rPr>
          <w:rFonts w:ascii="Work Sans" w:hAnsi="Work Sans"/>
        </w:rPr>
      </w:pPr>
      <w:r w:rsidRPr="00082CE7">
        <w:rPr>
          <w:rFonts w:ascii="Work Sans" w:hAnsi="Work Sans"/>
        </w:rPr>
        <w:t>Deliberate archetype selection requires capability. Our CDM practice offers engagements designed to help clients identify their natural position, monitor the forces that could shift it, and execute when the calculus changes. Entry assessments provide low-commitment starting points; deeper engagements follow based on findings and urgency.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9"/>
        <w:gridCol w:w="4410"/>
        <w:gridCol w:w="1555"/>
      </w:tblGrid>
      <w:tr w:rsidR="00997FC0" w:rsidRPr="00082CE7" w14:paraId="64534779" w14:textId="77777777" w:rsidTr="00E3392E">
        <w:trPr>
          <w:tblHeader/>
        </w:trPr>
        <w:tc>
          <w:tcPr>
            <w:tcW w:w="3059" w:type="dxa"/>
            <w:tcBorders>
              <w:top w:val="single" w:sz="1" w:space="0" w:color="AAAAAA"/>
              <w:left w:val="single" w:sz="1" w:space="0" w:color="AAAAAA"/>
              <w:bottom w:val="single" w:sz="1" w:space="0" w:color="AAAAAA"/>
              <w:right w:val="single" w:sz="1" w:space="0" w:color="AAAAAA"/>
            </w:tcBorders>
            <w:shd w:val="clear" w:color="auto" w:fill="032340"/>
            <w:tcMar>
              <w:top w:w="40" w:type="dxa"/>
              <w:left w:w="80" w:type="dxa"/>
              <w:bottom w:w="40" w:type="dxa"/>
              <w:right w:w="80" w:type="dxa"/>
            </w:tcMar>
            <w:vAlign w:val="center"/>
          </w:tcPr>
          <w:p w14:paraId="7BDACAB0" w14:textId="77777777" w:rsidR="00997FC0" w:rsidRPr="00082CE7" w:rsidRDefault="00997FC0" w:rsidP="00E3392E">
            <w:pPr>
              <w:jc w:val="center"/>
              <w:rPr>
                <w:rFonts w:ascii="Work Sans" w:hAnsi="Work Sans"/>
              </w:rPr>
            </w:pPr>
            <w:r w:rsidRPr="00082CE7">
              <w:rPr>
                <w:rFonts w:ascii="Work Sans" w:hAnsi="Work Sans"/>
                <w:b/>
                <w:bCs/>
                <w:color w:val="FFFFFF"/>
                <w:sz w:val="18"/>
                <w:szCs w:val="18"/>
              </w:rPr>
              <w:t>Service Offering</w:t>
            </w:r>
          </w:p>
        </w:tc>
        <w:tc>
          <w:tcPr>
            <w:tcW w:w="4410" w:type="dxa"/>
            <w:tcBorders>
              <w:top w:val="single" w:sz="1" w:space="0" w:color="AAAAAA"/>
              <w:left w:val="single" w:sz="1" w:space="0" w:color="AAAAAA"/>
              <w:bottom w:val="single" w:sz="1" w:space="0" w:color="AAAAAA"/>
              <w:right w:val="single" w:sz="1" w:space="0" w:color="AAAAAA"/>
            </w:tcBorders>
            <w:shd w:val="clear" w:color="auto" w:fill="032340"/>
            <w:tcMar>
              <w:top w:w="40" w:type="dxa"/>
              <w:left w:w="80" w:type="dxa"/>
              <w:bottom w:w="40" w:type="dxa"/>
              <w:right w:w="80" w:type="dxa"/>
            </w:tcMar>
            <w:vAlign w:val="center"/>
          </w:tcPr>
          <w:p w14:paraId="139EB99A" w14:textId="77777777" w:rsidR="00997FC0" w:rsidRPr="00082CE7" w:rsidRDefault="00997FC0" w:rsidP="00E3392E">
            <w:pPr>
              <w:jc w:val="center"/>
              <w:rPr>
                <w:rFonts w:ascii="Work Sans" w:hAnsi="Work Sans"/>
              </w:rPr>
            </w:pPr>
            <w:r w:rsidRPr="00082CE7">
              <w:rPr>
                <w:rFonts w:ascii="Work Sans" w:hAnsi="Work Sans"/>
                <w:b/>
                <w:bCs/>
                <w:color w:val="FFFFFF"/>
                <w:sz w:val="18"/>
                <w:szCs w:val="18"/>
              </w:rPr>
              <w:t>Description</w:t>
            </w:r>
          </w:p>
        </w:tc>
        <w:tc>
          <w:tcPr>
            <w:tcW w:w="1555" w:type="dxa"/>
            <w:tcBorders>
              <w:top w:val="single" w:sz="1" w:space="0" w:color="AAAAAA"/>
              <w:left w:val="single" w:sz="1" w:space="0" w:color="AAAAAA"/>
              <w:bottom w:val="single" w:sz="1" w:space="0" w:color="AAAAAA"/>
              <w:right w:val="single" w:sz="1" w:space="0" w:color="AAAAAA"/>
            </w:tcBorders>
            <w:shd w:val="clear" w:color="auto" w:fill="032340"/>
            <w:tcMar>
              <w:top w:w="40" w:type="dxa"/>
              <w:left w:w="80" w:type="dxa"/>
              <w:bottom w:w="40" w:type="dxa"/>
              <w:right w:w="80" w:type="dxa"/>
            </w:tcMar>
            <w:vAlign w:val="center"/>
          </w:tcPr>
          <w:p w14:paraId="4B42FF91" w14:textId="77777777" w:rsidR="00997FC0" w:rsidRPr="00082CE7" w:rsidRDefault="00997FC0" w:rsidP="00E3392E">
            <w:pPr>
              <w:jc w:val="center"/>
              <w:rPr>
                <w:rFonts w:ascii="Work Sans" w:hAnsi="Work Sans"/>
              </w:rPr>
            </w:pPr>
            <w:r w:rsidRPr="00082CE7">
              <w:rPr>
                <w:rFonts w:ascii="Work Sans" w:hAnsi="Work Sans"/>
                <w:b/>
                <w:bCs/>
                <w:color w:val="FFFFFF"/>
                <w:sz w:val="18"/>
                <w:szCs w:val="18"/>
              </w:rPr>
              <w:t>Target Archetype</w:t>
            </w:r>
          </w:p>
        </w:tc>
      </w:tr>
      <w:tr w:rsidR="00997FC0" w:rsidRPr="00082CE7" w14:paraId="19EDEF10" w14:textId="77777777" w:rsidTr="00E3392E">
        <w:trPr>
          <w:trHeight w:val="659"/>
        </w:trPr>
        <w:tc>
          <w:tcPr>
            <w:tcW w:w="3059"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9E9D914" w14:textId="77777777" w:rsidR="00997FC0" w:rsidRPr="00082CE7" w:rsidRDefault="00997FC0" w:rsidP="00E3392E">
            <w:pPr>
              <w:rPr>
                <w:rFonts w:ascii="Work Sans" w:hAnsi="Work Sans"/>
              </w:rPr>
            </w:pPr>
            <w:r w:rsidRPr="00082CE7">
              <w:rPr>
                <w:rFonts w:ascii="Work Sans" w:hAnsi="Work Sans"/>
                <w:b/>
                <w:bCs/>
                <w:sz w:val="18"/>
                <w:szCs w:val="18"/>
              </w:rPr>
              <w:t>Archetype Diagnostic</w:t>
            </w:r>
          </w:p>
        </w:tc>
        <w:tc>
          <w:tcPr>
            <w:tcW w:w="44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B39B23A" w14:textId="77777777" w:rsidR="00997FC0" w:rsidRPr="00082CE7" w:rsidRDefault="00997FC0" w:rsidP="00E3392E">
            <w:pPr>
              <w:rPr>
                <w:rFonts w:ascii="Work Sans" w:hAnsi="Work Sans"/>
              </w:rPr>
            </w:pPr>
            <w:r w:rsidRPr="00082CE7">
              <w:rPr>
                <w:rFonts w:ascii="Work Sans" w:hAnsi="Work Sans"/>
                <w:sz w:val="18"/>
                <w:szCs w:val="18"/>
              </w:rPr>
              <w:t>2-week assessment: revenue mix analysis, derivatives exposure, current-state architecture, archetype recommendation</w:t>
            </w:r>
          </w:p>
        </w:tc>
        <w:tc>
          <w:tcPr>
            <w:tcW w:w="1555"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F772C5D" w14:textId="77777777" w:rsidR="00997FC0" w:rsidRPr="00082CE7" w:rsidRDefault="00997FC0" w:rsidP="00E3392E">
            <w:pPr>
              <w:jc w:val="center"/>
              <w:rPr>
                <w:rFonts w:ascii="Work Sans" w:hAnsi="Work Sans"/>
              </w:rPr>
            </w:pPr>
            <w:r w:rsidRPr="00082CE7">
              <w:rPr>
                <w:rFonts w:ascii="Work Sans" w:hAnsi="Work Sans"/>
                <w:sz w:val="18"/>
                <w:szCs w:val="18"/>
              </w:rPr>
              <w:t>All (entry point)</w:t>
            </w:r>
          </w:p>
        </w:tc>
      </w:tr>
      <w:tr w:rsidR="00997FC0" w:rsidRPr="00082CE7" w14:paraId="5343F164" w14:textId="77777777" w:rsidTr="00E3392E">
        <w:trPr>
          <w:trHeight w:val="659"/>
        </w:trPr>
        <w:tc>
          <w:tcPr>
            <w:tcW w:w="3059"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60" w:type="dxa"/>
              <w:left w:w="80" w:type="dxa"/>
              <w:bottom w:w="60" w:type="dxa"/>
              <w:right w:w="80" w:type="dxa"/>
            </w:tcMar>
            <w:vAlign w:val="center"/>
          </w:tcPr>
          <w:p w14:paraId="57F8F547" w14:textId="77777777" w:rsidR="00997FC0" w:rsidRPr="00082CE7" w:rsidRDefault="00997FC0" w:rsidP="00E3392E">
            <w:pPr>
              <w:rPr>
                <w:rFonts w:ascii="Work Sans" w:hAnsi="Work Sans"/>
              </w:rPr>
            </w:pPr>
            <w:r w:rsidRPr="00082CE7">
              <w:rPr>
                <w:rFonts w:ascii="Work Sans" w:hAnsi="Work Sans"/>
                <w:b/>
                <w:bCs/>
                <w:sz w:val="18"/>
                <w:szCs w:val="18"/>
              </w:rPr>
              <w:t>Native Roadmap Design</w:t>
            </w:r>
          </w:p>
        </w:tc>
        <w:tc>
          <w:tcPr>
            <w:tcW w:w="441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40" w:type="dxa"/>
              <w:left w:w="80" w:type="dxa"/>
              <w:bottom w:w="40" w:type="dxa"/>
              <w:right w:w="80" w:type="dxa"/>
            </w:tcMar>
            <w:vAlign w:val="center"/>
          </w:tcPr>
          <w:p w14:paraId="04E6950A" w14:textId="77777777" w:rsidR="00997FC0" w:rsidRPr="00082CE7" w:rsidRDefault="00997FC0" w:rsidP="00E3392E">
            <w:pPr>
              <w:rPr>
                <w:rFonts w:ascii="Work Sans" w:hAnsi="Work Sans"/>
              </w:rPr>
            </w:pPr>
            <w:r w:rsidRPr="00082CE7">
              <w:rPr>
                <w:rFonts w:ascii="Work Sans" w:hAnsi="Work Sans"/>
                <w:sz w:val="18"/>
                <w:szCs w:val="18"/>
              </w:rPr>
              <w:t>Product-to-CDM mapping, architecture design, build vs. buy analysis, implementation sequencing</w:t>
            </w:r>
          </w:p>
        </w:tc>
        <w:tc>
          <w:tcPr>
            <w:tcW w:w="155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40" w:type="dxa"/>
              <w:left w:w="80" w:type="dxa"/>
              <w:bottom w:w="40" w:type="dxa"/>
              <w:right w:w="80" w:type="dxa"/>
            </w:tcMar>
            <w:vAlign w:val="center"/>
          </w:tcPr>
          <w:p w14:paraId="1CF057DC" w14:textId="77777777" w:rsidR="00997FC0" w:rsidRPr="00082CE7" w:rsidRDefault="00997FC0" w:rsidP="00E3392E">
            <w:pPr>
              <w:jc w:val="center"/>
              <w:rPr>
                <w:rFonts w:ascii="Work Sans" w:hAnsi="Work Sans"/>
                <w:sz w:val="18"/>
                <w:szCs w:val="18"/>
              </w:rPr>
            </w:pPr>
            <w:r w:rsidRPr="00082CE7">
              <w:rPr>
                <w:rFonts w:ascii="Work Sans" w:hAnsi="Work Sans"/>
                <w:sz w:val="18"/>
                <w:szCs w:val="18"/>
              </w:rPr>
              <w:t xml:space="preserve">Archetype </w:t>
            </w:r>
          </w:p>
          <w:p w14:paraId="4B674161" w14:textId="77777777" w:rsidR="00997FC0" w:rsidRPr="00082CE7" w:rsidRDefault="00997FC0" w:rsidP="00E3392E">
            <w:pPr>
              <w:jc w:val="center"/>
              <w:rPr>
                <w:rFonts w:ascii="Work Sans" w:hAnsi="Work Sans"/>
              </w:rPr>
            </w:pPr>
            <w:r w:rsidRPr="00082CE7">
              <w:rPr>
                <w:rFonts w:ascii="Work Sans" w:hAnsi="Work Sans"/>
                <w:sz w:val="18"/>
                <w:szCs w:val="18"/>
              </w:rPr>
              <w:t>1</w:t>
            </w:r>
          </w:p>
        </w:tc>
      </w:tr>
      <w:tr w:rsidR="00997FC0" w:rsidRPr="00082CE7" w14:paraId="04F4C7A0" w14:textId="77777777" w:rsidTr="00E3392E">
        <w:trPr>
          <w:trHeight w:val="659"/>
        </w:trPr>
        <w:tc>
          <w:tcPr>
            <w:tcW w:w="3059"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0906A48" w14:textId="77777777" w:rsidR="00997FC0" w:rsidRPr="00082CE7" w:rsidRDefault="00997FC0" w:rsidP="00E3392E">
            <w:pPr>
              <w:rPr>
                <w:rFonts w:ascii="Work Sans" w:hAnsi="Work Sans"/>
              </w:rPr>
            </w:pPr>
            <w:r w:rsidRPr="00082CE7">
              <w:rPr>
                <w:rFonts w:ascii="Work Sans" w:hAnsi="Work Sans"/>
                <w:b/>
                <w:bCs/>
                <w:sz w:val="18"/>
                <w:szCs w:val="18"/>
              </w:rPr>
              <w:t>Integration Layer Design</w:t>
            </w:r>
          </w:p>
        </w:tc>
        <w:tc>
          <w:tcPr>
            <w:tcW w:w="44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F4A4E01" w14:textId="77777777" w:rsidR="00997FC0" w:rsidRPr="00082CE7" w:rsidRDefault="00997FC0" w:rsidP="00E3392E">
            <w:pPr>
              <w:rPr>
                <w:rFonts w:ascii="Work Sans" w:hAnsi="Work Sans"/>
              </w:rPr>
            </w:pPr>
            <w:r w:rsidRPr="00082CE7">
              <w:rPr>
                <w:rFonts w:ascii="Work Sans" w:hAnsi="Work Sans"/>
                <w:sz w:val="18"/>
                <w:szCs w:val="18"/>
              </w:rPr>
              <w:t>Translation architecture, boundary definition, governance participation strategy</w:t>
            </w:r>
          </w:p>
        </w:tc>
        <w:tc>
          <w:tcPr>
            <w:tcW w:w="1555"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09F7454" w14:textId="77777777" w:rsidR="00997FC0" w:rsidRPr="00082CE7" w:rsidRDefault="00997FC0" w:rsidP="00E3392E">
            <w:pPr>
              <w:jc w:val="center"/>
              <w:rPr>
                <w:rFonts w:ascii="Work Sans" w:hAnsi="Work Sans"/>
                <w:sz w:val="18"/>
                <w:szCs w:val="18"/>
              </w:rPr>
            </w:pPr>
            <w:r w:rsidRPr="00082CE7">
              <w:rPr>
                <w:rFonts w:ascii="Work Sans" w:hAnsi="Work Sans"/>
                <w:sz w:val="18"/>
                <w:szCs w:val="18"/>
              </w:rPr>
              <w:t xml:space="preserve">Archetypes </w:t>
            </w:r>
          </w:p>
          <w:p w14:paraId="503E66A6" w14:textId="77777777" w:rsidR="00997FC0" w:rsidRPr="00082CE7" w:rsidRDefault="00997FC0" w:rsidP="00E3392E">
            <w:pPr>
              <w:jc w:val="center"/>
              <w:rPr>
                <w:rFonts w:ascii="Work Sans" w:hAnsi="Work Sans"/>
              </w:rPr>
            </w:pPr>
            <w:r w:rsidRPr="00082CE7">
              <w:rPr>
                <w:rFonts w:ascii="Work Sans" w:hAnsi="Work Sans"/>
                <w:sz w:val="18"/>
                <w:szCs w:val="18"/>
              </w:rPr>
              <w:t>2A, 2B</w:t>
            </w:r>
          </w:p>
        </w:tc>
      </w:tr>
      <w:tr w:rsidR="00997FC0" w:rsidRPr="00082CE7" w14:paraId="2A5176C9" w14:textId="77777777" w:rsidTr="00E3392E">
        <w:trPr>
          <w:trHeight w:val="659"/>
        </w:trPr>
        <w:tc>
          <w:tcPr>
            <w:tcW w:w="3059"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60" w:type="dxa"/>
              <w:left w:w="80" w:type="dxa"/>
              <w:bottom w:w="60" w:type="dxa"/>
              <w:right w:w="80" w:type="dxa"/>
            </w:tcMar>
            <w:vAlign w:val="center"/>
          </w:tcPr>
          <w:p w14:paraId="3D9AE605" w14:textId="77777777" w:rsidR="00997FC0" w:rsidRPr="00082CE7" w:rsidRDefault="00997FC0" w:rsidP="00E3392E">
            <w:pPr>
              <w:rPr>
                <w:rFonts w:ascii="Work Sans" w:hAnsi="Work Sans"/>
              </w:rPr>
            </w:pPr>
            <w:r w:rsidRPr="00082CE7">
              <w:rPr>
                <w:rFonts w:ascii="Work Sans" w:hAnsi="Work Sans"/>
                <w:b/>
                <w:bCs/>
                <w:sz w:val="18"/>
                <w:szCs w:val="18"/>
              </w:rPr>
              <w:t>Vendor Evaluation</w:t>
            </w:r>
          </w:p>
        </w:tc>
        <w:tc>
          <w:tcPr>
            <w:tcW w:w="441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40" w:type="dxa"/>
              <w:left w:w="80" w:type="dxa"/>
              <w:bottom w:w="40" w:type="dxa"/>
              <w:right w:w="80" w:type="dxa"/>
            </w:tcMar>
            <w:vAlign w:val="center"/>
          </w:tcPr>
          <w:p w14:paraId="7A771DB0" w14:textId="77777777" w:rsidR="00997FC0" w:rsidRPr="00082CE7" w:rsidRDefault="00997FC0" w:rsidP="00E3392E">
            <w:pPr>
              <w:rPr>
                <w:rFonts w:ascii="Work Sans" w:hAnsi="Work Sans"/>
              </w:rPr>
            </w:pPr>
            <w:r w:rsidRPr="00082CE7">
              <w:rPr>
                <w:rFonts w:ascii="Work Sans" w:hAnsi="Work Sans"/>
                <w:sz w:val="18"/>
                <w:szCs w:val="18"/>
              </w:rPr>
              <w:t>DTCC/REGnosys utility assessment, vendor comparison, RFP support, contract negotiation advisory</w:t>
            </w:r>
          </w:p>
        </w:tc>
        <w:tc>
          <w:tcPr>
            <w:tcW w:w="155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40" w:type="dxa"/>
              <w:left w:w="80" w:type="dxa"/>
              <w:bottom w:w="40" w:type="dxa"/>
              <w:right w:w="80" w:type="dxa"/>
            </w:tcMar>
            <w:vAlign w:val="center"/>
          </w:tcPr>
          <w:p w14:paraId="46BADAE7" w14:textId="77777777" w:rsidR="00997FC0" w:rsidRPr="00082CE7" w:rsidRDefault="00997FC0" w:rsidP="00E3392E">
            <w:pPr>
              <w:jc w:val="center"/>
              <w:rPr>
                <w:rFonts w:ascii="Work Sans" w:hAnsi="Work Sans"/>
                <w:sz w:val="18"/>
                <w:szCs w:val="18"/>
              </w:rPr>
            </w:pPr>
            <w:r w:rsidRPr="00082CE7">
              <w:rPr>
                <w:rFonts w:ascii="Work Sans" w:hAnsi="Work Sans"/>
                <w:sz w:val="18"/>
                <w:szCs w:val="18"/>
              </w:rPr>
              <w:t xml:space="preserve">Archetypes </w:t>
            </w:r>
          </w:p>
          <w:p w14:paraId="096CB467" w14:textId="77777777" w:rsidR="00997FC0" w:rsidRPr="00082CE7" w:rsidRDefault="00997FC0" w:rsidP="00E3392E">
            <w:pPr>
              <w:jc w:val="center"/>
              <w:rPr>
                <w:rFonts w:ascii="Work Sans" w:hAnsi="Work Sans"/>
              </w:rPr>
            </w:pPr>
            <w:r w:rsidRPr="00082CE7">
              <w:rPr>
                <w:rFonts w:ascii="Work Sans" w:hAnsi="Work Sans"/>
                <w:sz w:val="18"/>
                <w:szCs w:val="18"/>
              </w:rPr>
              <w:t>3, 4</w:t>
            </w:r>
          </w:p>
        </w:tc>
      </w:tr>
      <w:tr w:rsidR="00997FC0" w:rsidRPr="00082CE7" w14:paraId="3034B252" w14:textId="77777777" w:rsidTr="00E3392E">
        <w:trPr>
          <w:trHeight w:val="659"/>
        </w:trPr>
        <w:tc>
          <w:tcPr>
            <w:tcW w:w="3059"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246CCAC" w14:textId="77777777" w:rsidR="00997FC0" w:rsidRPr="00082CE7" w:rsidRDefault="00997FC0" w:rsidP="00E3392E">
            <w:pPr>
              <w:rPr>
                <w:rFonts w:ascii="Work Sans" w:hAnsi="Work Sans"/>
              </w:rPr>
            </w:pPr>
            <w:r w:rsidRPr="00082CE7">
              <w:rPr>
                <w:rFonts w:ascii="Work Sans" w:hAnsi="Work Sans"/>
                <w:b/>
                <w:bCs/>
                <w:sz w:val="18"/>
                <w:szCs w:val="18"/>
              </w:rPr>
              <w:t>Trigger Monitoring Program</w:t>
            </w:r>
          </w:p>
        </w:tc>
        <w:tc>
          <w:tcPr>
            <w:tcW w:w="44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126992F" w14:textId="77777777" w:rsidR="00997FC0" w:rsidRPr="00082CE7" w:rsidRDefault="00997FC0" w:rsidP="00E3392E">
            <w:pPr>
              <w:rPr>
                <w:rFonts w:ascii="Work Sans" w:hAnsi="Work Sans"/>
              </w:rPr>
            </w:pPr>
            <w:r w:rsidRPr="00082CE7">
              <w:rPr>
                <w:rFonts w:ascii="Work Sans" w:hAnsi="Work Sans"/>
                <w:sz w:val="18"/>
                <w:szCs w:val="18"/>
              </w:rPr>
              <w:t>Quarterly briefings on regulatory developments, peer moves, and trigger threshold tracking</w:t>
            </w:r>
          </w:p>
        </w:tc>
        <w:tc>
          <w:tcPr>
            <w:tcW w:w="1555"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0CF6A7B" w14:textId="77777777" w:rsidR="00997FC0" w:rsidRPr="00082CE7" w:rsidRDefault="00997FC0" w:rsidP="00E3392E">
            <w:pPr>
              <w:jc w:val="center"/>
              <w:rPr>
                <w:rFonts w:ascii="Work Sans" w:hAnsi="Work Sans"/>
              </w:rPr>
            </w:pPr>
            <w:r w:rsidRPr="00082CE7">
              <w:rPr>
                <w:rFonts w:ascii="Work Sans" w:hAnsi="Work Sans"/>
                <w:sz w:val="18"/>
                <w:szCs w:val="18"/>
              </w:rPr>
              <w:t>All</w:t>
            </w:r>
          </w:p>
        </w:tc>
      </w:tr>
      <w:tr w:rsidR="00997FC0" w:rsidRPr="00082CE7" w14:paraId="0868BC5A" w14:textId="77777777" w:rsidTr="00E3392E">
        <w:trPr>
          <w:trHeight w:val="659"/>
        </w:trPr>
        <w:tc>
          <w:tcPr>
            <w:tcW w:w="3059"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60" w:type="dxa"/>
              <w:left w:w="80" w:type="dxa"/>
              <w:bottom w:w="60" w:type="dxa"/>
              <w:right w:w="80" w:type="dxa"/>
            </w:tcMar>
            <w:vAlign w:val="center"/>
          </w:tcPr>
          <w:p w14:paraId="70A9D21F" w14:textId="77777777" w:rsidR="00997FC0" w:rsidRPr="00082CE7" w:rsidRDefault="00997FC0" w:rsidP="00E3392E">
            <w:pPr>
              <w:rPr>
                <w:rFonts w:ascii="Work Sans" w:hAnsi="Work Sans"/>
              </w:rPr>
            </w:pPr>
            <w:r w:rsidRPr="00082CE7">
              <w:rPr>
                <w:rFonts w:ascii="Work Sans" w:hAnsi="Work Sans"/>
                <w:b/>
                <w:bCs/>
                <w:sz w:val="18"/>
                <w:szCs w:val="18"/>
              </w:rPr>
              <w:t>ISDA Governance Support</w:t>
            </w:r>
          </w:p>
        </w:tc>
        <w:tc>
          <w:tcPr>
            <w:tcW w:w="441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40" w:type="dxa"/>
              <w:left w:w="80" w:type="dxa"/>
              <w:bottom w:w="40" w:type="dxa"/>
              <w:right w:w="80" w:type="dxa"/>
            </w:tcMar>
            <w:vAlign w:val="center"/>
          </w:tcPr>
          <w:p w14:paraId="3DEEEEE7" w14:textId="77777777" w:rsidR="00997FC0" w:rsidRPr="00082CE7" w:rsidRDefault="00997FC0" w:rsidP="00E3392E">
            <w:pPr>
              <w:rPr>
                <w:rFonts w:ascii="Work Sans" w:hAnsi="Work Sans"/>
              </w:rPr>
            </w:pPr>
            <w:r w:rsidRPr="00082CE7">
              <w:rPr>
                <w:rFonts w:ascii="Work Sans" w:hAnsi="Work Sans"/>
                <w:sz w:val="18"/>
                <w:szCs w:val="18"/>
              </w:rPr>
              <w:t>Representation strategy, working group positioning, influence pathway design</w:t>
            </w:r>
          </w:p>
        </w:tc>
        <w:tc>
          <w:tcPr>
            <w:tcW w:w="155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40" w:type="dxa"/>
              <w:left w:w="80" w:type="dxa"/>
              <w:bottom w:w="40" w:type="dxa"/>
              <w:right w:w="80" w:type="dxa"/>
            </w:tcMar>
            <w:vAlign w:val="center"/>
          </w:tcPr>
          <w:p w14:paraId="124FEAEA" w14:textId="77777777" w:rsidR="00997FC0" w:rsidRPr="00082CE7" w:rsidRDefault="00997FC0" w:rsidP="00E3392E">
            <w:pPr>
              <w:jc w:val="center"/>
              <w:rPr>
                <w:rFonts w:ascii="Work Sans" w:hAnsi="Work Sans"/>
                <w:sz w:val="18"/>
                <w:szCs w:val="18"/>
              </w:rPr>
            </w:pPr>
            <w:r w:rsidRPr="00082CE7">
              <w:rPr>
                <w:rFonts w:ascii="Work Sans" w:hAnsi="Work Sans"/>
                <w:sz w:val="18"/>
                <w:szCs w:val="18"/>
              </w:rPr>
              <w:t xml:space="preserve">Archetype </w:t>
            </w:r>
          </w:p>
          <w:p w14:paraId="1EF3C211" w14:textId="77777777" w:rsidR="00997FC0" w:rsidRPr="00082CE7" w:rsidRDefault="00997FC0" w:rsidP="00E3392E">
            <w:pPr>
              <w:jc w:val="center"/>
              <w:rPr>
                <w:rFonts w:ascii="Work Sans" w:hAnsi="Work Sans"/>
              </w:rPr>
            </w:pPr>
            <w:r w:rsidRPr="00082CE7">
              <w:rPr>
                <w:rFonts w:ascii="Work Sans" w:hAnsi="Work Sans"/>
                <w:sz w:val="18"/>
                <w:szCs w:val="18"/>
              </w:rPr>
              <w:t>2A</w:t>
            </w:r>
          </w:p>
        </w:tc>
      </w:tr>
      <w:tr w:rsidR="00997FC0" w:rsidRPr="00082CE7" w14:paraId="3F845A52" w14:textId="77777777" w:rsidTr="00E3392E">
        <w:trPr>
          <w:trHeight w:val="659"/>
        </w:trPr>
        <w:tc>
          <w:tcPr>
            <w:tcW w:w="3059"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50E88AF" w14:textId="77777777" w:rsidR="00997FC0" w:rsidRPr="00597034" w:rsidRDefault="00997FC0" w:rsidP="00E3392E">
            <w:pPr>
              <w:rPr>
                <w:rFonts w:ascii="Work Sans" w:hAnsi="Work Sans"/>
                <w:color w:val="000000" w:themeColor="text1"/>
              </w:rPr>
            </w:pPr>
            <w:r w:rsidRPr="00597034">
              <w:rPr>
                <w:rFonts w:ascii="Work Sans" w:hAnsi="Work Sans"/>
                <w:b/>
                <w:bCs/>
                <w:color w:val="000000" w:themeColor="text1"/>
                <w:sz w:val="18"/>
                <w:szCs w:val="18"/>
              </w:rPr>
              <w:t>Regulatory Risk Assessment</w:t>
            </w:r>
          </w:p>
        </w:tc>
        <w:tc>
          <w:tcPr>
            <w:tcW w:w="44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99E8010" w14:textId="77777777" w:rsidR="00997FC0" w:rsidRPr="00082CE7" w:rsidRDefault="00997FC0" w:rsidP="00E3392E">
            <w:pPr>
              <w:rPr>
                <w:rFonts w:ascii="Work Sans" w:hAnsi="Work Sans"/>
              </w:rPr>
            </w:pPr>
            <w:r w:rsidRPr="00082CE7">
              <w:rPr>
                <w:rFonts w:ascii="Work Sans" w:hAnsi="Work Sans"/>
                <w:sz w:val="18"/>
                <w:szCs w:val="18"/>
              </w:rPr>
              <w:t>Enforcement history analysis, gap identification, remediation roadmap</w:t>
            </w:r>
          </w:p>
        </w:tc>
        <w:tc>
          <w:tcPr>
            <w:tcW w:w="1555"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0A39B2A" w14:textId="77777777" w:rsidR="00997FC0" w:rsidRPr="00082CE7" w:rsidRDefault="00997FC0" w:rsidP="00E3392E">
            <w:pPr>
              <w:jc w:val="center"/>
              <w:rPr>
                <w:rFonts w:ascii="Work Sans" w:hAnsi="Work Sans"/>
              </w:rPr>
            </w:pPr>
            <w:r w:rsidRPr="00082CE7">
              <w:rPr>
                <w:rFonts w:ascii="Work Sans" w:hAnsi="Work Sans"/>
                <w:sz w:val="18"/>
                <w:szCs w:val="18"/>
              </w:rPr>
              <w:t>All</w:t>
            </w:r>
          </w:p>
        </w:tc>
      </w:tr>
      <w:tr w:rsidR="00997FC0" w:rsidRPr="00082CE7" w14:paraId="68D1E468" w14:textId="77777777" w:rsidTr="00E3392E">
        <w:trPr>
          <w:trHeight w:val="659"/>
        </w:trPr>
        <w:tc>
          <w:tcPr>
            <w:tcW w:w="3059"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60" w:type="dxa"/>
              <w:left w:w="80" w:type="dxa"/>
              <w:bottom w:w="60" w:type="dxa"/>
              <w:right w:w="80" w:type="dxa"/>
            </w:tcMar>
            <w:vAlign w:val="center"/>
          </w:tcPr>
          <w:p w14:paraId="5389E13E" w14:textId="77777777" w:rsidR="00997FC0" w:rsidRPr="00082CE7" w:rsidRDefault="00997FC0" w:rsidP="00E3392E">
            <w:pPr>
              <w:rPr>
                <w:rFonts w:ascii="Work Sans" w:hAnsi="Work Sans"/>
              </w:rPr>
            </w:pPr>
            <w:r w:rsidRPr="00082CE7">
              <w:rPr>
                <w:rFonts w:ascii="Work Sans" w:hAnsi="Work Sans"/>
                <w:b/>
                <w:bCs/>
                <w:sz w:val="18"/>
                <w:szCs w:val="18"/>
              </w:rPr>
              <w:t>Implementation Delivery</w:t>
            </w:r>
          </w:p>
        </w:tc>
        <w:tc>
          <w:tcPr>
            <w:tcW w:w="441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40" w:type="dxa"/>
              <w:left w:w="80" w:type="dxa"/>
              <w:bottom w:w="40" w:type="dxa"/>
              <w:right w:w="80" w:type="dxa"/>
            </w:tcMar>
            <w:vAlign w:val="center"/>
          </w:tcPr>
          <w:p w14:paraId="6B92DF1D" w14:textId="77777777" w:rsidR="00997FC0" w:rsidRPr="00082CE7" w:rsidRDefault="00997FC0" w:rsidP="00E3392E">
            <w:pPr>
              <w:rPr>
                <w:rFonts w:ascii="Work Sans" w:hAnsi="Work Sans"/>
              </w:rPr>
            </w:pPr>
            <w:r w:rsidRPr="00082CE7">
              <w:rPr>
                <w:rFonts w:ascii="Work Sans" w:hAnsi="Work Sans"/>
                <w:sz w:val="18"/>
                <w:szCs w:val="18"/>
              </w:rPr>
              <w:t>Hands-on build support: product mapping, CDM/DRR configuration, testing, go-live</w:t>
            </w:r>
          </w:p>
        </w:tc>
        <w:tc>
          <w:tcPr>
            <w:tcW w:w="155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40" w:type="dxa"/>
              <w:left w:w="80" w:type="dxa"/>
              <w:bottom w:w="40" w:type="dxa"/>
              <w:right w:w="80" w:type="dxa"/>
            </w:tcMar>
            <w:vAlign w:val="center"/>
          </w:tcPr>
          <w:p w14:paraId="7C864255" w14:textId="77777777" w:rsidR="00997FC0" w:rsidRPr="00082CE7" w:rsidRDefault="00997FC0" w:rsidP="00E3392E">
            <w:pPr>
              <w:jc w:val="center"/>
              <w:rPr>
                <w:rFonts w:ascii="Work Sans" w:hAnsi="Work Sans"/>
                <w:sz w:val="18"/>
                <w:szCs w:val="18"/>
              </w:rPr>
            </w:pPr>
            <w:r w:rsidRPr="00082CE7">
              <w:rPr>
                <w:rFonts w:ascii="Work Sans" w:hAnsi="Work Sans"/>
                <w:sz w:val="18"/>
                <w:szCs w:val="18"/>
              </w:rPr>
              <w:t xml:space="preserve">Archetypes </w:t>
            </w:r>
          </w:p>
          <w:p w14:paraId="45ABBF2C" w14:textId="77777777" w:rsidR="00997FC0" w:rsidRPr="00082CE7" w:rsidRDefault="00997FC0" w:rsidP="00E3392E">
            <w:pPr>
              <w:jc w:val="center"/>
              <w:rPr>
                <w:rFonts w:ascii="Work Sans" w:hAnsi="Work Sans"/>
              </w:rPr>
            </w:pPr>
            <w:r w:rsidRPr="00082CE7">
              <w:rPr>
                <w:rFonts w:ascii="Work Sans" w:hAnsi="Work Sans"/>
                <w:sz w:val="18"/>
                <w:szCs w:val="18"/>
              </w:rPr>
              <w:t>1, 2A, 2B</w:t>
            </w:r>
          </w:p>
        </w:tc>
      </w:tr>
      <w:tr w:rsidR="00997FC0" w:rsidRPr="00082CE7" w14:paraId="0D694CE3" w14:textId="77777777" w:rsidTr="00E3392E">
        <w:trPr>
          <w:trHeight w:val="659"/>
        </w:trPr>
        <w:tc>
          <w:tcPr>
            <w:tcW w:w="3059"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734596C" w14:textId="77777777" w:rsidR="00997FC0" w:rsidRPr="00082CE7" w:rsidRDefault="00997FC0" w:rsidP="00E3392E">
            <w:pPr>
              <w:rPr>
                <w:rFonts w:ascii="Work Sans" w:hAnsi="Work Sans"/>
              </w:rPr>
            </w:pPr>
            <w:r w:rsidRPr="00082CE7">
              <w:rPr>
                <w:rFonts w:ascii="Work Sans" w:hAnsi="Work Sans"/>
                <w:b/>
                <w:bCs/>
                <w:sz w:val="18"/>
                <w:szCs w:val="18"/>
              </w:rPr>
              <w:t>CDM Center of Excellence (CoE)</w:t>
            </w:r>
          </w:p>
        </w:tc>
        <w:tc>
          <w:tcPr>
            <w:tcW w:w="44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E5776CE" w14:textId="77777777" w:rsidR="00997FC0" w:rsidRPr="00082CE7" w:rsidRDefault="00997FC0" w:rsidP="00E3392E">
            <w:pPr>
              <w:rPr>
                <w:rFonts w:ascii="Work Sans" w:hAnsi="Work Sans"/>
              </w:rPr>
            </w:pPr>
            <w:r w:rsidRPr="00082CE7">
              <w:rPr>
                <w:rFonts w:ascii="Work Sans" w:hAnsi="Work Sans"/>
                <w:sz w:val="18"/>
                <w:szCs w:val="18"/>
              </w:rPr>
              <w:t>Standing up the internal governance structure, defining "Gold Copy" data standards, and establishing the Rune DSL repository</w:t>
            </w:r>
          </w:p>
        </w:tc>
        <w:tc>
          <w:tcPr>
            <w:tcW w:w="1555"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C7565E5" w14:textId="77777777" w:rsidR="00997FC0" w:rsidRPr="00082CE7" w:rsidRDefault="00997FC0" w:rsidP="00E3392E">
            <w:pPr>
              <w:jc w:val="center"/>
              <w:rPr>
                <w:rFonts w:ascii="Work Sans" w:hAnsi="Work Sans"/>
                <w:sz w:val="18"/>
                <w:szCs w:val="18"/>
              </w:rPr>
            </w:pPr>
            <w:r w:rsidRPr="00082CE7">
              <w:rPr>
                <w:rFonts w:ascii="Work Sans" w:hAnsi="Work Sans"/>
                <w:sz w:val="18"/>
                <w:szCs w:val="18"/>
              </w:rPr>
              <w:t xml:space="preserve">Archetypes </w:t>
            </w:r>
          </w:p>
          <w:p w14:paraId="4ED2F0B6" w14:textId="77777777" w:rsidR="00997FC0" w:rsidRPr="00082CE7" w:rsidRDefault="00997FC0" w:rsidP="00E3392E">
            <w:pPr>
              <w:jc w:val="center"/>
              <w:rPr>
                <w:rFonts w:ascii="Work Sans" w:hAnsi="Work Sans"/>
              </w:rPr>
            </w:pPr>
            <w:r w:rsidRPr="00082CE7">
              <w:rPr>
                <w:rFonts w:ascii="Work Sans" w:hAnsi="Work Sans"/>
                <w:sz w:val="18"/>
                <w:szCs w:val="18"/>
              </w:rPr>
              <w:t>1, 2A</w:t>
            </w:r>
          </w:p>
        </w:tc>
      </w:tr>
      <w:tr w:rsidR="00997FC0" w:rsidRPr="00082CE7" w14:paraId="13B82FA9" w14:textId="77777777" w:rsidTr="00E3392E">
        <w:trPr>
          <w:trHeight w:val="659"/>
        </w:trPr>
        <w:tc>
          <w:tcPr>
            <w:tcW w:w="3059"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60" w:type="dxa"/>
              <w:left w:w="80" w:type="dxa"/>
              <w:bottom w:w="60" w:type="dxa"/>
              <w:right w:w="80" w:type="dxa"/>
            </w:tcMar>
            <w:vAlign w:val="center"/>
          </w:tcPr>
          <w:p w14:paraId="1BB760FB" w14:textId="77777777" w:rsidR="00997FC0" w:rsidRPr="00082CE7" w:rsidRDefault="00997FC0" w:rsidP="00E3392E">
            <w:pPr>
              <w:rPr>
                <w:rFonts w:ascii="Work Sans" w:hAnsi="Work Sans"/>
              </w:rPr>
            </w:pPr>
            <w:r w:rsidRPr="00082CE7">
              <w:rPr>
                <w:rFonts w:ascii="Work Sans" w:hAnsi="Work Sans"/>
                <w:b/>
                <w:bCs/>
                <w:sz w:val="18"/>
                <w:szCs w:val="18"/>
              </w:rPr>
              <w:t>Rune DSL Talent Enablement</w:t>
            </w:r>
          </w:p>
        </w:tc>
        <w:tc>
          <w:tcPr>
            <w:tcW w:w="441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40" w:type="dxa"/>
              <w:left w:w="80" w:type="dxa"/>
              <w:bottom w:w="40" w:type="dxa"/>
              <w:right w:w="80" w:type="dxa"/>
            </w:tcMar>
            <w:vAlign w:val="center"/>
          </w:tcPr>
          <w:p w14:paraId="65103FB8" w14:textId="77777777" w:rsidR="00997FC0" w:rsidRPr="00082CE7" w:rsidRDefault="00997FC0" w:rsidP="00E3392E">
            <w:pPr>
              <w:rPr>
                <w:rFonts w:ascii="Work Sans" w:hAnsi="Work Sans"/>
              </w:rPr>
            </w:pPr>
            <w:r w:rsidRPr="00082CE7">
              <w:rPr>
                <w:rFonts w:ascii="Work Sans" w:hAnsi="Work Sans"/>
                <w:sz w:val="18"/>
                <w:szCs w:val="18"/>
              </w:rPr>
              <w:t>Upskilling internal developers on Rune DSL (Domain Specific Language) to mitigate talent scarcity risks and reduce reliance on external contractors</w:t>
            </w:r>
          </w:p>
        </w:tc>
        <w:tc>
          <w:tcPr>
            <w:tcW w:w="155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40" w:type="dxa"/>
              <w:left w:w="80" w:type="dxa"/>
              <w:bottom w:w="40" w:type="dxa"/>
              <w:right w:w="80" w:type="dxa"/>
            </w:tcMar>
            <w:vAlign w:val="center"/>
          </w:tcPr>
          <w:p w14:paraId="3B695B13" w14:textId="77777777" w:rsidR="00997FC0" w:rsidRPr="00082CE7" w:rsidRDefault="00997FC0" w:rsidP="00E3392E">
            <w:pPr>
              <w:jc w:val="center"/>
              <w:rPr>
                <w:rFonts w:ascii="Work Sans" w:hAnsi="Work Sans"/>
                <w:sz w:val="18"/>
                <w:szCs w:val="18"/>
              </w:rPr>
            </w:pPr>
            <w:r w:rsidRPr="00082CE7">
              <w:rPr>
                <w:rFonts w:ascii="Work Sans" w:hAnsi="Work Sans"/>
                <w:sz w:val="18"/>
                <w:szCs w:val="18"/>
              </w:rPr>
              <w:t xml:space="preserve">Archetypes </w:t>
            </w:r>
          </w:p>
          <w:p w14:paraId="53D7AA96" w14:textId="77777777" w:rsidR="00997FC0" w:rsidRPr="00082CE7" w:rsidRDefault="00997FC0" w:rsidP="00E3392E">
            <w:pPr>
              <w:jc w:val="center"/>
              <w:rPr>
                <w:rFonts w:ascii="Work Sans" w:hAnsi="Work Sans"/>
              </w:rPr>
            </w:pPr>
            <w:r w:rsidRPr="00082CE7">
              <w:rPr>
                <w:rFonts w:ascii="Work Sans" w:hAnsi="Work Sans"/>
                <w:sz w:val="18"/>
                <w:szCs w:val="18"/>
              </w:rPr>
              <w:t>1, 2A</w:t>
            </w:r>
          </w:p>
        </w:tc>
      </w:tr>
      <w:tr w:rsidR="00997FC0" w:rsidRPr="00082CE7" w14:paraId="28F96413" w14:textId="77777777" w:rsidTr="00E3392E">
        <w:trPr>
          <w:trHeight w:val="659"/>
        </w:trPr>
        <w:tc>
          <w:tcPr>
            <w:tcW w:w="3059"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C0920D7" w14:textId="77777777" w:rsidR="00997FC0" w:rsidRPr="00082CE7" w:rsidRDefault="00997FC0" w:rsidP="00E3392E">
            <w:pPr>
              <w:rPr>
                <w:rFonts w:ascii="Work Sans" w:hAnsi="Work Sans"/>
              </w:rPr>
            </w:pPr>
            <w:r w:rsidRPr="00082CE7">
              <w:rPr>
                <w:rFonts w:ascii="Work Sans" w:hAnsi="Work Sans"/>
                <w:b/>
                <w:bCs/>
                <w:sz w:val="18"/>
                <w:szCs w:val="18"/>
              </w:rPr>
              <w:lastRenderedPageBreak/>
              <w:t>Legacy Decommissioning</w:t>
            </w:r>
          </w:p>
        </w:tc>
        <w:tc>
          <w:tcPr>
            <w:tcW w:w="441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53DA5A9" w14:textId="77777777" w:rsidR="00997FC0" w:rsidRPr="00082CE7" w:rsidRDefault="00997FC0" w:rsidP="00E3392E">
            <w:pPr>
              <w:rPr>
                <w:rFonts w:ascii="Work Sans" w:hAnsi="Work Sans"/>
              </w:rPr>
            </w:pPr>
            <w:r w:rsidRPr="00082CE7">
              <w:rPr>
                <w:rFonts w:ascii="Work Sans" w:hAnsi="Work Sans"/>
                <w:sz w:val="18"/>
                <w:szCs w:val="18"/>
              </w:rPr>
              <w:t>Strategic roadmap for retiring legacy translation engines once CDM Native architecture is stabilized</w:t>
            </w:r>
          </w:p>
        </w:tc>
        <w:tc>
          <w:tcPr>
            <w:tcW w:w="1555"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908F7CC" w14:textId="77777777" w:rsidR="00997FC0" w:rsidRPr="00082CE7" w:rsidRDefault="00997FC0" w:rsidP="00E3392E">
            <w:pPr>
              <w:jc w:val="center"/>
              <w:rPr>
                <w:rFonts w:ascii="Work Sans" w:hAnsi="Work Sans"/>
                <w:sz w:val="18"/>
                <w:szCs w:val="18"/>
              </w:rPr>
            </w:pPr>
            <w:r w:rsidRPr="00082CE7">
              <w:rPr>
                <w:rFonts w:ascii="Work Sans" w:hAnsi="Work Sans"/>
                <w:sz w:val="18"/>
                <w:szCs w:val="18"/>
              </w:rPr>
              <w:t xml:space="preserve">Archetype </w:t>
            </w:r>
          </w:p>
          <w:p w14:paraId="781717CF" w14:textId="77777777" w:rsidR="00997FC0" w:rsidRPr="00082CE7" w:rsidRDefault="00997FC0" w:rsidP="00E3392E">
            <w:pPr>
              <w:jc w:val="center"/>
              <w:rPr>
                <w:rFonts w:ascii="Work Sans" w:hAnsi="Work Sans"/>
              </w:rPr>
            </w:pPr>
            <w:r w:rsidRPr="00082CE7">
              <w:rPr>
                <w:rFonts w:ascii="Work Sans" w:hAnsi="Work Sans"/>
                <w:sz w:val="18"/>
                <w:szCs w:val="18"/>
              </w:rPr>
              <w:t>1</w:t>
            </w:r>
          </w:p>
        </w:tc>
      </w:tr>
    </w:tbl>
    <w:p w14:paraId="0280FAC2" w14:textId="77777777" w:rsidR="00997FC0" w:rsidRPr="00082CE7" w:rsidRDefault="00997FC0" w:rsidP="00997FC0">
      <w:pPr>
        <w:spacing w:before="360" w:after="160"/>
        <w:rPr>
          <w:rFonts w:ascii="Work Sans" w:hAnsi="Work Sans"/>
          <w:color w:val="DA291C"/>
          <w:sz w:val="48"/>
          <w:szCs w:val="48"/>
        </w:rPr>
      </w:pPr>
      <w:r w:rsidRPr="00082CE7">
        <w:rPr>
          <w:rFonts w:ascii="Work Sans" w:hAnsi="Work Sans"/>
          <w:color w:val="DA291C"/>
          <w:sz w:val="48"/>
          <w:szCs w:val="48"/>
        </w:rPr>
        <w:t>Strategic Conclusion</w:t>
      </w:r>
    </w:p>
    <w:p w14:paraId="29208D64" w14:textId="77777777" w:rsidR="00997FC0" w:rsidRPr="00A674E9" w:rsidRDefault="00997FC0" w:rsidP="00997FC0">
      <w:pPr>
        <w:rPr>
          <w:rFonts w:ascii="Work Sans" w:hAnsi="Work Sans"/>
        </w:rPr>
      </w:pPr>
      <w:r w:rsidRPr="00A674E9">
        <w:rPr>
          <w:rFonts w:ascii="Work Sans" w:hAnsi="Work Sans"/>
        </w:rPr>
        <w:t>JPMorgan has placed its bet. The rest of the market is watching.</w:t>
      </w:r>
    </w:p>
    <w:p w14:paraId="60DCEF8C" w14:textId="77777777" w:rsidR="00997FC0" w:rsidRDefault="00997FC0" w:rsidP="00997FC0">
      <w:pPr>
        <w:rPr>
          <w:rFonts w:ascii="Work Sans" w:hAnsi="Work Sans"/>
        </w:rPr>
      </w:pPr>
      <w:r w:rsidRPr="00A674E9">
        <w:rPr>
          <w:rFonts w:ascii="Work Sans" w:hAnsi="Work Sans"/>
        </w:rPr>
        <w:t>We believe this watching period extends through 2026, then compresses rapidly. JPMorgan's architecture represents a calculated wager that early integration unlocks value beyond compliance. For institutions where derivatives are not the core business, that level of investment isn't necessary today.</w:t>
      </w:r>
    </w:p>
    <w:p w14:paraId="16DEC3E0" w14:textId="77777777" w:rsidR="00997FC0" w:rsidRPr="00A674E9" w:rsidRDefault="00997FC0" w:rsidP="00997FC0">
      <w:pPr>
        <w:rPr>
          <w:rFonts w:ascii="Work Sans" w:hAnsi="Work Sans"/>
        </w:rPr>
      </w:pPr>
    </w:p>
    <w:p w14:paraId="7B0D1F12" w14:textId="2EEC78BC" w:rsidR="00997FC0" w:rsidRDefault="00997FC0" w:rsidP="00997FC0">
      <w:pPr>
        <w:rPr>
          <w:rFonts w:ascii="Work Sans" w:hAnsi="Work Sans"/>
        </w:rPr>
      </w:pPr>
      <w:r w:rsidRPr="00A674E9">
        <w:rPr>
          <w:rFonts w:ascii="Work Sans" w:hAnsi="Work Sans"/>
        </w:rPr>
        <w:t>But "today" is a moving target. When the window shifts</w:t>
      </w:r>
      <w:r w:rsidR="00196F8E">
        <w:rPr>
          <w:rFonts w:ascii="Work Sans" w:hAnsi="Work Sans"/>
        </w:rPr>
        <w:t xml:space="preserve">, </w:t>
      </w:r>
      <w:r w:rsidRPr="00A674E9">
        <w:rPr>
          <w:rFonts w:ascii="Work Sans" w:hAnsi="Work Sans"/>
        </w:rPr>
        <w:t>through regulatory mandate, network effects, or counterparty pressure</w:t>
      </w:r>
      <w:r w:rsidR="00196F8E">
        <w:rPr>
          <w:rFonts w:ascii="Work Sans" w:hAnsi="Work Sans"/>
        </w:rPr>
        <w:t xml:space="preserve">, </w:t>
      </w:r>
      <w:r w:rsidRPr="00A674E9">
        <w:rPr>
          <w:rFonts w:ascii="Work Sans" w:hAnsi="Work Sans"/>
        </w:rPr>
        <w:t>the institutions that made deliberate archetype choices will have optionality. Those that drifted will face a binary: over-invest to catch</w:t>
      </w:r>
      <w:r w:rsidR="00196F8E">
        <w:rPr>
          <w:rFonts w:ascii="Work Sans" w:hAnsi="Work Sans"/>
        </w:rPr>
        <w:t>-</w:t>
      </w:r>
      <w:r w:rsidRPr="00A674E9">
        <w:rPr>
          <w:rFonts w:ascii="Work Sans" w:hAnsi="Work Sans"/>
        </w:rPr>
        <w:t>up, or accept structural disadvantage in derivatives operations.</w:t>
      </w:r>
    </w:p>
    <w:p w14:paraId="416DE64E" w14:textId="77777777" w:rsidR="00997FC0" w:rsidRPr="00A674E9" w:rsidRDefault="00997FC0" w:rsidP="00997FC0">
      <w:pPr>
        <w:rPr>
          <w:rFonts w:ascii="Work Sans" w:hAnsi="Work Sans"/>
        </w:rPr>
      </w:pPr>
    </w:p>
    <w:p w14:paraId="3029266A" w14:textId="77777777" w:rsidR="00997FC0" w:rsidRPr="00082CE7" w:rsidRDefault="00997FC0" w:rsidP="00997FC0">
      <w:pPr>
        <w:rPr>
          <w:rFonts w:ascii="Work Sans" w:hAnsi="Work Sans"/>
        </w:rPr>
      </w:pPr>
      <w:r w:rsidRPr="00A674E9">
        <w:rPr>
          <w:rFonts w:ascii="Work Sans" w:hAnsi="Work Sans"/>
        </w:rPr>
        <w:t>This framework prevents that outcome: identify your archetype, monitor triggers, act when the calculus changes.</w:t>
      </w:r>
      <w:r w:rsidRPr="00082CE7">
        <w:rPr>
          <w:rFonts w:ascii="Work Sans" w:hAnsi="Work Sans"/>
        </w:rPr>
        <w:br w:type="page"/>
      </w:r>
    </w:p>
    <w:p w14:paraId="35B36F73" w14:textId="77777777" w:rsidR="00997FC0" w:rsidRPr="00082CE7" w:rsidRDefault="00997FC0" w:rsidP="00997FC0">
      <w:pPr>
        <w:spacing w:before="360" w:after="160"/>
        <w:rPr>
          <w:rFonts w:ascii="Work Sans" w:hAnsi="Work Sans"/>
          <w:color w:val="DA291C"/>
          <w:sz w:val="48"/>
          <w:szCs w:val="48"/>
        </w:rPr>
      </w:pPr>
      <w:r w:rsidRPr="00082CE7">
        <w:rPr>
          <w:rFonts w:ascii="Work Sans" w:hAnsi="Work Sans"/>
          <w:color w:val="DA291C"/>
          <w:sz w:val="48"/>
          <w:szCs w:val="48"/>
        </w:rPr>
        <w:lastRenderedPageBreak/>
        <w:t>Appendix A: What is the CDM?</w:t>
      </w:r>
    </w:p>
    <w:p w14:paraId="3FC7586F" w14:textId="77777777" w:rsidR="00997FC0" w:rsidRPr="00082CE7" w:rsidRDefault="00997FC0" w:rsidP="00997FC0">
      <w:pPr>
        <w:spacing w:after="160"/>
        <w:rPr>
          <w:rFonts w:ascii="Work Sans" w:hAnsi="Work Sans"/>
        </w:rPr>
      </w:pPr>
      <w:r w:rsidRPr="00082CE7">
        <w:rPr>
          <w:rFonts w:ascii="Work Sans" w:hAnsi="Work Sans"/>
          <w:b/>
          <w:bCs/>
        </w:rPr>
        <w:t xml:space="preserve">Plain language: </w:t>
      </w:r>
      <w:r w:rsidRPr="00082CE7">
        <w:rPr>
          <w:rFonts w:ascii="Work Sans" w:hAnsi="Work Sans"/>
        </w:rPr>
        <w:t>CDM is ISDA's attempt to create a universal language for derivatives—so when two banks talk to each other or report to regulators, they're speaking the same language instead of translating between proprietary systems.</w:t>
      </w:r>
    </w:p>
    <w:p w14:paraId="5D986301" w14:textId="77777777" w:rsidR="00997FC0" w:rsidRPr="00082CE7" w:rsidRDefault="00997FC0" w:rsidP="00997FC0">
      <w:pPr>
        <w:spacing w:after="160"/>
        <w:rPr>
          <w:rFonts w:ascii="Work Sans" w:hAnsi="Work Sans"/>
        </w:rPr>
      </w:pPr>
      <w:r w:rsidRPr="00082CE7">
        <w:rPr>
          <w:rFonts w:ascii="Work Sans" w:hAnsi="Work Sans"/>
          <w:b/>
          <w:bCs/>
        </w:rPr>
        <w:t xml:space="preserve">Technical definition: </w:t>
      </w:r>
      <w:r w:rsidRPr="00082CE7">
        <w:rPr>
          <w:rFonts w:ascii="Work Sans" w:hAnsi="Work Sans"/>
        </w:rPr>
        <w:t>The Common Domain Model (CDM) is an open-source, machine-readable standard governed by ISDA that defines a common language for representing derivatives trades and lifecycle events end-to-end. Built to enable consistent, structured data across firms, platforms, and jurisdictions, it reduces reconciliation and interpretation friction and strengthens cross-jurisdictional regulatory compliance—particularly when paired with ISDA's Digital Regulatory Reporting (DRR) framework.</w:t>
      </w:r>
    </w:p>
    <w:p w14:paraId="3A1AFE8C" w14:textId="77777777" w:rsidR="00997FC0" w:rsidRPr="00082CE7" w:rsidRDefault="00997FC0" w:rsidP="00997FC0">
      <w:pPr>
        <w:spacing w:after="160"/>
        <w:rPr>
          <w:rFonts w:ascii="Work Sans" w:hAnsi="Work Sans"/>
        </w:rPr>
      </w:pPr>
      <w:r w:rsidRPr="00082CE7">
        <w:rPr>
          <w:rFonts w:ascii="Work Sans" w:hAnsi="Work Sans"/>
          <w:b/>
          <w:bCs/>
        </w:rPr>
        <w:t xml:space="preserve">Beyond reporting: </w:t>
      </w:r>
      <w:r w:rsidRPr="00082CE7">
        <w:rPr>
          <w:rFonts w:ascii="Work Sans" w:hAnsi="Work Sans"/>
        </w:rPr>
        <w:t>CDM increasingly serves as a foundation for downstream workflows: collateral and margin processes, interoperability and B2B messaging, and emerging digital-asset use cases including tokenization.</w:t>
      </w:r>
    </w:p>
    <w:p w14:paraId="38A40AE4" w14:textId="77777777" w:rsidR="00997FC0" w:rsidRPr="00082CE7" w:rsidRDefault="00997FC0" w:rsidP="00997FC0">
      <w:pPr>
        <w:spacing w:before="360" w:after="160"/>
        <w:rPr>
          <w:rFonts w:ascii="Work Sans" w:hAnsi="Work Sans"/>
          <w:color w:val="DA291C"/>
          <w:sz w:val="48"/>
          <w:szCs w:val="48"/>
        </w:rPr>
      </w:pPr>
      <w:r w:rsidRPr="00082CE7">
        <w:rPr>
          <w:rFonts w:ascii="Work Sans" w:hAnsi="Work Sans"/>
          <w:color w:val="DA291C"/>
          <w:sz w:val="48"/>
          <w:szCs w:val="48"/>
        </w:rPr>
        <w:t>Sources</w:t>
      </w:r>
    </w:p>
    <w:p w14:paraId="084291FE" w14:textId="77777777" w:rsidR="00997FC0" w:rsidRPr="00082CE7" w:rsidRDefault="00997FC0" w:rsidP="00997FC0">
      <w:pPr>
        <w:pStyle w:val="ListParagraph"/>
        <w:numPr>
          <w:ilvl w:val="0"/>
          <w:numId w:val="22"/>
        </w:numPr>
        <w:rPr>
          <w:rFonts w:ascii="Work Sans" w:hAnsi="Work Sans"/>
        </w:rPr>
      </w:pPr>
      <w:r w:rsidRPr="00082CE7">
        <w:rPr>
          <w:rFonts w:ascii="Work Sans" w:hAnsi="Work Sans"/>
        </w:rPr>
        <w:t>ISDA November 2024 Webinar — JPMorgan implementation details (Nick Mosher)</w:t>
      </w:r>
    </w:p>
    <w:p w14:paraId="7CE7637C" w14:textId="77777777" w:rsidR="00997FC0" w:rsidRPr="00082CE7" w:rsidRDefault="00997FC0" w:rsidP="00997FC0">
      <w:pPr>
        <w:pStyle w:val="ListParagraph"/>
        <w:numPr>
          <w:ilvl w:val="0"/>
          <w:numId w:val="22"/>
        </w:numPr>
        <w:rPr>
          <w:rFonts w:ascii="Work Sans" w:hAnsi="Work Sans"/>
        </w:rPr>
      </w:pPr>
      <w:r w:rsidRPr="00082CE7">
        <w:rPr>
          <w:rFonts w:ascii="Work Sans" w:hAnsi="Work Sans"/>
        </w:rPr>
        <w:t>The Paypers — SWIFT ISO 20022 migration delays</w:t>
      </w:r>
    </w:p>
    <w:p w14:paraId="53E07E50" w14:textId="77777777" w:rsidR="00997FC0" w:rsidRPr="00082CE7" w:rsidRDefault="00997FC0" w:rsidP="00997FC0">
      <w:pPr>
        <w:pStyle w:val="ListParagraph"/>
        <w:numPr>
          <w:ilvl w:val="0"/>
          <w:numId w:val="22"/>
        </w:numPr>
        <w:rPr>
          <w:rFonts w:ascii="Work Sans" w:hAnsi="Work Sans"/>
        </w:rPr>
      </w:pPr>
      <w:r w:rsidRPr="00082CE7">
        <w:rPr>
          <w:rFonts w:ascii="Work Sans" w:hAnsi="Work Sans"/>
        </w:rPr>
        <w:t>Markets Media — DTCC and REGnosys collaboration on DRR</w:t>
      </w:r>
    </w:p>
    <w:p w14:paraId="665A9D0D" w14:textId="77777777" w:rsidR="00997FC0" w:rsidRPr="00082CE7" w:rsidRDefault="00997FC0" w:rsidP="00997FC0">
      <w:pPr>
        <w:pStyle w:val="ListParagraph"/>
        <w:numPr>
          <w:ilvl w:val="0"/>
          <w:numId w:val="22"/>
        </w:numPr>
        <w:rPr>
          <w:rFonts w:ascii="Work Sans" w:hAnsi="Work Sans"/>
        </w:rPr>
      </w:pPr>
      <w:r w:rsidRPr="00082CE7">
        <w:rPr>
          <w:rFonts w:ascii="Work Sans" w:hAnsi="Work Sans"/>
        </w:rPr>
        <w:t>Chapman and Cutler LLP — Financial Data Transparency Act analysis</w:t>
      </w:r>
    </w:p>
    <w:p w14:paraId="3D47DB55" w14:textId="77777777" w:rsidR="00997FC0" w:rsidRPr="00082CE7" w:rsidRDefault="00997FC0" w:rsidP="00997FC0">
      <w:pPr>
        <w:pStyle w:val="ListParagraph"/>
        <w:numPr>
          <w:ilvl w:val="0"/>
          <w:numId w:val="22"/>
        </w:numPr>
        <w:rPr>
          <w:rFonts w:ascii="Work Sans" w:hAnsi="Work Sans"/>
        </w:rPr>
      </w:pPr>
      <w:r w:rsidRPr="00082CE7">
        <w:rPr>
          <w:rFonts w:ascii="Work Sans" w:hAnsi="Work Sans"/>
        </w:rPr>
        <w:t>Derivsource — CDM standardized data representation overview</w:t>
      </w:r>
    </w:p>
    <w:p w14:paraId="4EB670C2" w14:textId="55B71C75" w:rsidR="00F241C5" w:rsidRPr="00997FC0" w:rsidRDefault="00F241C5" w:rsidP="00997FC0"/>
    <w:sectPr w:rsidR="00F241C5" w:rsidRPr="00997FC0">
      <w:headerReference w:type="default" r:id="rId11"/>
      <w:footerReference w:type="default" r:id="rId12"/>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ensa, Matthew (Bip.Monticello)" w:date="2025-12-15T00:53:00Z" w:initials="MP">
    <w:p w14:paraId="79A5B8D1" w14:textId="77777777" w:rsidR="00C94CC2" w:rsidRDefault="00C94CC2" w:rsidP="00C94CC2">
      <w:pPr>
        <w:pStyle w:val="CommentText"/>
      </w:pPr>
      <w:r>
        <w:rPr>
          <w:rStyle w:val="CommentReference"/>
        </w:rPr>
        <w:annotationRef/>
      </w:r>
      <w:r>
        <w:t>Combine these two columns.</w:t>
      </w:r>
    </w:p>
  </w:comment>
  <w:comment w:id="1" w:author="Pensa, Matthew (Bip.Monticello)" w:date="2025-12-15T00:53:00Z" w:initials="MP">
    <w:p w14:paraId="738036F3" w14:textId="77777777" w:rsidR="00C94CC2" w:rsidRDefault="00C94CC2" w:rsidP="00C94CC2">
      <w:pPr>
        <w:pStyle w:val="CommentText"/>
      </w:pPr>
      <w:r>
        <w:rPr>
          <w:rStyle w:val="CommentReference"/>
        </w:rPr>
        <w:annotationRef/>
      </w:r>
      <w:r>
        <w:t>Combine these two archtypes</w:t>
      </w:r>
    </w:p>
  </w:comment>
  <w:comment w:id="2" w:author="Pensa, Matthew (Bip.Monticello)" w:date="2025-12-15T00:54:00Z" w:initials="MP">
    <w:p w14:paraId="35FF6EAD" w14:textId="77777777" w:rsidR="00C94CC2" w:rsidRDefault="00C94CC2" w:rsidP="00C94CC2">
      <w:pPr>
        <w:pStyle w:val="CommentText"/>
      </w:pPr>
      <w:r>
        <w:rPr>
          <w:rStyle w:val="CommentReference"/>
        </w:rPr>
        <w:annotationRef/>
      </w:r>
      <w:r>
        <w:t>Consider splitting this into A/B</w:t>
      </w:r>
    </w:p>
  </w:comment>
  <w:comment w:id="3" w:author="Pensa, Matthew (Bip.Monticello)" w:date="2025-12-15T00:58:00Z" w:initials="MP">
    <w:p w14:paraId="03A79528" w14:textId="77777777" w:rsidR="007970D2" w:rsidRDefault="007970D2" w:rsidP="007970D2">
      <w:pPr>
        <w:pStyle w:val="CommentText"/>
      </w:pPr>
      <w:r>
        <w:rPr>
          <w:rStyle w:val="CommentReference"/>
        </w:rPr>
        <w:annotationRef/>
      </w:r>
      <w:r>
        <w:t>How likely is this? Currently immature 4 trying to get to mature 4. What would it take to get to Mature 4?? What would it take to get to 3?</w:t>
      </w:r>
    </w:p>
  </w:comment>
  <w:comment w:id="4" w:author="Pensa, Matthew (Bip.Monticello)" w:date="2025-12-15T19:36:00Z" w:initials="MP">
    <w:p w14:paraId="63C840FE" w14:textId="77777777" w:rsidR="00F31E90" w:rsidRDefault="00F31E90" w:rsidP="00F31E90">
      <w:pPr>
        <w:pStyle w:val="CommentText"/>
      </w:pPr>
      <w:r>
        <w:rPr>
          <w:rStyle w:val="CommentReference"/>
        </w:rPr>
        <w:annotationRef/>
      </w:r>
      <w:r>
        <w:t>Add to the story why Citi is at 3 and not 2.</w:t>
      </w:r>
    </w:p>
  </w:comment>
  <w:comment w:id="5" w:author="Pensa, Matthew (Bip.Monticello)" w:date="2025-12-15T01:11:00Z" w:initials="MP">
    <w:p w14:paraId="2ABEFA51" w14:textId="09543ADB" w:rsidR="009D30D9" w:rsidRDefault="009D30D9" w:rsidP="009D30D9">
      <w:pPr>
        <w:pStyle w:val="CommentText"/>
      </w:pPr>
      <w:r>
        <w:rPr>
          <w:rStyle w:val="CommentReference"/>
        </w:rPr>
        <w:annotationRef/>
      </w:r>
      <w:r>
        <w:t>Combine and rename</w:t>
      </w:r>
    </w:p>
  </w:comment>
  <w:comment w:id="6" w:author="Pensa, Matthew (Bip.Monticello)" w:date="2025-12-15T19:39:00Z" w:initials="MP">
    <w:p w14:paraId="26DC8B6F" w14:textId="77777777" w:rsidR="00153965" w:rsidRDefault="00153965" w:rsidP="00153965">
      <w:pPr>
        <w:pStyle w:val="CommentText"/>
      </w:pPr>
      <w:r>
        <w:rPr>
          <w:rStyle w:val="CommentReference"/>
        </w:rPr>
        <w:annotationRef/>
      </w:r>
      <w:r>
        <w:t>Remove all mentions to bofa moving to #3. They need to mature to #2 first. Although, could external pressures force A3? CONFIRM</w:t>
      </w:r>
    </w:p>
  </w:comment>
  <w:comment w:id="7" w:author="Pensa, Matthew (Bip.Monticello)" w:date="2025-12-15T19:40:00Z" w:initials="MP">
    <w:p w14:paraId="2D2BE41C" w14:textId="77777777" w:rsidR="00BC7599" w:rsidRDefault="00BC7599" w:rsidP="00BC7599">
      <w:pPr>
        <w:pStyle w:val="CommentText"/>
      </w:pPr>
      <w:r>
        <w:rPr>
          <w:rStyle w:val="CommentReference"/>
        </w:rPr>
        <w:annotationRef/>
      </w:r>
      <w:r>
        <w:t>Add why citi is not Archetype 2. Too little resources given fines?</w:t>
      </w:r>
    </w:p>
  </w:comment>
  <w:comment w:id="8" w:author="Pensa, Matthew (Bip.Monticello)" w:date="2025-12-16T00:21:00Z" w:initials="MP">
    <w:p w14:paraId="6E62715A" w14:textId="77777777" w:rsidR="003D5AE9" w:rsidRDefault="003D5AE9" w:rsidP="003D5AE9">
      <w:pPr>
        <w:pStyle w:val="CommentText"/>
      </w:pPr>
      <w:r>
        <w:rPr>
          <w:rStyle w:val="CommentReference"/>
        </w:rPr>
        <w:annotationRef/>
      </w:r>
      <w:r>
        <w:rPr>
          <w:color w:val="0C2340"/>
          <w:highlight w:val="white"/>
        </w:rPr>
        <w:t>The bank is a clear leader in the application of DLT for financial assets, having launched the Goldman Sachs Digital Asset Platform (GS DAP™) in January 2023. This platform, built on DAML (Digital Asset Modeling Language), provides an end-to-end digital asset solution for faster matching and quicker settlements.</w:t>
      </w:r>
      <w:r>
        <w:t xml:space="preserve"> </w:t>
      </w:r>
    </w:p>
  </w:comment>
  <w:comment w:id="9" w:author="Pensa, Matthew (Bip.Monticello)" w:date="2025-12-15T00:59:00Z" w:initials="MP">
    <w:p w14:paraId="46E50D81" w14:textId="516EAAA9" w:rsidR="00D849C8" w:rsidRDefault="00D849C8" w:rsidP="00D849C8">
      <w:pPr>
        <w:pStyle w:val="CommentText"/>
      </w:pPr>
      <w:r>
        <w:rPr>
          <w:rStyle w:val="CommentReference"/>
        </w:rPr>
        <w:annotationRef/>
      </w:r>
      <w:r>
        <w:t>How likely is this to materialize?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A5B8D1" w15:done="0"/>
  <w15:commentEx w15:paraId="738036F3" w15:done="0"/>
  <w15:commentEx w15:paraId="35FF6EAD" w15:done="0"/>
  <w15:commentEx w15:paraId="03A79528" w15:done="0"/>
  <w15:commentEx w15:paraId="63C840FE" w15:done="0"/>
  <w15:commentEx w15:paraId="2ABEFA51" w15:done="0"/>
  <w15:commentEx w15:paraId="26DC8B6F" w15:done="0"/>
  <w15:commentEx w15:paraId="2D2BE41C" w15:done="0"/>
  <w15:commentEx w15:paraId="6E62715A" w15:done="0"/>
  <w15:commentEx w15:paraId="46E50D8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9B8F3B" w16cex:dateUtc="2025-12-15T05:53:00Z"/>
  <w16cex:commentExtensible w16cex:durableId="087FC161" w16cex:dateUtc="2025-12-15T05:53:00Z"/>
  <w16cex:commentExtensible w16cex:durableId="26325C1A" w16cex:dateUtc="2025-12-15T05:54:00Z"/>
  <w16cex:commentExtensible w16cex:durableId="121A9732" w16cex:dateUtc="2025-12-15T05:58:00Z"/>
  <w16cex:commentExtensible w16cex:durableId="0163B242" w16cex:dateUtc="2025-12-16T00:36:00Z"/>
  <w16cex:commentExtensible w16cex:durableId="41D54F32" w16cex:dateUtc="2025-12-15T06:11:00Z"/>
  <w16cex:commentExtensible w16cex:durableId="2EE6CA3F" w16cex:dateUtc="2025-12-16T00:39:00Z"/>
  <w16cex:commentExtensible w16cex:durableId="68442FB7" w16cex:dateUtc="2025-12-16T00:40:00Z"/>
  <w16cex:commentExtensible w16cex:durableId="58E39BE9" w16cex:dateUtc="2025-12-16T05:21:00Z"/>
  <w16cex:commentExtensible w16cex:durableId="7B54481B" w16cex:dateUtc="2025-12-15T05: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A5B8D1" w16cid:durableId="1E9B8F3B"/>
  <w16cid:commentId w16cid:paraId="738036F3" w16cid:durableId="087FC161"/>
  <w16cid:commentId w16cid:paraId="35FF6EAD" w16cid:durableId="26325C1A"/>
  <w16cid:commentId w16cid:paraId="03A79528" w16cid:durableId="121A9732"/>
  <w16cid:commentId w16cid:paraId="63C840FE" w16cid:durableId="0163B242"/>
  <w16cid:commentId w16cid:paraId="2ABEFA51" w16cid:durableId="41D54F32"/>
  <w16cid:commentId w16cid:paraId="26DC8B6F" w16cid:durableId="2EE6CA3F"/>
  <w16cid:commentId w16cid:paraId="2D2BE41C" w16cid:durableId="68442FB7"/>
  <w16cid:commentId w16cid:paraId="6E62715A" w16cid:durableId="58E39BE9"/>
  <w16cid:commentId w16cid:paraId="46E50D81" w16cid:durableId="7B54481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97655" w14:textId="77777777" w:rsidR="005E7525" w:rsidRDefault="005E7525">
      <w:r>
        <w:separator/>
      </w:r>
    </w:p>
  </w:endnote>
  <w:endnote w:type="continuationSeparator" w:id="0">
    <w:p w14:paraId="5699D530" w14:textId="77777777" w:rsidR="005E7525" w:rsidRDefault="005E7525">
      <w:r>
        <w:continuationSeparator/>
      </w:r>
    </w:p>
  </w:endnote>
  <w:endnote w:type="continuationNotice" w:id="1">
    <w:p w14:paraId="6A018F52" w14:textId="77777777" w:rsidR="005E7525" w:rsidRDefault="005E75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ork Sans">
    <w:charset w:val="00"/>
    <w:family w:val="auto"/>
    <w:pitch w:val="variable"/>
    <w:sig w:usb0="A00000FF" w:usb1="5000E07B" w:usb2="00000000" w:usb3="00000000" w:csb0="00000193"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BD689" w14:textId="77777777" w:rsidR="00F71DDD" w:rsidRDefault="00FB3571">
    <w:pPr>
      <w:jc w:val="center"/>
    </w:pPr>
    <w:r>
      <w:t xml:space="preserve">Page </w:t>
    </w:r>
    <w:r>
      <w:fldChar w:fldCharType="begin"/>
    </w:r>
    <w:r>
      <w:instrText>PAGE</w:instrText>
    </w:r>
    <w:r>
      <w:fldChar w:fldCharType="separate"/>
    </w:r>
    <w:r w:rsidR="00287A97">
      <w:rPr>
        <w:noProof/>
      </w:rPr>
      <w:t>1</w:t>
    </w:r>
    <w:r>
      <w:fldChar w:fldCharType="end"/>
    </w:r>
    <w:r>
      <w:t xml:space="preserve"> of </w:t>
    </w:r>
    <w:r>
      <w:fldChar w:fldCharType="begin"/>
    </w:r>
    <w:r>
      <w:instrText>NUMPAGES</w:instrText>
    </w:r>
    <w:r>
      <w:fldChar w:fldCharType="separate"/>
    </w:r>
    <w:r w:rsidR="00287A97">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BDC22" w14:textId="77777777" w:rsidR="005E7525" w:rsidRDefault="005E7525">
      <w:r>
        <w:separator/>
      </w:r>
    </w:p>
  </w:footnote>
  <w:footnote w:type="continuationSeparator" w:id="0">
    <w:p w14:paraId="07B8E84F" w14:textId="77777777" w:rsidR="005E7525" w:rsidRDefault="005E7525">
      <w:r>
        <w:continuationSeparator/>
      </w:r>
    </w:p>
  </w:footnote>
  <w:footnote w:type="continuationNotice" w:id="1">
    <w:p w14:paraId="40B6B3A0" w14:textId="77777777" w:rsidR="005E7525" w:rsidRDefault="005E752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C3701" w14:textId="30F9CB45" w:rsidR="0005156F" w:rsidRPr="0005156F" w:rsidRDefault="0005156F" w:rsidP="0005156F">
    <w:pPr>
      <w:jc w:val="right"/>
    </w:pPr>
    <w:r w:rsidRPr="0005156F">
      <w:rPr>
        <w:noProof/>
      </w:rPr>
      <w:drawing>
        <wp:inline distT="0" distB="0" distL="0" distR="0" wp14:anchorId="6DCA5E9A" wp14:editId="6682F39C">
          <wp:extent cx="470035" cy="327660"/>
          <wp:effectExtent l="0" t="0" r="6350" b="0"/>
          <wp:docPr id="1442208109" name="Picture 2" descr="A red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08109" name="Picture 2" descr="A red and black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85931" cy="338741"/>
                  </a:xfrm>
                  <a:prstGeom prst="rect">
                    <a:avLst/>
                  </a:prstGeom>
                  <a:noFill/>
                  <a:ln>
                    <a:noFill/>
                  </a:ln>
                </pic:spPr>
              </pic:pic>
            </a:graphicData>
          </a:graphic>
        </wp:inline>
      </w:drawing>
    </w:r>
  </w:p>
  <w:p w14:paraId="0458FB57" w14:textId="32A9FDCC" w:rsidR="00F71DDD" w:rsidRDefault="00F71DDD">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564C"/>
    <w:multiLevelType w:val="hybridMultilevel"/>
    <w:tmpl w:val="C09CC0EE"/>
    <w:lvl w:ilvl="0" w:tplc="F8349132">
      <w:start w:val="1"/>
      <w:numFmt w:val="bullet"/>
      <w:lvlText w:val=""/>
      <w:lvlJc w:val="left"/>
      <w:pPr>
        <w:ind w:left="1080" w:hanging="360"/>
      </w:pPr>
      <w:rPr>
        <w:rFonts w:ascii="Symbol" w:hAnsi="Symbol"/>
      </w:rPr>
    </w:lvl>
    <w:lvl w:ilvl="1" w:tplc="B338F642">
      <w:start w:val="1"/>
      <w:numFmt w:val="bullet"/>
      <w:lvlText w:val=""/>
      <w:lvlJc w:val="left"/>
      <w:pPr>
        <w:ind w:left="1080" w:hanging="360"/>
      </w:pPr>
      <w:rPr>
        <w:rFonts w:ascii="Symbol" w:hAnsi="Symbol"/>
      </w:rPr>
    </w:lvl>
    <w:lvl w:ilvl="2" w:tplc="C5DE5ED0">
      <w:start w:val="1"/>
      <w:numFmt w:val="bullet"/>
      <w:lvlText w:val=""/>
      <w:lvlJc w:val="left"/>
      <w:pPr>
        <w:ind w:left="1080" w:hanging="360"/>
      </w:pPr>
      <w:rPr>
        <w:rFonts w:ascii="Symbol" w:hAnsi="Symbol"/>
      </w:rPr>
    </w:lvl>
    <w:lvl w:ilvl="3" w:tplc="C1E8527C">
      <w:start w:val="1"/>
      <w:numFmt w:val="bullet"/>
      <w:lvlText w:val=""/>
      <w:lvlJc w:val="left"/>
      <w:pPr>
        <w:ind w:left="1080" w:hanging="360"/>
      </w:pPr>
      <w:rPr>
        <w:rFonts w:ascii="Symbol" w:hAnsi="Symbol"/>
      </w:rPr>
    </w:lvl>
    <w:lvl w:ilvl="4" w:tplc="D75EB18E">
      <w:start w:val="1"/>
      <w:numFmt w:val="bullet"/>
      <w:lvlText w:val=""/>
      <w:lvlJc w:val="left"/>
      <w:pPr>
        <w:ind w:left="1080" w:hanging="360"/>
      </w:pPr>
      <w:rPr>
        <w:rFonts w:ascii="Symbol" w:hAnsi="Symbol"/>
      </w:rPr>
    </w:lvl>
    <w:lvl w:ilvl="5" w:tplc="19B475E8">
      <w:start w:val="1"/>
      <w:numFmt w:val="bullet"/>
      <w:lvlText w:val=""/>
      <w:lvlJc w:val="left"/>
      <w:pPr>
        <w:ind w:left="1080" w:hanging="360"/>
      </w:pPr>
      <w:rPr>
        <w:rFonts w:ascii="Symbol" w:hAnsi="Symbol"/>
      </w:rPr>
    </w:lvl>
    <w:lvl w:ilvl="6" w:tplc="CABE99D8">
      <w:start w:val="1"/>
      <w:numFmt w:val="bullet"/>
      <w:lvlText w:val=""/>
      <w:lvlJc w:val="left"/>
      <w:pPr>
        <w:ind w:left="1080" w:hanging="360"/>
      </w:pPr>
      <w:rPr>
        <w:rFonts w:ascii="Symbol" w:hAnsi="Symbol"/>
      </w:rPr>
    </w:lvl>
    <w:lvl w:ilvl="7" w:tplc="6CD6C1B8">
      <w:start w:val="1"/>
      <w:numFmt w:val="bullet"/>
      <w:lvlText w:val=""/>
      <w:lvlJc w:val="left"/>
      <w:pPr>
        <w:ind w:left="1080" w:hanging="360"/>
      </w:pPr>
      <w:rPr>
        <w:rFonts w:ascii="Symbol" w:hAnsi="Symbol"/>
      </w:rPr>
    </w:lvl>
    <w:lvl w:ilvl="8" w:tplc="3E42F5DC">
      <w:start w:val="1"/>
      <w:numFmt w:val="bullet"/>
      <w:lvlText w:val=""/>
      <w:lvlJc w:val="left"/>
      <w:pPr>
        <w:ind w:left="1080" w:hanging="360"/>
      </w:pPr>
      <w:rPr>
        <w:rFonts w:ascii="Symbol" w:hAnsi="Symbol"/>
      </w:rPr>
    </w:lvl>
  </w:abstractNum>
  <w:abstractNum w:abstractNumId="1" w15:restartNumberingAfterBreak="0">
    <w:nsid w:val="04A43FCC"/>
    <w:multiLevelType w:val="multilevel"/>
    <w:tmpl w:val="80965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24DCF"/>
    <w:multiLevelType w:val="multilevel"/>
    <w:tmpl w:val="7F9E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D5FD7"/>
    <w:multiLevelType w:val="hybridMultilevel"/>
    <w:tmpl w:val="F97EDEF6"/>
    <w:lvl w:ilvl="0" w:tplc="38B4A1D6">
      <w:start w:val="1"/>
      <w:numFmt w:val="decimal"/>
      <w:lvlText w:val="%1."/>
      <w:lvlJc w:val="left"/>
      <w:pPr>
        <w:ind w:left="720" w:hanging="360"/>
      </w:pPr>
    </w:lvl>
    <w:lvl w:ilvl="1" w:tplc="0E8C8BE6">
      <w:numFmt w:val="decimal"/>
      <w:lvlText w:val=""/>
      <w:lvlJc w:val="left"/>
    </w:lvl>
    <w:lvl w:ilvl="2" w:tplc="5E4E5E02">
      <w:numFmt w:val="decimal"/>
      <w:lvlText w:val=""/>
      <w:lvlJc w:val="left"/>
    </w:lvl>
    <w:lvl w:ilvl="3" w:tplc="CB8C4D26">
      <w:numFmt w:val="decimal"/>
      <w:lvlText w:val=""/>
      <w:lvlJc w:val="left"/>
    </w:lvl>
    <w:lvl w:ilvl="4" w:tplc="F95272D0">
      <w:numFmt w:val="decimal"/>
      <w:lvlText w:val=""/>
      <w:lvlJc w:val="left"/>
    </w:lvl>
    <w:lvl w:ilvl="5" w:tplc="123A9268">
      <w:numFmt w:val="decimal"/>
      <w:lvlText w:val=""/>
      <w:lvlJc w:val="left"/>
    </w:lvl>
    <w:lvl w:ilvl="6" w:tplc="301024DA">
      <w:numFmt w:val="decimal"/>
      <w:lvlText w:val=""/>
      <w:lvlJc w:val="left"/>
    </w:lvl>
    <w:lvl w:ilvl="7" w:tplc="4C96A498">
      <w:numFmt w:val="decimal"/>
      <w:lvlText w:val=""/>
      <w:lvlJc w:val="left"/>
    </w:lvl>
    <w:lvl w:ilvl="8" w:tplc="E4BE0960">
      <w:numFmt w:val="decimal"/>
      <w:lvlText w:val=""/>
      <w:lvlJc w:val="left"/>
    </w:lvl>
  </w:abstractNum>
  <w:abstractNum w:abstractNumId="4" w15:restartNumberingAfterBreak="0">
    <w:nsid w:val="0BC24616"/>
    <w:multiLevelType w:val="hybridMultilevel"/>
    <w:tmpl w:val="7AD00F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B4530C"/>
    <w:multiLevelType w:val="multilevel"/>
    <w:tmpl w:val="8942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878E3"/>
    <w:multiLevelType w:val="hybridMultilevel"/>
    <w:tmpl w:val="C41274B4"/>
    <w:lvl w:ilvl="0" w:tplc="C0A89546">
      <w:start w:val="1"/>
      <w:numFmt w:val="bullet"/>
      <w:lvlText w:val="•"/>
      <w:lvlJc w:val="left"/>
      <w:pPr>
        <w:ind w:left="720" w:hanging="360"/>
      </w:pPr>
    </w:lvl>
    <w:lvl w:ilvl="1" w:tplc="27F8AD46">
      <w:numFmt w:val="decimal"/>
      <w:lvlText w:val=""/>
      <w:lvlJc w:val="left"/>
    </w:lvl>
    <w:lvl w:ilvl="2" w:tplc="F36AE660">
      <w:numFmt w:val="decimal"/>
      <w:lvlText w:val=""/>
      <w:lvlJc w:val="left"/>
    </w:lvl>
    <w:lvl w:ilvl="3" w:tplc="B2E45B36">
      <w:numFmt w:val="decimal"/>
      <w:lvlText w:val=""/>
      <w:lvlJc w:val="left"/>
    </w:lvl>
    <w:lvl w:ilvl="4" w:tplc="7FC677D2">
      <w:numFmt w:val="decimal"/>
      <w:lvlText w:val=""/>
      <w:lvlJc w:val="left"/>
    </w:lvl>
    <w:lvl w:ilvl="5" w:tplc="3EE65194">
      <w:numFmt w:val="decimal"/>
      <w:lvlText w:val=""/>
      <w:lvlJc w:val="left"/>
    </w:lvl>
    <w:lvl w:ilvl="6" w:tplc="344A4916">
      <w:numFmt w:val="decimal"/>
      <w:lvlText w:val=""/>
      <w:lvlJc w:val="left"/>
    </w:lvl>
    <w:lvl w:ilvl="7" w:tplc="618E118E">
      <w:numFmt w:val="decimal"/>
      <w:lvlText w:val=""/>
      <w:lvlJc w:val="left"/>
    </w:lvl>
    <w:lvl w:ilvl="8" w:tplc="BCA20B7C">
      <w:numFmt w:val="decimal"/>
      <w:lvlText w:val=""/>
      <w:lvlJc w:val="left"/>
    </w:lvl>
  </w:abstractNum>
  <w:abstractNum w:abstractNumId="7" w15:restartNumberingAfterBreak="0">
    <w:nsid w:val="1F221418"/>
    <w:multiLevelType w:val="hybridMultilevel"/>
    <w:tmpl w:val="1660A63A"/>
    <w:lvl w:ilvl="0" w:tplc="6C903DF2">
      <w:start w:val="1"/>
      <w:numFmt w:val="decimal"/>
      <w:lvlText w:val="%1."/>
      <w:lvlJc w:val="left"/>
      <w:pPr>
        <w:ind w:left="720" w:hanging="360"/>
      </w:pPr>
    </w:lvl>
    <w:lvl w:ilvl="1" w:tplc="FDAC54BA">
      <w:numFmt w:val="decimal"/>
      <w:lvlText w:val=""/>
      <w:lvlJc w:val="left"/>
    </w:lvl>
    <w:lvl w:ilvl="2" w:tplc="C2F027D2">
      <w:numFmt w:val="decimal"/>
      <w:lvlText w:val=""/>
      <w:lvlJc w:val="left"/>
    </w:lvl>
    <w:lvl w:ilvl="3" w:tplc="00D68356">
      <w:numFmt w:val="decimal"/>
      <w:lvlText w:val=""/>
      <w:lvlJc w:val="left"/>
    </w:lvl>
    <w:lvl w:ilvl="4" w:tplc="FB127F64">
      <w:numFmt w:val="decimal"/>
      <w:lvlText w:val=""/>
      <w:lvlJc w:val="left"/>
    </w:lvl>
    <w:lvl w:ilvl="5" w:tplc="AFD61CF0">
      <w:numFmt w:val="decimal"/>
      <w:lvlText w:val=""/>
      <w:lvlJc w:val="left"/>
    </w:lvl>
    <w:lvl w:ilvl="6" w:tplc="9EF6B302">
      <w:numFmt w:val="decimal"/>
      <w:lvlText w:val=""/>
      <w:lvlJc w:val="left"/>
    </w:lvl>
    <w:lvl w:ilvl="7" w:tplc="07D0FBDE">
      <w:numFmt w:val="decimal"/>
      <w:lvlText w:val=""/>
      <w:lvlJc w:val="left"/>
    </w:lvl>
    <w:lvl w:ilvl="8" w:tplc="12E07E70">
      <w:numFmt w:val="decimal"/>
      <w:lvlText w:val=""/>
      <w:lvlJc w:val="left"/>
    </w:lvl>
  </w:abstractNum>
  <w:abstractNum w:abstractNumId="8" w15:restartNumberingAfterBreak="0">
    <w:nsid w:val="20087E65"/>
    <w:multiLevelType w:val="hybridMultilevel"/>
    <w:tmpl w:val="66B488DE"/>
    <w:lvl w:ilvl="0" w:tplc="11B21B94">
      <w:start w:val="1"/>
      <w:numFmt w:val="bullet"/>
      <w:lvlText w:val="•"/>
      <w:lvlJc w:val="left"/>
      <w:pPr>
        <w:ind w:left="720" w:hanging="360"/>
      </w:pPr>
    </w:lvl>
    <w:lvl w:ilvl="1" w:tplc="56A2FC68">
      <w:numFmt w:val="decimal"/>
      <w:lvlText w:val=""/>
      <w:lvlJc w:val="left"/>
    </w:lvl>
    <w:lvl w:ilvl="2" w:tplc="EA50A2DE">
      <w:numFmt w:val="decimal"/>
      <w:lvlText w:val=""/>
      <w:lvlJc w:val="left"/>
    </w:lvl>
    <w:lvl w:ilvl="3" w:tplc="9CE23834">
      <w:numFmt w:val="decimal"/>
      <w:lvlText w:val=""/>
      <w:lvlJc w:val="left"/>
    </w:lvl>
    <w:lvl w:ilvl="4" w:tplc="6FE64858">
      <w:numFmt w:val="decimal"/>
      <w:lvlText w:val=""/>
      <w:lvlJc w:val="left"/>
    </w:lvl>
    <w:lvl w:ilvl="5" w:tplc="BE8A69EC">
      <w:numFmt w:val="decimal"/>
      <w:lvlText w:val=""/>
      <w:lvlJc w:val="left"/>
    </w:lvl>
    <w:lvl w:ilvl="6" w:tplc="EBE2E04A">
      <w:numFmt w:val="decimal"/>
      <w:lvlText w:val=""/>
      <w:lvlJc w:val="left"/>
    </w:lvl>
    <w:lvl w:ilvl="7" w:tplc="0D4C8C24">
      <w:numFmt w:val="decimal"/>
      <w:lvlText w:val=""/>
      <w:lvlJc w:val="left"/>
    </w:lvl>
    <w:lvl w:ilvl="8" w:tplc="B0C893C8">
      <w:numFmt w:val="decimal"/>
      <w:lvlText w:val=""/>
      <w:lvlJc w:val="left"/>
    </w:lvl>
  </w:abstractNum>
  <w:abstractNum w:abstractNumId="9" w15:restartNumberingAfterBreak="0">
    <w:nsid w:val="24BE3AB2"/>
    <w:multiLevelType w:val="hybridMultilevel"/>
    <w:tmpl w:val="15B6703E"/>
    <w:lvl w:ilvl="0" w:tplc="71C2B51E">
      <w:start w:val="1"/>
      <w:numFmt w:val="bullet"/>
      <w:lvlText w:val="•"/>
      <w:lvlJc w:val="left"/>
      <w:pPr>
        <w:ind w:left="720" w:hanging="360"/>
      </w:pPr>
    </w:lvl>
    <w:lvl w:ilvl="1" w:tplc="ACE68444">
      <w:numFmt w:val="decimal"/>
      <w:lvlText w:val=""/>
      <w:lvlJc w:val="left"/>
    </w:lvl>
    <w:lvl w:ilvl="2" w:tplc="8B2A5AFA">
      <w:numFmt w:val="decimal"/>
      <w:lvlText w:val=""/>
      <w:lvlJc w:val="left"/>
    </w:lvl>
    <w:lvl w:ilvl="3" w:tplc="AE92C050">
      <w:numFmt w:val="decimal"/>
      <w:lvlText w:val=""/>
      <w:lvlJc w:val="left"/>
    </w:lvl>
    <w:lvl w:ilvl="4" w:tplc="6FCC8962">
      <w:numFmt w:val="decimal"/>
      <w:lvlText w:val=""/>
      <w:lvlJc w:val="left"/>
    </w:lvl>
    <w:lvl w:ilvl="5" w:tplc="073CE8BA">
      <w:numFmt w:val="decimal"/>
      <w:lvlText w:val=""/>
      <w:lvlJc w:val="left"/>
    </w:lvl>
    <w:lvl w:ilvl="6" w:tplc="D90C52DA">
      <w:numFmt w:val="decimal"/>
      <w:lvlText w:val=""/>
      <w:lvlJc w:val="left"/>
    </w:lvl>
    <w:lvl w:ilvl="7" w:tplc="0E925442">
      <w:numFmt w:val="decimal"/>
      <w:lvlText w:val=""/>
      <w:lvlJc w:val="left"/>
    </w:lvl>
    <w:lvl w:ilvl="8" w:tplc="C53ADBCA">
      <w:numFmt w:val="decimal"/>
      <w:lvlText w:val=""/>
      <w:lvlJc w:val="left"/>
    </w:lvl>
  </w:abstractNum>
  <w:abstractNum w:abstractNumId="10" w15:restartNumberingAfterBreak="0">
    <w:nsid w:val="2A61134E"/>
    <w:multiLevelType w:val="hybridMultilevel"/>
    <w:tmpl w:val="C92AE9D2"/>
    <w:lvl w:ilvl="0" w:tplc="9B42C708">
      <w:start w:val="1"/>
      <w:numFmt w:val="decimal"/>
      <w:lvlText w:val="%1."/>
      <w:lvlJc w:val="left"/>
      <w:pPr>
        <w:ind w:left="720" w:hanging="360"/>
      </w:pPr>
      <w:rPr>
        <w:rFonts w:ascii="Arial" w:hAnsi="Arial" w:cs="Arial" w:hint="default"/>
        <w:b w:val="0"/>
        <w:bCs w:val="0"/>
        <w:sz w:val="22"/>
        <w:szCs w:val="22"/>
      </w:rPr>
    </w:lvl>
    <w:lvl w:ilvl="1" w:tplc="ED3A816E">
      <w:numFmt w:val="decimal"/>
      <w:lvlText w:val=""/>
      <w:lvlJc w:val="left"/>
    </w:lvl>
    <w:lvl w:ilvl="2" w:tplc="D1740402">
      <w:numFmt w:val="decimal"/>
      <w:lvlText w:val=""/>
      <w:lvlJc w:val="left"/>
    </w:lvl>
    <w:lvl w:ilvl="3" w:tplc="0A3C135E">
      <w:numFmt w:val="decimal"/>
      <w:lvlText w:val=""/>
      <w:lvlJc w:val="left"/>
    </w:lvl>
    <w:lvl w:ilvl="4" w:tplc="61DEFC9E">
      <w:numFmt w:val="decimal"/>
      <w:lvlText w:val=""/>
      <w:lvlJc w:val="left"/>
    </w:lvl>
    <w:lvl w:ilvl="5" w:tplc="FABE0078">
      <w:numFmt w:val="decimal"/>
      <w:lvlText w:val=""/>
      <w:lvlJc w:val="left"/>
    </w:lvl>
    <w:lvl w:ilvl="6" w:tplc="4B50B08A">
      <w:numFmt w:val="decimal"/>
      <w:lvlText w:val=""/>
      <w:lvlJc w:val="left"/>
    </w:lvl>
    <w:lvl w:ilvl="7" w:tplc="546C3AF2">
      <w:numFmt w:val="decimal"/>
      <w:lvlText w:val=""/>
      <w:lvlJc w:val="left"/>
    </w:lvl>
    <w:lvl w:ilvl="8" w:tplc="AA60D27A">
      <w:numFmt w:val="decimal"/>
      <w:lvlText w:val=""/>
      <w:lvlJc w:val="left"/>
    </w:lvl>
  </w:abstractNum>
  <w:abstractNum w:abstractNumId="11" w15:restartNumberingAfterBreak="0">
    <w:nsid w:val="2CBE2D2F"/>
    <w:multiLevelType w:val="hybridMultilevel"/>
    <w:tmpl w:val="61C05FC6"/>
    <w:lvl w:ilvl="0" w:tplc="CB82DBA4">
      <w:start w:val="1"/>
      <w:numFmt w:val="bullet"/>
      <w:lvlText w:val="•"/>
      <w:lvlJc w:val="left"/>
      <w:pPr>
        <w:ind w:left="720" w:hanging="360"/>
      </w:pPr>
    </w:lvl>
    <w:lvl w:ilvl="1" w:tplc="A1085648">
      <w:numFmt w:val="decimal"/>
      <w:lvlText w:val=""/>
      <w:lvlJc w:val="left"/>
    </w:lvl>
    <w:lvl w:ilvl="2" w:tplc="8C786024">
      <w:numFmt w:val="decimal"/>
      <w:lvlText w:val=""/>
      <w:lvlJc w:val="left"/>
    </w:lvl>
    <w:lvl w:ilvl="3" w:tplc="C39A5ECE">
      <w:numFmt w:val="decimal"/>
      <w:lvlText w:val=""/>
      <w:lvlJc w:val="left"/>
    </w:lvl>
    <w:lvl w:ilvl="4" w:tplc="91026446">
      <w:numFmt w:val="decimal"/>
      <w:lvlText w:val=""/>
      <w:lvlJc w:val="left"/>
    </w:lvl>
    <w:lvl w:ilvl="5" w:tplc="426C8070">
      <w:numFmt w:val="decimal"/>
      <w:lvlText w:val=""/>
      <w:lvlJc w:val="left"/>
    </w:lvl>
    <w:lvl w:ilvl="6" w:tplc="B3C29304">
      <w:numFmt w:val="decimal"/>
      <w:lvlText w:val=""/>
      <w:lvlJc w:val="left"/>
    </w:lvl>
    <w:lvl w:ilvl="7" w:tplc="81287C80">
      <w:numFmt w:val="decimal"/>
      <w:lvlText w:val=""/>
      <w:lvlJc w:val="left"/>
    </w:lvl>
    <w:lvl w:ilvl="8" w:tplc="9B2424F0">
      <w:numFmt w:val="decimal"/>
      <w:lvlText w:val=""/>
      <w:lvlJc w:val="left"/>
    </w:lvl>
  </w:abstractNum>
  <w:abstractNum w:abstractNumId="12" w15:restartNumberingAfterBreak="0">
    <w:nsid w:val="407A4C06"/>
    <w:multiLevelType w:val="hybridMultilevel"/>
    <w:tmpl w:val="A4886A0A"/>
    <w:lvl w:ilvl="0" w:tplc="CB82DBA4">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D2669E"/>
    <w:multiLevelType w:val="multilevel"/>
    <w:tmpl w:val="2FE4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6346E1"/>
    <w:multiLevelType w:val="hybridMultilevel"/>
    <w:tmpl w:val="D9DC8612"/>
    <w:lvl w:ilvl="0" w:tplc="D374AA9C">
      <w:start w:val="1"/>
      <w:numFmt w:val="bullet"/>
      <w:lvlText w:val="●"/>
      <w:lvlJc w:val="left"/>
      <w:pPr>
        <w:ind w:left="720" w:hanging="360"/>
      </w:pPr>
    </w:lvl>
    <w:lvl w:ilvl="1" w:tplc="CFACB2BA">
      <w:start w:val="1"/>
      <w:numFmt w:val="bullet"/>
      <w:lvlText w:val="○"/>
      <w:lvlJc w:val="left"/>
      <w:pPr>
        <w:ind w:left="1440" w:hanging="360"/>
      </w:pPr>
    </w:lvl>
    <w:lvl w:ilvl="2" w:tplc="0BA0403E">
      <w:start w:val="1"/>
      <w:numFmt w:val="bullet"/>
      <w:lvlText w:val="■"/>
      <w:lvlJc w:val="left"/>
      <w:pPr>
        <w:ind w:left="2160" w:hanging="360"/>
      </w:pPr>
    </w:lvl>
    <w:lvl w:ilvl="3" w:tplc="154AF6D6">
      <w:start w:val="1"/>
      <w:numFmt w:val="bullet"/>
      <w:lvlText w:val="●"/>
      <w:lvlJc w:val="left"/>
      <w:pPr>
        <w:ind w:left="2880" w:hanging="360"/>
      </w:pPr>
    </w:lvl>
    <w:lvl w:ilvl="4" w:tplc="1CF0934A">
      <w:start w:val="1"/>
      <w:numFmt w:val="bullet"/>
      <w:lvlText w:val="○"/>
      <w:lvlJc w:val="left"/>
      <w:pPr>
        <w:ind w:left="3600" w:hanging="360"/>
      </w:pPr>
    </w:lvl>
    <w:lvl w:ilvl="5" w:tplc="EC6C988C">
      <w:start w:val="1"/>
      <w:numFmt w:val="bullet"/>
      <w:lvlText w:val="■"/>
      <w:lvlJc w:val="left"/>
      <w:pPr>
        <w:ind w:left="4320" w:hanging="360"/>
      </w:pPr>
    </w:lvl>
    <w:lvl w:ilvl="6" w:tplc="B310DB30">
      <w:start w:val="1"/>
      <w:numFmt w:val="bullet"/>
      <w:lvlText w:val="●"/>
      <w:lvlJc w:val="left"/>
      <w:pPr>
        <w:ind w:left="5040" w:hanging="360"/>
      </w:pPr>
    </w:lvl>
    <w:lvl w:ilvl="7" w:tplc="6C0431FA">
      <w:start w:val="1"/>
      <w:numFmt w:val="bullet"/>
      <w:lvlText w:val="●"/>
      <w:lvlJc w:val="left"/>
      <w:pPr>
        <w:ind w:left="5760" w:hanging="360"/>
      </w:pPr>
    </w:lvl>
    <w:lvl w:ilvl="8" w:tplc="C35AD7BC">
      <w:start w:val="1"/>
      <w:numFmt w:val="bullet"/>
      <w:lvlText w:val="●"/>
      <w:lvlJc w:val="left"/>
      <w:pPr>
        <w:ind w:left="6480" w:hanging="360"/>
      </w:pPr>
    </w:lvl>
  </w:abstractNum>
  <w:abstractNum w:abstractNumId="15" w15:restartNumberingAfterBreak="0">
    <w:nsid w:val="53327497"/>
    <w:multiLevelType w:val="hybridMultilevel"/>
    <w:tmpl w:val="4D10EE4A"/>
    <w:lvl w:ilvl="0" w:tplc="3E48CF58">
      <w:start w:val="1"/>
      <w:numFmt w:val="bullet"/>
      <w:lvlText w:val="•"/>
      <w:lvlJc w:val="left"/>
      <w:pPr>
        <w:ind w:left="720" w:hanging="360"/>
      </w:pPr>
    </w:lvl>
    <w:lvl w:ilvl="1" w:tplc="07407ABA">
      <w:numFmt w:val="decimal"/>
      <w:lvlText w:val=""/>
      <w:lvlJc w:val="left"/>
    </w:lvl>
    <w:lvl w:ilvl="2" w:tplc="A1687D68">
      <w:numFmt w:val="decimal"/>
      <w:lvlText w:val=""/>
      <w:lvlJc w:val="left"/>
    </w:lvl>
    <w:lvl w:ilvl="3" w:tplc="6AA6E7F0">
      <w:numFmt w:val="decimal"/>
      <w:lvlText w:val=""/>
      <w:lvlJc w:val="left"/>
    </w:lvl>
    <w:lvl w:ilvl="4" w:tplc="96C81702">
      <w:numFmt w:val="decimal"/>
      <w:lvlText w:val=""/>
      <w:lvlJc w:val="left"/>
    </w:lvl>
    <w:lvl w:ilvl="5" w:tplc="04C418B2">
      <w:numFmt w:val="decimal"/>
      <w:lvlText w:val=""/>
      <w:lvlJc w:val="left"/>
    </w:lvl>
    <w:lvl w:ilvl="6" w:tplc="C37E4DB0">
      <w:numFmt w:val="decimal"/>
      <w:lvlText w:val=""/>
      <w:lvlJc w:val="left"/>
    </w:lvl>
    <w:lvl w:ilvl="7" w:tplc="A872AA04">
      <w:numFmt w:val="decimal"/>
      <w:lvlText w:val=""/>
      <w:lvlJc w:val="left"/>
    </w:lvl>
    <w:lvl w:ilvl="8" w:tplc="031C8FA0">
      <w:numFmt w:val="decimal"/>
      <w:lvlText w:val=""/>
      <w:lvlJc w:val="left"/>
    </w:lvl>
  </w:abstractNum>
  <w:abstractNum w:abstractNumId="16" w15:restartNumberingAfterBreak="0">
    <w:nsid w:val="5E8315F2"/>
    <w:multiLevelType w:val="multilevel"/>
    <w:tmpl w:val="2FEE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412F9F"/>
    <w:multiLevelType w:val="hybridMultilevel"/>
    <w:tmpl w:val="2E665392"/>
    <w:lvl w:ilvl="0" w:tplc="9C701966">
      <w:start w:val="1"/>
      <w:numFmt w:val="decimal"/>
      <w:lvlText w:val="%1."/>
      <w:lvlJc w:val="left"/>
      <w:pPr>
        <w:ind w:left="720" w:hanging="360"/>
      </w:pPr>
    </w:lvl>
    <w:lvl w:ilvl="1" w:tplc="A6442CC4">
      <w:numFmt w:val="decimal"/>
      <w:lvlText w:val=""/>
      <w:lvlJc w:val="left"/>
    </w:lvl>
    <w:lvl w:ilvl="2" w:tplc="C5A0366E">
      <w:numFmt w:val="decimal"/>
      <w:lvlText w:val=""/>
      <w:lvlJc w:val="left"/>
    </w:lvl>
    <w:lvl w:ilvl="3" w:tplc="6BBA49BA">
      <w:numFmt w:val="decimal"/>
      <w:lvlText w:val=""/>
      <w:lvlJc w:val="left"/>
    </w:lvl>
    <w:lvl w:ilvl="4" w:tplc="ED24084E">
      <w:numFmt w:val="decimal"/>
      <w:lvlText w:val=""/>
      <w:lvlJc w:val="left"/>
    </w:lvl>
    <w:lvl w:ilvl="5" w:tplc="1A4C298E">
      <w:numFmt w:val="decimal"/>
      <w:lvlText w:val=""/>
      <w:lvlJc w:val="left"/>
    </w:lvl>
    <w:lvl w:ilvl="6" w:tplc="B176B198">
      <w:numFmt w:val="decimal"/>
      <w:lvlText w:val=""/>
      <w:lvlJc w:val="left"/>
    </w:lvl>
    <w:lvl w:ilvl="7" w:tplc="863C4422">
      <w:numFmt w:val="decimal"/>
      <w:lvlText w:val=""/>
      <w:lvlJc w:val="left"/>
    </w:lvl>
    <w:lvl w:ilvl="8" w:tplc="3B9ACF12">
      <w:numFmt w:val="decimal"/>
      <w:lvlText w:val=""/>
      <w:lvlJc w:val="left"/>
    </w:lvl>
  </w:abstractNum>
  <w:abstractNum w:abstractNumId="18" w15:restartNumberingAfterBreak="0">
    <w:nsid w:val="6B236E20"/>
    <w:multiLevelType w:val="multilevel"/>
    <w:tmpl w:val="310A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9A5365"/>
    <w:multiLevelType w:val="hybridMultilevel"/>
    <w:tmpl w:val="1F3805D4"/>
    <w:lvl w:ilvl="0" w:tplc="FC94613E">
      <w:start w:val="1"/>
      <w:numFmt w:val="decimal"/>
      <w:lvlText w:val="%1."/>
      <w:lvlJc w:val="left"/>
      <w:pPr>
        <w:ind w:left="720" w:hanging="360"/>
      </w:pPr>
    </w:lvl>
    <w:lvl w:ilvl="1" w:tplc="E12C0876">
      <w:numFmt w:val="decimal"/>
      <w:lvlText w:val=""/>
      <w:lvlJc w:val="left"/>
    </w:lvl>
    <w:lvl w:ilvl="2" w:tplc="F460B61C">
      <w:numFmt w:val="decimal"/>
      <w:lvlText w:val=""/>
      <w:lvlJc w:val="left"/>
    </w:lvl>
    <w:lvl w:ilvl="3" w:tplc="F6D8710C">
      <w:numFmt w:val="decimal"/>
      <w:lvlText w:val=""/>
      <w:lvlJc w:val="left"/>
    </w:lvl>
    <w:lvl w:ilvl="4" w:tplc="5498AB22">
      <w:numFmt w:val="decimal"/>
      <w:lvlText w:val=""/>
      <w:lvlJc w:val="left"/>
    </w:lvl>
    <w:lvl w:ilvl="5" w:tplc="ADDE8E32">
      <w:numFmt w:val="decimal"/>
      <w:lvlText w:val=""/>
      <w:lvlJc w:val="left"/>
    </w:lvl>
    <w:lvl w:ilvl="6" w:tplc="813EB07C">
      <w:numFmt w:val="decimal"/>
      <w:lvlText w:val=""/>
      <w:lvlJc w:val="left"/>
    </w:lvl>
    <w:lvl w:ilvl="7" w:tplc="01B6124E">
      <w:numFmt w:val="decimal"/>
      <w:lvlText w:val=""/>
      <w:lvlJc w:val="left"/>
    </w:lvl>
    <w:lvl w:ilvl="8" w:tplc="B4A00F70">
      <w:numFmt w:val="decimal"/>
      <w:lvlText w:val=""/>
      <w:lvlJc w:val="left"/>
    </w:lvl>
  </w:abstractNum>
  <w:abstractNum w:abstractNumId="20" w15:restartNumberingAfterBreak="0">
    <w:nsid w:val="76C657C3"/>
    <w:multiLevelType w:val="hybridMultilevel"/>
    <w:tmpl w:val="4F46BC84"/>
    <w:lvl w:ilvl="0" w:tplc="C836701C">
      <w:start w:val="1"/>
      <w:numFmt w:val="decimal"/>
      <w:lvlText w:val="%1."/>
      <w:lvlJc w:val="left"/>
      <w:pPr>
        <w:ind w:left="720" w:hanging="360"/>
      </w:pPr>
    </w:lvl>
    <w:lvl w:ilvl="1" w:tplc="50D4466A">
      <w:numFmt w:val="decimal"/>
      <w:lvlText w:val=""/>
      <w:lvlJc w:val="left"/>
    </w:lvl>
    <w:lvl w:ilvl="2" w:tplc="C3E2627E">
      <w:numFmt w:val="decimal"/>
      <w:lvlText w:val=""/>
      <w:lvlJc w:val="left"/>
    </w:lvl>
    <w:lvl w:ilvl="3" w:tplc="E76CC810">
      <w:numFmt w:val="decimal"/>
      <w:lvlText w:val=""/>
      <w:lvlJc w:val="left"/>
    </w:lvl>
    <w:lvl w:ilvl="4" w:tplc="B2F625F6">
      <w:numFmt w:val="decimal"/>
      <w:lvlText w:val=""/>
      <w:lvlJc w:val="left"/>
    </w:lvl>
    <w:lvl w:ilvl="5" w:tplc="CE7ABEB6">
      <w:numFmt w:val="decimal"/>
      <w:lvlText w:val=""/>
      <w:lvlJc w:val="left"/>
    </w:lvl>
    <w:lvl w:ilvl="6" w:tplc="FE5A47BE">
      <w:numFmt w:val="decimal"/>
      <w:lvlText w:val=""/>
      <w:lvlJc w:val="left"/>
    </w:lvl>
    <w:lvl w:ilvl="7" w:tplc="C6A2AAFA">
      <w:numFmt w:val="decimal"/>
      <w:lvlText w:val=""/>
      <w:lvlJc w:val="left"/>
    </w:lvl>
    <w:lvl w:ilvl="8" w:tplc="E2068BF6">
      <w:numFmt w:val="decimal"/>
      <w:lvlText w:val=""/>
      <w:lvlJc w:val="left"/>
    </w:lvl>
  </w:abstractNum>
  <w:abstractNum w:abstractNumId="21" w15:restartNumberingAfterBreak="0">
    <w:nsid w:val="7EA4207E"/>
    <w:multiLevelType w:val="hybridMultilevel"/>
    <w:tmpl w:val="6F42900A"/>
    <w:lvl w:ilvl="0" w:tplc="42D67E02">
      <w:start w:val="1"/>
      <w:numFmt w:val="decimal"/>
      <w:lvlText w:val="%1."/>
      <w:lvlJc w:val="left"/>
      <w:pPr>
        <w:ind w:left="720" w:hanging="360"/>
      </w:pPr>
    </w:lvl>
    <w:lvl w:ilvl="1" w:tplc="825EB0B6">
      <w:numFmt w:val="decimal"/>
      <w:lvlText w:val=""/>
      <w:lvlJc w:val="left"/>
    </w:lvl>
    <w:lvl w:ilvl="2" w:tplc="B5422C6A">
      <w:numFmt w:val="decimal"/>
      <w:lvlText w:val=""/>
      <w:lvlJc w:val="left"/>
    </w:lvl>
    <w:lvl w:ilvl="3" w:tplc="375A03A4">
      <w:numFmt w:val="decimal"/>
      <w:lvlText w:val=""/>
      <w:lvlJc w:val="left"/>
    </w:lvl>
    <w:lvl w:ilvl="4" w:tplc="28107BCA">
      <w:numFmt w:val="decimal"/>
      <w:lvlText w:val=""/>
      <w:lvlJc w:val="left"/>
    </w:lvl>
    <w:lvl w:ilvl="5" w:tplc="617AE916">
      <w:numFmt w:val="decimal"/>
      <w:lvlText w:val=""/>
      <w:lvlJc w:val="left"/>
    </w:lvl>
    <w:lvl w:ilvl="6" w:tplc="819497EA">
      <w:numFmt w:val="decimal"/>
      <w:lvlText w:val=""/>
      <w:lvlJc w:val="left"/>
    </w:lvl>
    <w:lvl w:ilvl="7" w:tplc="5FACB460">
      <w:numFmt w:val="decimal"/>
      <w:lvlText w:val=""/>
      <w:lvlJc w:val="left"/>
    </w:lvl>
    <w:lvl w:ilvl="8" w:tplc="333AC1F2">
      <w:numFmt w:val="decimal"/>
      <w:lvlText w:val=""/>
      <w:lvlJc w:val="left"/>
    </w:lvl>
  </w:abstractNum>
  <w:abstractNum w:abstractNumId="22" w15:restartNumberingAfterBreak="0">
    <w:nsid w:val="7F941942"/>
    <w:multiLevelType w:val="hybridMultilevel"/>
    <w:tmpl w:val="62F27694"/>
    <w:lvl w:ilvl="0" w:tplc="8288018E">
      <w:start w:val="1"/>
      <w:numFmt w:val="bullet"/>
      <w:lvlText w:val=""/>
      <w:lvlJc w:val="left"/>
      <w:pPr>
        <w:ind w:left="1080" w:hanging="360"/>
      </w:pPr>
      <w:rPr>
        <w:rFonts w:ascii="Symbol" w:hAnsi="Symbol"/>
      </w:rPr>
    </w:lvl>
    <w:lvl w:ilvl="1" w:tplc="EB76C964">
      <w:start w:val="1"/>
      <w:numFmt w:val="bullet"/>
      <w:lvlText w:val=""/>
      <w:lvlJc w:val="left"/>
      <w:pPr>
        <w:ind w:left="1080" w:hanging="360"/>
      </w:pPr>
      <w:rPr>
        <w:rFonts w:ascii="Symbol" w:hAnsi="Symbol"/>
      </w:rPr>
    </w:lvl>
    <w:lvl w:ilvl="2" w:tplc="A2CA945E">
      <w:start w:val="1"/>
      <w:numFmt w:val="bullet"/>
      <w:lvlText w:val=""/>
      <w:lvlJc w:val="left"/>
      <w:pPr>
        <w:ind w:left="1080" w:hanging="360"/>
      </w:pPr>
      <w:rPr>
        <w:rFonts w:ascii="Symbol" w:hAnsi="Symbol"/>
      </w:rPr>
    </w:lvl>
    <w:lvl w:ilvl="3" w:tplc="88BC1670">
      <w:start w:val="1"/>
      <w:numFmt w:val="bullet"/>
      <w:lvlText w:val=""/>
      <w:lvlJc w:val="left"/>
      <w:pPr>
        <w:ind w:left="1080" w:hanging="360"/>
      </w:pPr>
      <w:rPr>
        <w:rFonts w:ascii="Symbol" w:hAnsi="Symbol"/>
      </w:rPr>
    </w:lvl>
    <w:lvl w:ilvl="4" w:tplc="17D6B752">
      <w:start w:val="1"/>
      <w:numFmt w:val="bullet"/>
      <w:lvlText w:val=""/>
      <w:lvlJc w:val="left"/>
      <w:pPr>
        <w:ind w:left="1080" w:hanging="360"/>
      </w:pPr>
      <w:rPr>
        <w:rFonts w:ascii="Symbol" w:hAnsi="Symbol"/>
      </w:rPr>
    </w:lvl>
    <w:lvl w:ilvl="5" w:tplc="5B46FAFC">
      <w:start w:val="1"/>
      <w:numFmt w:val="bullet"/>
      <w:lvlText w:val=""/>
      <w:lvlJc w:val="left"/>
      <w:pPr>
        <w:ind w:left="1080" w:hanging="360"/>
      </w:pPr>
      <w:rPr>
        <w:rFonts w:ascii="Symbol" w:hAnsi="Symbol"/>
      </w:rPr>
    </w:lvl>
    <w:lvl w:ilvl="6" w:tplc="177EAB9A">
      <w:start w:val="1"/>
      <w:numFmt w:val="bullet"/>
      <w:lvlText w:val=""/>
      <w:lvlJc w:val="left"/>
      <w:pPr>
        <w:ind w:left="1080" w:hanging="360"/>
      </w:pPr>
      <w:rPr>
        <w:rFonts w:ascii="Symbol" w:hAnsi="Symbol"/>
      </w:rPr>
    </w:lvl>
    <w:lvl w:ilvl="7" w:tplc="D27C7808">
      <w:start w:val="1"/>
      <w:numFmt w:val="bullet"/>
      <w:lvlText w:val=""/>
      <w:lvlJc w:val="left"/>
      <w:pPr>
        <w:ind w:left="1080" w:hanging="360"/>
      </w:pPr>
      <w:rPr>
        <w:rFonts w:ascii="Symbol" w:hAnsi="Symbol"/>
      </w:rPr>
    </w:lvl>
    <w:lvl w:ilvl="8" w:tplc="25E08DB0">
      <w:start w:val="1"/>
      <w:numFmt w:val="bullet"/>
      <w:lvlText w:val=""/>
      <w:lvlJc w:val="left"/>
      <w:pPr>
        <w:ind w:left="1080" w:hanging="360"/>
      </w:pPr>
      <w:rPr>
        <w:rFonts w:ascii="Symbol" w:hAnsi="Symbol"/>
      </w:rPr>
    </w:lvl>
  </w:abstractNum>
  <w:num w:numId="1" w16cid:durableId="469442868">
    <w:abstractNumId w:val="14"/>
    <w:lvlOverride w:ilvl="0">
      <w:startOverride w:val="1"/>
    </w:lvlOverride>
  </w:num>
  <w:num w:numId="2" w16cid:durableId="1663964531">
    <w:abstractNumId w:val="20"/>
    <w:lvlOverride w:ilvl="0">
      <w:startOverride w:val="1"/>
    </w:lvlOverride>
  </w:num>
  <w:num w:numId="3" w16cid:durableId="1662002408">
    <w:abstractNumId w:val="6"/>
    <w:lvlOverride w:ilvl="0">
      <w:startOverride w:val="1"/>
    </w:lvlOverride>
  </w:num>
  <w:num w:numId="4" w16cid:durableId="1019352939">
    <w:abstractNumId w:val="17"/>
    <w:lvlOverride w:ilvl="0">
      <w:startOverride w:val="1"/>
    </w:lvlOverride>
  </w:num>
  <w:num w:numId="5" w16cid:durableId="1802116547">
    <w:abstractNumId w:val="19"/>
    <w:lvlOverride w:ilvl="0">
      <w:startOverride w:val="1"/>
    </w:lvlOverride>
  </w:num>
  <w:num w:numId="6" w16cid:durableId="1225138243">
    <w:abstractNumId w:val="7"/>
    <w:lvlOverride w:ilvl="0">
      <w:startOverride w:val="1"/>
    </w:lvlOverride>
  </w:num>
  <w:num w:numId="7" w16cid:durableId="1698309553">
    <w:abstractNumId w:val="21"/>
    <w:lvlOverride w:ilvl="0">
      <w:startOverride w:val="1"/>
    </w:lvlOverride>
  </w:num>
  <w:num w:numId="8" w16cid:durableId="1658878915">
    <w:abstractNumId w:val="3"/>
    <w:lvlOverride w:ilvl="0">
      <w:startOverride w:val="1"/>
    </w:lvlOverride>
  </w:num>
  <w:num w:numId="9" w16cid:durableId="1846826513">
    <w:abstractNumId w:val="10"/>
    <w:lvlOverride w:ilvl="0">
      <w:startOverride w:val="1"/>
    </w:lvlOverride>
  </w:num>
  <w:num w:numId="10" w16cid:durableId="1247416452">
    <w:abstractNumId w:val="8"/>
    <w:lvlOverride w:ilvl="0">
      <w:startOverride w:val="1"/>
    </w:lvlOverride>
  </w:num>
  <w:num w:numId="11" w16cid:durableId="1810055467">
    <w:abstractNumId w:val="4"/>
  </w:num>
  <w:num w:numId="12" w16cid:durableId="1057586079">
    <w:abstractNumId w:val="5"/>
  </w:num>
  <w:num w:numId="13" w16cid:durableId="659236591">
    <w:abstractNumId w:val="13"/>
  </w:num>
  <w:num w:numId="14" w16cid:durableId="1761415099">
    <w:abstractNumId w:val="18"/>
  </w:num>
  <w:num w:numId="15" w16cid:durableId="400517202">
    <w:abstractNumId w:val="1"/>
  </w:num>
  <w:num w:numId="16" w16cid:durableId="2030519305">
    <w:abstractNumId w:val="15"/>
    <w:lvlOverride w:ilvl="0">
      <w:startOverride w:val="1"/>
    </w:lvlOverride>
  </w:num>
  <w:num w:numId="17" w16cid:durableId="2031907082">
    <w:abstractNumId w:val="9"/>
    <w:lvlOverride w:ilvl="0">
      <w:startOverride w:val="1"/>
    </w:lvlOverride>
  </w:num>
  <w:num w:numId="18" w16cid:durableId="1571383085">
    <w:abstractNumId w:val="16"/>
  </w:num>
  <w:num w:numId="19" w16cid:durableId="1976059268">
    <w:abstractNumId w:val="2"/>
  </w:num>
  <w:num w:numId="20" w16cid:durableId="2122257722">
    <w:abstractNumId w:val="22"/>
  </w:num>
  <w:num w:numId="21" w16cid:durableId="1380393565">
    <w:abstractNumId w:val="0"/>
  </w:num>
  <w:num w:numId="22" w16cid:durableId="1513242">
    <w:abstractNumId w:val="11"/>
    <w:lvlOverride w:ilvl="0">
      <w:startOverride w:val="1"/>
    </w:lvlOverride>
  </w:num>
  <w:num w:numId="23" w16cid:durableId="741752597">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nsa, Matthew (Bip.Monticello)">
    <w15:presenceInfo w15:providerId="AD" w15:userId="S::matthew.pensa@bip-group.com::52033def-1e8c-461c-843d-a6ea77515b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00BA0DE"/>
    <w:rsid w:val="000144CC"/>
    <w:rsid w:val="0002311C"/>
    <w:rsid w:val="000315A0"/>
    <w:rsid w:val="00032B56"/>
    <w:rsid w:val="000339FE"/>
    <w:rsid w:val="00041E91"/>
    <w:rsid w:val="00045E56"/>
    <w:rsid w:val="0005156F"/>
    <w:rsid w:val="000539D6"/>
    <w:rsid w:val="000647D8"/>
    <w:rsid w:val="000652BF"/>
    <w:rsid w:val="00071D31"/>
    <w:rsid w:val="0007357B"/>
    <w:rsid w:val="000A256D"/>
    <w:rsid w:val="000A62B0"/>
    <w:rsid w:val="000A751F"/>
    <w:rsid w:val="000C427C"/>
    <w:rsid w:val="000C5367"/>
    <w:rsid w:val="000C7B65"/>
    <w:rsid w:val="000D25CB"/>
    <w:rsid w:val="000D4397"/>
    <w:rsid w:val="000F331B"/>
    <w:rsid w:val="000F75CC"/>
    <w:rsid w:val="00110A5A"/>
    <w:rsid w:val="00112B68"/>
    <w:rsid w:val="001153E6"/>
    <w:rsid w:val="00124F55"/>
    <w:rsid w:val="001253E2"/>
    <w:rsid w:val="0012780A"/>
    <w:rsid w:val="00130515"/>
    <w:rsid w:val="00133B5F"/>
    <w:rsid w:val="001442F9"/>
    <w:rsid w:val="0014744D"/>
    <w:rsid w:val="00152D82"/>
    <w:rsid w:val="00153965"/>
    <w:rsid w:val="001546F1"/>
    <w:rsid w:val="00194DF4"/>
    <w:rsid w:val="00196F8E"/>
    <w:rsid w:val="001A29EA"/>
    <w:rsid w:val="001A4416"/>
    <w:rsid w:val="001A535F"/>
    <w:rsid w:val="001D0C65"/>
    <w:rsid w:val="001D6AE6"/>
    <w:rsid w:val="001E4724"/>
    <w:rsid w:val="0020189A"/>
    <w:rsid w:val="00214102"/>
    <w:rsid w:val="00222D76"/>
    <w:rsid w:val="002505E1"/>
    <w:rsid w:val="00261E7D"/>
    <w:rsid w:val="00262853"/>
    <w:rsid w:val="00262E25"/>
    <w:rsid w:val="00287A97"/>
    <w:rsid w:val="00294871"/>
    <w:rsid w:val="00297C8A"/>
    <w:rsid w:val="002A00B7"/>
    <w:rsid w:val="002B48F9"/>
    <w:rsid w:val="002C0AD8"/>
    <w:rsid w:val="002D1E5F"/>
    <w:rsid w:val="002E6F7A"/>
    <w:rsid w:val="002F5999"/>
    <w:rsid w:val="00337448"/>
    <w:rsid w:val="0034575E"/>
    <w:rsid w:val="00345A69"/>
    <w:rsid w:val="003534E3"/>
    <w:rsid w:val="003551B3"/>
    <w:rsid w:val="003565E2"/>
    <w:rsid w:val="003610CC"/>
    <w:rsid w:val="00364F9C"/>
    <w:rsid w:val="0038011E"/>
    <w:rsid w:val="0039442E"/>
    <w:rsid w:val="003C40E6"/>
    <w:rsid w:val="003C6AA3"/>
    <w:rsid w:val="003C7F80"/>
    <w:rsid w:val="003D41AA"/>
    <w:rsid w:val="003D5AE9"/>
    <w:rsid w:val="003E1766"/>
    <w:rsid w:val="003E34FD"/>
    <w:rsid w:val="003E35E3"/>
    <w:rsid w:val="003F4969"/>
    <w:rsid w:val="003F5F16"/>
    <w:rsid w:val="00402647"/>
    <w:rsid w:val="004035E8"/>
    <w:rsid w:val="0040500F"/>
    <w:rsid w:val="004076C0"/>
    <w:rsid w:val="00422B54"/>
    <w:rsid w:val="00441E7B"/>
    <w:rsid w:val="004549D7"/>
    <w:rsid w:val="00456F56"/>
    <w:rsid w:val="0046330B"/>
    <w:rsid w:val="0047350D"/>
    <w:rsid w:val="00473FB8"/>
    <w:rsid w:val="00497165"/>
    <w:rsid w:val="004C2E92"/>
    <w:rsid w:val="004D1D75"/>
    <w:rsid w:val="004D44C4"/>
    <w:rsid w:val="004F00E8"/>
    <w:rsid w:val="004F4924"/>
    <w:rsid w:val="00501337"/>
    <w:rsid w:val="00504CAF"/>
    <w:rsid w:val="0050779C"/>
    <w:rsid w:val="005156BB"/>
    <w:rsid w:val="00524888"/>
    <w:rsid w:val="00530EDF"/>
    <w:rsid w:val="005314F4"/>
    <w:rsid w:val="0053215E"/>
    <w:rsid w:val="00535A2D"/>
    <w:rsid w:val="00551291"/>
    <w:rsid w:val="00553139"/>
    <w:rsid w:val="00555955"/>
    <w:rsid w:val="00565938"/>
    <w:rsid w:val="00572E06"/>
    <w:rsid w:val="00573F2D"/>
    <w:rsid w:val="00587085"/>
    <w:rsid w:val="00597034"/>
    <w:rsid w:val="005A35C3"/>
    <w:rsid w:val="005B08C1"/>
    <w:rsid w:val="005B1917"/>
    <w:rsid w:val="005C3D7D"/>
    <w:rsid w:val="005D2DF6"/>
    <w:rsid w:val="005D7F55"/>
    <w:rsid w:val="005E2DF1"/>
    <w:rsid w:val="005E7525"/>
    <w:rsid w:val="00607A98"/>
    <w:rsid w:val="00611904"/>
    <w:rsid w:val="00617C73"/>
    <w:rsid w:val="006238CC"/>
    <w:rsid w:val="0062533C"/>
    <w:rsid w:val="006311B0"/>
    <w:rsid w:val="00631ED4"/>
    <w:rsid w:val="00636CC7"/>
    <w:rsid w:val="00665298"/>
    <w:rsid w:val="00676A81"/>
    <w:rsid w:val="00676F67"/>
    <w:rsid w:val="00687842"/>
    <w:rsid w:val="006920F3"/>
    <w:rsid w:val="006B30DB"/>
    <w:rsid w:val="006C0517"/>
    <w:rsid w:val="006E3364"/>
    <w:rsid w:val="006F1201"/>
    <w:rsid w:val="006F1529"/>
    <w:rsid w:val="006F3012"/>
    <w:rsid w:val="006F3C2C"/>
    <w:rsid w:val="006F483F"/>
    <w:rsid w:val="006F54E3"/>
    <w:rsid w:val="006F750F"/>
    <w:rsid w:val="0070087C"/>
    <w:rsid w:val="00703BEB"/>
    <w:rsid w:val="00717C18"/>
    <w:rsid w:val="0072158D"/>
    <w:rsid w:val="007324A6"/>
    <w:rsid w:val="00734B5D"/>
    <w:rsid w:val="00740109"/>
    <w:rsid w:val="00741E4D"/>
    <w:rsid w:val="00744F10"/>
    <w:rsid w:val="00753B3C"/>
    <w:rsid w:val="00760F91"/>
    <w:rsid w:val="00761CC9"/>
    <w:rsid w:val="00766E1D"/>
    <w:rsid w:val="00767B7B"/>
    <w:rsid w:val="00770F12"/>
    <w:rsid w:val="007713CA"/>
    <w:rsid w:val="00771779"/>
    <w:rsid w:val="00780B97"/>
    <w:rsid w:val="007970D2"/>
    <w:rsid w:val="007A436D"/>
    <w:rsid w:val="007B533F"/>
    <w:rsid w:val="007B5644"/>
    <w:rsid w:val="007C0B30"/>
    <w:rsid w:val="007C67CD"/>
    <w:rsid w:val="007D553C"/>
    <w:rsid w:val="007E2439"/>
    <w:rsid w:val="007F0432"/>
    <w:rsid w:val="00801F20"/>
    <w:rsid w:val="00810C6F"/>
    <w:rsid w:val="00814A32"/>
    <w:rsid w:val="00824DF7"/>
    <w:rsid w:val="00825ABB"/>
    <w:rsid w:val="00832C21"/>
    <w:rsid w:val="008339B9"/>
    <w:rsid w:val="00834A5D"/>
    <w:rsid w:val="00834ED9"/>
    <w:rsid w:val="008474E7"/>
    <w:rsid w:val="0086678D"/>
    <w:rsid w:val="008754B8"/>
    <w:rsid w:val="00875FCF"/>
    <w:rsid w:val="0087610F"/>
    <w:rsid w:val="00876F9B"/>
    <w:rsid w:val="008A08F9"/>
    <w:rsid w:val="008A177F"/>
    <w:rsid w:val="008A4946"/>
    <w:rsid w:val="008C4E76"/>
    <w:rsid w:val="008C51A4"/>
    <w:rsid w:val="008C7AD7"/>
    <w:rsid w:val="008D0ECE"/>
    <w:rsid w:val="008E3EB7"/>
    <w:rsid w:val="008E68CF"/>
    <w:rsid w:val="0091640F"/>
    <w:rsid w:val="0094555F"/>
    <w:rsid w:val="009465EA"/>
    <w:rsid w:val="0095521C"/>
    <w:rsid w:val="009714A8"/>
    <w:rsid w:val="00981D26"/>
    <w:rsid w:val="0098264A"/>
    <w:rsid w:val="00985E23"/>
    <w:rsid w:val="00987011"/>
    <w:rsid w:val="00996EC4"/>
    <w:rsid w:val="00997423"/>
    <w:rsid w:val="00997FC0"/>
    <w:rsid w:val="009B3A34"/>
    <w:rsid w:val="009B6FA2"/>
    <w:rsid w:val="009C5112"/>
    <w:rsid w:val="009C7B61"/>
    <w:rsid w:val="009D1866"/>
    <w:rsid w:val="009D30D9"/>
    <w:rsid w:val="009D4033"/>
    <w:rsid w:val="009D65B8"/>
    <w:rsid w:val="009E7C78"/>
    <w:rsid w:val="00A02130"/>
    <w:rsid w:val="00A032B7"/>
    <w:rsid w:val="00A15319"/>
    <w:rsid w:val="00A21269"/>
    <w:rsid w:val="00A21F85"/>
    <w:rsid w:val="00A36FF4"/>
    <w:rsid w:val="00A37D91"/>
    <w:rsid w:val="00A43F26"/>
    <w:rsid w:val="00A4685C"/>
    <w:rsid w:val="00A57C51"/>
    <w:rsid w:val="00A610EE"/>
    <w:rsid w:val="00A63885"/>
    <w:rsid w:val="00A65703"/>
    <w:rsid w:val="00A723FF"/>
    <w:rsid w:val="00A9739E"/>
    <w:rsid w:val="00AA124A"/>
    <w:rsid w:val="00AA2E3E"/>
    <w:rsid w:val="00AD7071"/>
    <w:rsid w:val="00AE6DCB"/>
    <w:rsid w:val="00B060D1"/>
    <w:rsid w:val="00B06848"/>
    <w:rsid w:val="00B4107F"/>
    <w:rsid w:val="00B42948"/>
    <w:rsid w:val="00B4793A"/>
    <w:rsid w:val="00B5043E"/>
    <w:rsid w:val="00B679C6"/>
    <w:rsid w:val="00B730BF"/>
    <w:rsid w:val="00B74349"/>
    <w:rsid w:val="00B760CE"/>
    <w:rsid w:val="00B76847"/>
    <w:rsid w:val="00B77CA9"/>
    <w:rsid w:val="00B822AF"/>
    <w:rsid w:val="00B84B88"/>
    <w:rsid w:val="00B9354F"/>
    <w:rsid w:val="00BA0B21"/>
    <w:rsid w:val="00BA2136"/>
    <w:rsid w:val="00BA4DE7"/>
    <w:rsid w:val="00BA50CE"/>
    <w:rsid w:val="00BB4156"/>
    <w:rsid w:val="00BC1404"/>
    <w:rsid w:val="00BC7599"/>
    <w:rsid w:val="00BF6E4E"/>
    <w:rsid w:val="00C0016B"/>
    <w:rsid w:val="00C230EB"/>
    <w:rsid w:val="00C26703"/>
    <w:rsid w:val="00C30933"/>
    <w:rsid w:val="00C30BF1"/>
    <w:rsid w:val="00C543F1"/>
    <w:rsid w:val="00C56EC2"/>
    <w:rsid w:val="00C57D4E"/>
    <w:rsid w:val="00C72490"/>
    <w:rsid w:val="00C774AA"/>
    <w:rsid w:val="00C91DD9"/>
    <w:rsid w:val="00C94CC2"/>
    <w:rsid w:val="00C9729C"/>
    <w:rsid w:val="00CA0CC9"/>
    <w:rsid w:val="00CA10B1"/>
    <w:rsid w:val="00CB719C"/>
    <w:rsid w:val="00CC18C9"/>
    <w:rsid w:val="00CD2820"/>
    <w:rsid w:val="00CE6F2D"/>
    <w:rsid w:val="00CF0872"/>
    <w:rsid w:val="00D0441D"/>
    <w:rsid w:val="00D238A5"/>
    <w:rsid w:val="00D27B11"/>
    <w:rsid w:val="00D357FF"/>
    <w:rsid w:val="00D368E6"/>
    <w:rsid w:val="00D40AD4"/>
    <w:rsid w:val="00D578E3"/>
    <w:rsid w:val="00D6177E"/>
    <w:rsid w:val="00D6677D"/>
    <w:rsid w:val="00D83244"/>
    <w:rsid w:val="00D849C8"/>
    <w:rsid w:val="00D858F4"/>
    <w:rsid w:val="00DB0EBB"/>
    <w:rsid w:val="00DB6986"/>
    <w:rsid w:val="00DC22B0"/>
    <w:rsid w:val="00DC38D4"/>
    <w:rsid w:val="00DC7B0C"/>
    <w:rsid w:val="00DD2199"/>
    <w:rsid w:val="00DD23A5"/>
    <w:rsid w:val="00DF4968"/>
    <w:rsid w:val="00DF52A5"/>
    <w:rsid w:val="00DF6F5B"/>
    <w:rsid w:val="00DF6F84"/>
    <w:rsid w:val="00DF7137"/>
    <w:rsid w:val="00DF7740"/>
    <w:rsid w:val="00E00AEA"/>
    <w:rsid w:val="00E044BD"/>
    <w:rsid w:val="00E059B4"/>
    <w:rsid w:val="00E13D33"/>
    <w:rsid w:val="00E32397"/>
    <w:rsid w:val="00E423E4"/>
    <w:rsid w:val="00E43A5A"/>
    <w:rsid w:val="00E5152B"/>
    <w:rsid w:val="00E600E3"/>
    <w:rsid w:val="00E67E62"/>
    <w:rsid w:val="00E70A84"/>
    <w:rsid w:val="00E73CF2"/>
    <w:rsid w:val="00E84891"/>
    <w:rsid w:val="00E84D4D"/>
    <w:rsid w:val="00E935CC"/>
    <w:rsid w:val="00EA05B6"/>
    <w:rsid w:val="00EB25CF"/>
    <w:rsid w:val="00EC5C67"/>
    <w:rsid w:val="00EE34AF"/>
    <w:rsid w:val="00EE7FCD"/>
    <w:rsid w:val="00EF7F1D"/>
    <w:rsid w:val="00F002D7"/>
    <w:rsid w:val="00F020AA"/>
    <w:rsid w:val="00F241C5"/>
    <w:rsid w:val="00F31C22"/>
    <w:rsid w:val="00F31E90"/>
    <w:rsid w:val="00F368F6"/>
    <w:rsid w:val="00F420A9"/>
    <w:rsid w:val="00F602DC"/>
    <w:rsid w:val="00F62D21"/>
    <w:rsid w:val="00F667E5"/>
    <w:rsid w:val="00F71DDD"/>
    <w:rsid w:val="00F917E7"/>
    <w:rsid w:val="00F92D4A"/>
    <w:rsid w:val="00F97AAD"/>
    <w:rsid w:val="00FA06D9"/>
    <w:rsid w:val="00FA218C"/>
    <w:rsid w:val="00FA24FF"/>
    <w:rsid w:val="00FA31B9"/>
    <w:rsid w:val="00FB3571"/>
    <w:rsid w:val="00FB3B73"/>
    <w:rsid w:val="00FC04A2"/>
    <w:rsid w:val="00FC0D09"/>
    <w:rsid w:val="00FD0B20"/>
    <w:rsid w:val="00FD414C"/>
    <w:rsid w:val="00FD7A8B"/>
    <w:rsid w:val="00FE3B9F"/>
    <w:rsid w:val="00FE5794"/>
    <w:rsid w:val="00FF678F"/>
    <w:rsid w:val="400BA0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567C9"/>
  <w15:docId w15:val="{70E959E5-B07A-4DCC-865D-682110343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968"/>
  </w:style>
  <w:style w:type="paragraph" w:styleId="Heading1">
    <w:name w:val="heading 1"/>
    <w:uiPriority w:val="9"/>
    <w:qFormat/>
    <w:pPr>
      <w:spacing w:before="400" w:after="200"/>
      <w:outlineLvl w:val="0"/>
    </w:pPr>
    <w:rPr>
      <w:b/>
      <w:bCs/>
      <w:color w:val="000000"/>
      <w:sz w:val="28"/>
      <w:szCs w:val="28"/>
    </w:rPr>
  </w:style>
  <w:style w:type="paragraph" w:styleId="Heading2">
    <w:name w:val="heading 2"/>
    <w:link w:val="Heading2Char"/>
    <w:uiPriority w:val="9"/>
    <w:unhideWhenUsed/>
    <w:qFormat/>
    <w:pPr>
      <w:spacing w:before="300" w:after="15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pPr>
      <w:spacing w:after="120"/>
      <w:jc w:val="center"/>
    </w:pPr>
    <w:rPr>
      <w:b/>
      <w:bCs/>
      <w:color w:val="000000"/>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2Char">
    <w:name w:val="Heading 2 Char"/>
    <w:basedOn w:val="DefaultParagraphFont"/>
    <w:link w:val="Heading2"/>
    <w:uiPriority w:val="9"/>
    <w:rsid w:val="00FA218C"/>
    <w:rPr>
      <w:b/>
      <w:bCs/>
      <w:color w:val="000000"/>
      <w:sz w:val="24"/>
      <w:szCs w:val="24"/>
    </w:rPr>
  </w:style>
  <w:style w:type="character" w:styleId="UnresolvedMention">
    <w:name w:val="Unresolved Mention"/>
    <w:basedOn w:val="DefaultParagraphFont"/>
    <w:uiPriority w:val="99"/>
    <w:semiHidden/>
    <w:unhideWhenUsed/>
    <w:rsid w:val="004F4924"/>
    <w:rPr>
      <w:color w:val="605E5C"/>
      <w:shd w:val="clear" w:color="auto" w:fill="E1DFDD"/>
    </w:rPr>
  </w:style>
  <w:style w:type="paragraph" w:customStyle="1" w:styleId="font-claude-response-body">
    <w:name w:val="font-claude-response-body"/>
    <w:basedOn w:val="Normal"/>
    <w:rsid w:val="004F4924"/>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F4924"/>
    <w:rPr>
      <w:b/>
      <w:bCs/>
    </w:rPr>
  </w:style>
  <w:style w:type="character" w:customStyle="1" w:styleId="inline-flex">
    <w:name w:val="inline-flex"/>
    <w:basedOn w:val="DefaultParagraphFont"/>
    <w:rsid w:val="004F4924"/>
  </w:style>
  <w:style w:type="character" w:customStyle="1" w:styleId="text-nowrap">
    <w:name w:val="text-nowrap"/>
    <w:basedOn w:val="DefaultParagraphFont"/>
    <w:rsid w:val="004F4924"/>
  </w:style>
  <w:style w:type="character" w:styleId="CommentReference">
    <w:name w:val="annotation reference"/>
    <w:basedOn w:val="DefaultParagraphFont"/>
    <w:uiPriority w:val="99"/>
    <w:semiHidden/>
    <w:unhideWhenUsed/>
    <w:rsid w:val="000315A0"/>
    <w:rPr>
      <w:sz w:val="16"/>
      <w:szCs w:val="16"/>
    </w:rPr>
  </w:style>
  <w:style w:type="paragraph" w:styleId="CommentText">
    <w:name w:val="annotation text"/>
    <w:basedOn w:val="Normal"/>
    <w:link w:val="CommentTextChar"/>
    <w:uiPriority w:val="99"/>
    <w:unhideWhenUsed/>
    <w:rsid w:val="000315A0"/>
    <w:rPr>
      <w:sz w:val="20"/>
      <w:szCs w:val="20"/>
    </w:rPr>
  </w:style>
  <w:style w:type="character" w:customStyle="1" w:styleId="CommentTextChar">
    <w:name w:val="Comment Text Char"/>
    <w:basedOn w:val="DefaultParagraphFont"/>
    <w:link w:val="CommentText"/>
    <w:uiPriority w:val="99"/>
    <w:rsid w:val="000315A0"/>
    <w:rPr>
      <w:sz w:val="20"/>
      <w:szCs w:val="20"/>
    </w:rPr>
  </w:style>
  <w:style w:type="paragraph" w:styleId="CommentSubject">
    <w:name w:val="annotation subject"/>
    <w:basedOn w:val="CommentText"/>
    <w:next w:val="CommentText"/>
    <w:link w:val="CommentSubjectChar"/>
    <w:uiPriority w:val="99"/>
    <w:semiHidden/>
    <w:unhideWhenUsed/>
    <w:rsid w:val="000315A0"/>
    <w:rPr>
      <w:b/>
      <w:bCs/>
    </w:rPr>
  </w:style>
  <w:style w:type="character" w:customStyle="1" w:styleId="CommentSubjectChar">
    <w:name w:val="Comment Subject Char"/>
    <w:basedOn w:val="CommentTextChar"/>
    <w:link w:val="CommentSubject"/>
    <w:uiPriority w:val="99"/>
    <w:semiHidden/>
    <w:rsid w:val="000315A0"/>
    <w:rPr>
      <w:b/>
      <w:bCs/>
      <w:sz w:val="20"/>
      <w:szCs w:val="20"/>
    </w:rPr>
  </w:style>
  <w:style w:type="paragraph" w:styleId="Header">
    <w:name w:val="header"/>
    <w:basedOn w:val="Normal"/>
    <w:link w:val="HeaderChar"/>
    <w:uiPriority w:val="99"/>
    <w:unhideWhenUsed/>
    <w:rsid w:val="00BA2136"/>
    <w:pPr>
      <w:tabs>
        <w:tab w:val="center" w:pos="4680"/>
        <w:tab w:val="right" w:pos="9360"/>
      </w:tabs>
    </w:pPr>
  </w:style>
  <w:style w:type="character" w:customStyle="1" w:styleId="HeaderChar">
    <w:name w:val="Header Char"/>
    <w:basedOn w:val="DefaultParagraphFont"/>
    <w:link w:val="Header"/>
    <w:uiPriority w:val="99"/>
    <w:rsid w:val="00BA2136"/>
  </w:style>
  <w:style w:type="paragraph" w:styleId="Footer">
    <w:name w:val="footer"/>
    <w:basedOn w:val="Normal"/>
    <w:link w:val="FooterChar"/>
    <w:uiPriority w:val="99"/>
    <w:unhideWhenUsed/>
    <w:rsid w:val="00BA2136"/>
    <w:pPr>
      <w:tabs>
        <w:tab w:val="center" w:pos="4680"/>
        <w:tab w:val="right" w:pos="9360"/>
      </w:tabs>
    </w:pPr>
  </w:style>
  <w:style w:type="character" w:customStyle="1" w:styleId="FooterChar">
    <w:name w:val="Footer Char"/>
    <w:basedOn w:val="DefaultParagraphFont"/>
    <w:link w:val="Footer"/>
    <w:uiPriority w:val="99"/>
    <w:rsid w:val="00BA2136"/>
  </w:style>
  <w:style w:type="paragraph" w:styleId="NormalWeb">
    <w:name w:val="Normal (Web)"/>
    <w:basedOn w:val="Normal"/>
    <w:uiPriority w:val="99"/>
    <w:unhideWhenUsed/>
    <w:rsid w:val="00C30BF1"/>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C30BF1"/>
    <w:rPr>
      <w:i/>
      <w:iCs/>
    </w:rPr>
  </w:style>
  <w:style w:type="character" w:customStyle="1" w:styleId="TitleChar">
    <w:name w:val="Title Char"/>
    <w:basedOn w:val="DefaultParagraphFont"/>
    <w:link w:val="Title"/>
    <w:uiPriority w:val="10"/>
    <w:rsid w:val="0095521C"/>
    <w:rPr>
      <w:b/>
      <w:bCs/>
      <w:color w:val="000000"/>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111876">
      <w:bodyDiv w:val="1"/>
      <w:marLeft w:val="0"/>
      <w:marRight w:val="0"/>
      <w:marTop w:val="0"/>
      <w:marBottom w:val="0"/>
      <w:divBdr>
        <w:top w:val="none" w:sz="0" w:space="0" w:color="auto"/>
        <w:left w:val="none" w:sz="0" w:space="0" w:color="auto"/>
        <w:bottom w:val="none" w:sz="0" w:space="0" w:color="auto"/>
        <w:right w:val="none" w:sz="0" w:space="0" w:color="auto"/>
      </w:divBdr>
    </w:div>
    <w:div w:id="416488625">
      <w:bodyDiv w:val="1"/>
      <w:marLeft w:val="0"/>
      <w:marRight w:val="0"/>
      <w:marTop w:val="0"/>
      <w:marBottom w:val="0"/>
      <w:divBdr>
        <w:top w:val="none" w:sz="0" w:space="0" w:color="auto"/>
        <w:left w:val="none" w:sz="0" w:space="0" w:color="auto"/>
        <w:bottom w:val="none" w:sz="0" w:space="0" w:color="auto"/>
        <w:right w:val="none" w:sz="0" w:space="0" w:color="auto"/>
      </w:divBdr>
    </w:div>
    <w:div w:id="422997072">
      <w:bodyDiv w:val="1"/>
      <w:marLeft w:val="0"/>
      <w:marRight w:val="0"/>
      <w:marTop w:val="0"/>
      <w:marBottom w:val="0"/>
      <w:divBdr>
        <w:top w:val="none" w:sz="0" w:space="0" w:color="auto"/>
        <w:left w:val="none" w:sz="0" w:space="0" w:color="auto"/>
        <w:bottom w:val="none" w:sz="0" w:space="0" w:color="auto"/>
        <w:right w:val="none" w:sz="0" w:space="0" w:color="auto"/>
      </w:divBdr>
    </w:div>
    <w:div w:id="540048104">
      <w:bodyDiv w:val="1"/>
      <w:marLeft w:val="0"/>
      <w:marRight w:val="0"/>
      <w:marTop w:val="0"/>
      <w:marBottom w:val="0"/>
      <w:divBdr>
        <w:top w:val="none" w:sz="0" w:space="0" w:color="auto"/>
        <w:left w:val="none" w:sz="0" w:space="0" w:color="auto"/>
        <w:bottom w:val="none" w:sz="0" w:space="0" w:color="auto"/>
        <w:right w:val="none" w:sz="0" w:space="0" w:color="auto"/>
      </w:divBdr>
    </w:div>
    <w:div w:id="552886271">
      <w:bodyDiv w:val="1"/>
      <w:marLeft w:val="0"/>
      <w:marRight w:val="0"/>
      <w:marTop w:val="0"/>
      <w:marBottom w:val="0"/>
      <w:divBdr>
        <w:top w:val="none" w:sz="0" w:space="0" w:color="auto"/>
        <w:left w:val="none" w:sz="0" w:space="0" w:color="auto"/>
        <w:bottom w:val="none" w:sz="0" w:space="0" w:color="auto"/>
        <w:right w:val="none" w:sz="0" w:space="0" w:color="auto"/>
      </w:divBdr>
    </w:div>
    <w:div w:id="853573237">
      <w:bodyDiv w:val="1"/>
      <w:marLeft w:val="0"/>
      <w:marRight w:val="0"/>
      <w:marTop w:val="0"/>
      <w:marBottom w:val="0"/>
      <w:divBdr>
        <w:top w:val="none" w:sz="0" w:space="0" w:color="auto"/>
        <w:left w:val="none" w:sz="0" w:space="0" w:color="auto"/>
        <w:bottom w:val="none" w:sz="0" w:space="0" w:color="auto"/>
        <w:right w:val="none" w:sz="0" w:space="0" w:color="auto"/>
      </w:divBdr>
    </w:div>
    <w:div w:id="945043861">
      <w:bodyDiv w:val="1"/>
      <w:marLeft w:val="0"/>
      <w:marRight w:val="0"/>
      <w:marTop w:val="0"/>
      <w:marBottom w:val="0"/>
      <w:divBdr>
        <w:top w:val="none" w:sz="0" w:space="0" w:color="auto"/>
        <w:left w:val="none" w:sz="0" w:space="0" w:color="auto"/>
        <w:bottom w:val="none" w:sz="0" w:space="0" w:color="auto"/>
        <w:right w:val="none" w:sz="0" w:space="0" w:color="auto"/>
      </w:divBdr>
    </w:div>
    <w:div w:id="1062217307">
      <w:bodyDiv w:val="1"/>
      <w:marLeft w:val="0"/>
      <w:marRight w:val="0"/>
      <w:marTop w:val="0"/>
      <w:marBottom w:val="0"/>
      <w:divBdr>
        <w:top w:val="none" w:sz="0" w:space="0" w:color="auto"/>
        <w:left w:val="none" w:sz="0" w:space="0" w:color="auto"/>
        <w:bottom w:val="none" w:sz="0" w:space="0" w:color="auto"/>
        <w:right w:val="none" w:sz="0" w:space="0" w:color="auto"/>
      </w:divBdr>
    </w:div>
    <w:div w:id="1081414144">
      <w:bodyDiv w:val="1"/>
      <w:marLeft w:val="0"/>
      <w:marRight w:val="0"/>
      <w:marTop w:val="0"/>
      <w:marBottom w:val="0"/>
      <w:divBdr>
        <w:top w:val="none" w:sz="0" w:space="0" w:color="auto"/>
        <w:left w:val="none" w:sz="0" w:space="0" w:color="auto"/>
        <w:bottom w:val="none" w:sz="0" w:space="0" w:color="auto"/>
        <w:right w:val="none" w:sz="0" w:space="0" w:color="auto"/>
      </w:divBdr>
    </w:div>
    <w:div w:id="1280140398">
      <w:bodyDiv w:val="1"/>
      <w:marLeft w:val="0"/>
      <w:marRight w:val="0"/>
      <w:marTop w:val="0"/>
      <w:marBottom w:val="0"/>
      <w:divBdr>
        <w:top w:val="none" w:sz="0" w:space="0" w:color="auto"/>
        <w:left w:val="none" w:sz="0" w:space="0" w:color="auto"/>
        <w:bottom w:val="none" w:sz="0" w:space="0" w:color="auto"/>
        <w:right w:val="none" w:sz="0" w:space="0" w:color="auto"/>
      </w:divBdr>
    </w:div>
    <w:div w:id="1630743364">
      <w:bodyDiv w:val="1"/>
      <w:marLeft w:val="0"/>
      <w:marRight w:val="0"/>
      <w:marTop w:val="0"/>
      <w:marBottom w:val="0"/>
      <w:divBdr>
        <w:top w:val="none" w:sz="0" w:space="0" w:color="auto"/>
        <w:left w:val="none" w:sz="0" w:space="0" w:color="auto"/>
        <w:bottom w:val="none" w:sz="0" w:space="0" w:color="auto"/>
        <w:right w:val="none" w:sz="0" w:space="0" w:color="auto"/>
      </w:divBdr>
    </w:div>
    <w:div w:id="1646348465">
      <w:bodyDiv w:val="1"/>
      <w:marLeft w:val="0"/>
      <w:marRight w:val="0"/>
      <w:marTop w:val="0"/>
      <w:marBottom w:val="0"/>
      <w:divBdr>
        <w:top w:val="none" w:sz="0" w:space="0" w:color="auto"/>
        <w:left w:val="none" w:sz="0" w:space="0" w:color="auto"/>
        <w:bottom w:val="none" w:sz="0" w:space="0" w:color="auto"/>
        <w:right w:val="none" w:sz="0" w:space="0" w:color="auto"/>
      </w:divBdr>
    </w:div>
    <w:div w:id="1775436167">
      <w:bodyDiv w:val="1"/>
      <w:marLeft w:val="0"/>
      <w:marRight w:val="0"/>
      <w:marTop w:val="0"/>
      <w:marBottom w:val="0"/>
      <w:divBdr>
        <w:top w:val="none" w:sz="0" w:space="0" w:color="auto"/>
        <w:left w:val="none" w:sz="0" w:space="0" w:color="auto"/>
        <w:bottom w:val="none" w:sz="0" w:space="0" w:color="auto"/>
        <w:right w:val="none" w:sz="0" w:space="0" w:color="auto"/>
      </w:divBdr>
    </w:div>
    <w:div w:id="1825394383">
      <w:bodyDiv w:val="1"/>
      <w:marLeft w:val="0"/>
      <w:marRight w:val="0"/>
      <w:marTop w:val="0"/>
      <w:marBottom w:val="0"/>
      <w:divBdr>
        <w:top w:val="none" w:sz="0" w:space="0" w:color="auto"/>
        <w:left w:val="none" w:sz="0" w:space="0" w:color="auto"/>
        <w:bottom w:val="none" w:sz="0" w:space="0" w:color="auto"/>
        <w:right w:val="none" w:sz="0" w:space="0" w:color="auto"/>
      </w:divBdr>
    </w:div>
    <w:div w:id="1943371559">
      <w:bodyDiv w:val="1"/>
      <w:marLeft w:val="0"/>
      <w:marRight w:val="0"/>
      <w:marTop w:val="0"/>
      <w:marBottom w:val="0"/>
      <w:divBdr>
        <w:top w:val="none" w:sz="0" w:space="0" w:color="auto"/>
        <w:left w:val="none" w:sz="0" w:space="0" w:color="auto"/>
        <w:bottom w:val="none" w:sz="0" w:space="0" w:color="auto"/>
        <w:right w:val="none" w:sz="0" w:space="0" w:color="auto"/>
      </w:divBdr>
    </w:div>
    <w:div w:id="20892292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b1a63eb-eb09-471a-a005-37b07792a5b5}" enabled="0" method="" siteId="{bb1a63eb-eb09-471a-a005-37b07792a5b5}" removed="1"/>
</clbl:labelList>
</file>

<file path=docProps/app.xml><?xml version="1.0" encoding="utf-8"?>
<Properties xmlns="http://schemas.openxmlformats.org/officeDocument/2006/extended-properties" xmlns:vt="http://schemas.openxmlformats.org/officeDocument/2006/docPropsVTypes">
  <Template>Normal</Template>
  <TotalTime>1007</TotalTime>
  <Pages>10</Pages>
  <Words>3344</Words>
  <Characters>19061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22361</CharactersWithSpaces>
  <SharedDoc>false</SharedDoc>
  <HLinks>
    <vt:vector size="24" baseType="variant">
      <vt:variant>
        <vt:i4>5439579</vt:i4>
      </vt:variant>
      <vt:variant>
        <vt:i4>9</vt:i4>
      </vt:variant>
      <vt:variant>
        <vt:i4>0</vt:i4>
      </vt:variant>
      <vt:variant>
        <vt:i4>5</vt:i4>
      </vt:variant>
      <vt:variant>
        <vt:lpwstr>https://derivsource.com/2024/08/28/common-domain-model-providing-a-standardised-data-representation-of-trade-events-isda-cdm/</vt:lpwstr>
      </vt:variant>
      <vt:variant>
        <vt:lpwstr/>
      </vt:variant>
      <vt:variant>
        <vt:i4>3145761</vt:i4>
      </vt:variant>
      <vt:variant>
        <vt:i4>6</vt:i4>
      </vt:variant>
      <vt:variant>
        <vt:i4>0</vt:i4>
      </vt:variant>
      <vt:variant>
        <vt:i4>5</vt:i4>
      </vt:variant>
      <vt:variant>
        <vt:lpwstr>https://www.chapman.com/publication-financial-regulatory-agencies-propose-rule-mandated-by-the-financial-data-transparency-act</vt:lpwstr>
      </vt:variant>
      <vt:variant>
        <vt:lpwstr/>
      </vt:variant>
      <vt:variant>
        <vt:i4>1048599</vt:i4>
      </vt:variant>
      <vt:variant>
        <vt:i4>3</vt:i4>
      </vt:variant>
      <vt:variant>
        <vt:i4>0</vt:i4>
      </vt:variant>
      <vt:variant>
        <vt:i4>5</vt:i4>
      </vt:variant>
      <vt:variant>
        <vt:lpwstr>https://www.marketsmedia.com/dtcc-collaborates-with-regnosys-on-regulatory-reporting/</vt:lpwstr>
      </vt:variant>
      <vt:variant>
        <vt:lpwstr/>
      </vt:variant>
      <vt:variant>
        <vt:i4>7995506</vt:i4>
      </vt:variant>
      <vt:variant>
        <vt:i4>0</vt:i4>
      </vt:variant>
      <vt:variant>
        <vt:i4>0</vt:i4>
      </vt:variant>
      <vt:variant>
        <vt:i4>5</vt:i4>
      </vt:variant>
      <vt:variant>
        <vt:lpwstr>https://thepaypers.com/online-mobile-banking/swift-accepts-community-request-to-delay-iso-20022-migration--1258924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Pensa, Matthew (Bip.Monticello)</cp:lastModifiedBy>
  <cp:revision>13</cp:revision>
  <dcterms:created xsi:type="dcterms:W3CDTF">2025-12-15T06:10:00Z</dcterms:created>
  <dcterms:modified xsi:type="dcterms:W3CDTF">2025-12-16T23:41:00Z</dcterms:modified>
</cp:coreProperties>
</file>