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07312" w14:textId="77777777" w:rsidR="00C45CCD" w:rsidRPr="00C45CCD" w:rsidRDefault="00C45CCD" w:rsidP="00C45CCD">
      <w:pPr>
        <w:rPr>
          <w:b/>
          <w:bCs/>
        </w:rPr>
      </w:pPr>
      <w:r w:rsidRPr="00C45CCD">
        <w:rPr>
          <w:b/>
          <w:bCs/>
        </w:rPr>
        <w:t>Executive Overview: The EU AI Act and Banking</w:t>
      </w:r>
    </w:p>
    <w:p w14:paraId="586B5420" w14:textId="77777777" w:rsidR="00C45CCD" w:rsidRPr="00C45CCD" w:rsidRDefault="00C45CCD" w:rsidP="00C45CCD">
      <w:r w:rsidRPr="00C45CCD">
        <w:t>The European Union's Artificial Intelligence Act (Regulation (EU) 2024/1689) is the world's first comprehensive, binding legal framework for AI. It establishes a risk-based approach that will have profound implications for the global financial services sector.</w:t>
      </w:r>
    </w:p>
    <w:p w14:paraId="2887409E" w14:textId="77777777" w:rsidR="00C45CCD" w:rsidRPr="00C45CCD" w:rsidRDefault="00C45CCD" w:rsidP="00C45CCD">
      <w:r w:rsidRPr="00C45CCD">
        <w:t xml:space="preserve">The briefing document's analysis is stark: </w:t>
      </w:r>
      <w:r w:rsidRPr="00F27A12">
        <w:rPr>
          <w:b/>
          <w:bCs/>
        </w:rPr>
        <w:t>the Act explicitly designates core banking systems,</w:t>
      </w:r>
      <w:r w:rsidRPr="00C45CCD">
        <w:t xml:space="preserve"> particularly those used for credit scoring and creditworthiness assessment, as </w:t>
      </w:r>
      <w:r w:rsidRPr="00F27A12">
        <w:rPr>
          <w:b/>
          <w:bCs/>
        </w:rPr>
        <w:t>"high-risk".</w:t>
      </w:r>
      <w:r w:rsidRPr="00C45CCD">
        <w:t xml:space="preserve"> This classification is not discretionary but a legal mandate that triggers a suite of stringent new operational resiliency requirements. These requirements extend far beyond traditional IT availability, </w:t>
      </w:r>
      <w:r w:rsidRPr="003418A5">
        <w:rPr>
          <w:b/>
          <w:bCs/>
        </w:rPr>
        <w:t>mandating auditable proof of a model's accuracy</w:t>
      </w:r>
      <w:r w:rsidRPr="00C45CCD">
        <w:t>, robustness against errors and attacks, cybersecurity, transparent data governance, and effective human oversight throughout its entire lifecycle.</w:t>
      </w:r>
    </w:p>
    <w:p w14:paraId="67C6C3F0" w14:textId="77777777" w:rsidR="00C45CCD" w:rsidRPr="00C45CCD" w:rsidRDefault="00C45CCD" w:rsidP="00C45CCD">
      <w:r w:rsidRPr="00C45CCD">
        <w:t xml:space="preserve">This new legislation compels a fundamental evolution of a bank's existing internal governance, risk management, and compliance functions. Furthermore, the Act possesses a significant extraterritorial reach, </w:t>
      </w:r>
      <w:proofErr w:type="gramStart"/>
      <w:r w:rsidRPr="00C45CCD">
        <w:t>similar to</w:t>
      </w:r>
      <w:proofErr w:type="gramEnd"/>
      <w:r w:rsidRPr="00C45CCD">
        <w:t xml:space="preserve"> GDPR, meaning US-based operations of multinational banks will be directly impacted if their AI models produce outputs used within the EU. Proactive engagement is presented not just as a compliance matter but as a strategic necessity for maintaining operational resilience and competitive leadership.</w:t>
      </w:r>
    </w:p>
    <w:p w14:paraId="4F57C686" w14:textId="77777777" w:rsidR="00C45CCD" w:rsidRPr="00C45CCD" w:rsidRDefault="00000000" w:rsidP="00C45CCD">
      <w:r>
        <w:pict w14:anchorId="3093D310">
          <v:rect id="_x0000_i1025" style="width:0;height:1.5pt" o:hralign="center" o:hrstd="t" o:hr="t" fillcolor="#a0a0a0" stroked="f"/>
        </w:pict>
      </w:r>
    </w:p>
    <w:p w14:paraId="7567D194" w14:textId="77777777" w:rsidR="00C45CCD" w:rsidRPr="00C45CCD" w:rsidRDefault="00C45CCD" w:rsidP="00C45CCD">
      <w:pPr>
        <w:rPr>
          <w:b/>
          <w:bCs/>
        </w:rPr>
      </w:pPr>
      <w:r w:rsidRPr="00C45CCD">
        <w:rPr>
          <w:b/>
          <w:bCs/>
        </w:rPr>
        <w:t>Part 1: Defining the High-Risk Perimeter in Banking</w:t>
      </w:r>
    </w:p>
    <w:p w14:paraId="2ADFFEDF" w14:textId="77777777" w:rsidR="00C45CCD" w:rsidRPr="00C45CCD" w:rsidRDefault="00C45CCD" w:rsidP="00C45CCD">
      <w:r w:rsidRPr="00C45CCD">
        <w:t>The Act's most significant impact stems from its classification of specific AI use cases as "high-risk" under Annex III. For a large banking institution, two categories are paramount:</w:t>
      </w:r>
    </w:p>
    <w:p w14:paraId="6E417E43" w14:textId="77777777" w:rsidR="00C45CCD" w:rsidRPr="00C45CCD" w:rsidRDefault="00C45CCD" w:rsidP="00C45CCD">
      <w:pPr>
        <w:numPr>
          <w:ilvl w:val="0"/>
          <w:numId w:val="1"/>
        </w:numPr>
      </w:pPr>
      <w:r w:rsidRPr="00C45CCD">
        <w:rPr>
          <w:b/>
          <w:bCs/>
        </w:rPr>
        <w:t>Access to Essential Private Services:</w:t>
      </w:r>
      <w:r w:rsidRPr="00C45CCD">
        <w:t xml:space="preserve"> The Act explicitly targets AI systems used "to evaluate the creditworthiness of natural persons or establish their credit score". This captures a wide array of core models, including those for mortgage origination, personal loans, and credit card approvals.</w:t>
      </w:r>
    </w:p>
    <w:p w14:paraId="6195B498" w14:textId="77777777" w:rsidR="00C45CCD" w:rsidRPr="00C45CCD" w:rsidRDefault="00C45CCD" w:rsidP="00C45CCD">
      <w:pPr>
        <w:numPr>
          <w:ilvl w:val="0"/>
          <w:numId w:val="1"/>
        </w:numPr>
      </w:pPr>
      <w:r w:rsidRPr="00C45CCD">
        <w:rPr>
          <w:b/>
          <w:bCs/>
        </w:rPr>
        <w:t>Critical Infrastructure:</w:t>
      </w:r>
      <w:r w:rsidRPr="00C45CCD">
        <w:t xml:space="preserve"> Also designated as high-risk are AI systems used as "safety components in the management and operation of critical digital infrastructure". In a banking context, this can include AI managing the stability and security of core banking platforms, high-value payment systems, and advanced cybersecurity threat detection tools.</w:t>
      </w:r>
    </w:p>
    <w:p w14:paraId="473E068E" w14:textId="77777777" w:rsidR="00C45CCD" w:rsidRPr="00C45CCD" w:rsidRDefault="00C45CCD" w:rsidP="00C45CCD">
      <w:r w:rsidRPr="00C45CCD">
        <w:t xml:space="preserve">A crucial distinction is that AI systems "used for the purpose of detecting financial fraud" are explicitly exempted from the "essential services" high-risk category. However, this creates a critical operational boundary, as fraud detection models can still impact a customer's ability to transact. Therefore, institutions must establish and maintain </w:t>
      </w:r>
      <w:r w:rsidRPr="00C45CCD">
        <w:lastRenderedPageBreak/>
        <w:t>rigorously documented "intended purpose" definitions for each model to justify its classification.</w:t>
      </w:r>
    </w:p>
    <w:p w14:paraId="318E5F89" w14:textId="77777777" w:rsidR="00C45CCD" w:rsidRPr="00C45CCD" w:rsidRDefault="00000000" w:rsidP="00C45CCD">
      <w:r>
        <w:pict w14:anchorId="3214C89B">
          <v:rect id="_x0000_i1026" style="width:0;height:1.5pt" o:hralign="center" o:hrstd="t" o:hr="t" fillcolor="#a0a0a0" stroked="f"/>
        </w:pict>
      </w:r>
    </w:p>
    <w:p w14:paraId="3DF3DE77" w14:textId="77777777" w:rsidR="00C45CCD" w:rsidRPr="00C45CCD" w:rsidRDefault="00C45CCD" w:rsidP="00C45CCD">
      <w:pPr>
        <w:rPr>
          <w:b/>
          <w:bCs/>
        </w:rPr>
      </w:pPr>
      <w:r w:rsidRPr="00C45CCD">
        <w:rPr>
          <w:b/>
          <w:bCs/>
        </w:rPr>
        <w:t>Part 2: Impact on Internal Governance and Resiliency Frameworks</w:t>
      </w:r>
    </w:p>
    <w:p w14:paraId="4FAA50F3" w14:textId="77777777" w:rsidR="00C45CCD" w:rsidRPr="00C45CCD" w:rsidRDefault="00C45CCD" w:rsidP="00C45CCD">
      <w:r w:rsidRPr="00C45CCD">
        <w:t xml:space="preserve">The AI Act's mandates require a paradigm shift in how banks govern internal resiliency, moving from a focus on IT uptime to a new concept of </w:t>
      </w:r>
      <w:r w:rsidRPr="00C45CCD">
        <w:rPr>
          <w:b/>
          <w:bCs/>
        </w:rPr>
        <w:t>"model integrity resiliency"</w:t>
      </w:r>
      <w:r w:rsidRPr="00C45CCD">
        <w:t>. An AI system can be fully operational from an IT perspective but be fundamentally non-compliant if it fails to meet the Act's behavioral and governance standards.</w:t>
      </w:r>
    </w:p>
    <w:p w14:paraId="53F04C53" w14:textId="77777777" w:rsidR="00C45CCD" w:rsidRPr="00C45CCD" w:rsidRDefault="00C45CCD" w:rsidP="00C45CCD">
      <w:r w:rsidRPr="00C45CCD">
        <w:t>These standards are built upon new pillars of operational resiliency, primarily detailed in Articles 9 through 15.</w:t>
      </w:r>
    </w:p>
    <w:p w14:paraId="44ACE205" w14:textId="77777777" w:rsidR="00C45CCD" w:rsidRPr="00C45CCD" w:rsidRDefault="00C45CCD" w:rsidP="00C45CCD">
      <w:r w:rsidRPr="00C45CCD">
        <w:rPr>
          <w:b/>
          <w:bCs/>
        </w:rPr>
        <w:t>The New Pillars of AI Resiliency:</w:t>
      </w:r>
    </w:p>
    <w:p w14:paraId="3767B9CD" w14:textId="77777777" w:rsidR="00C45CCD" w:rsidRPr="00C45CCD" w:rsidRDefault="00C45CCD" w:rsidP="00C45CCD">
      <w:pPr>
        <w:numPr>
          <w:ilvl w:val="0"/>
          <w:numId w:val="2"/>
        </w:numPr>
      </w:pPr>
      <w:r w:rsidRPr="00C45CCD">
        <w:rPr>
          <w:b/>
          <w:bCs/>
        </w:rPr>
        <w:t>Accuracy, Robustness, and Cybersecurity (Article 15):</w:t>
      </w:r>
      <w:r w:rsidRPr="00C45CCD">
        <w:t xml:space="preserve"> This is the technical foundation.</w:t>
      </w:r>
    </w:p>
    <w:p w14:paraId="214FBB1A" w14:textId="77777777" w:rsidR="00C45CCD" w:rsidRPr="00C45CCD" w:rsidRDefault="00C45CCD" w:rsidP="00C45CCD">
      <w:pPr>
        <w:numPr>
          <w:ilvl w:val="1"/>
          <w:numId w:val="2"/>
        </w:numPr>
      </w:pPr>
      <w:r w:rsidRPr="00C45CCD">
        <w:rPr>
          <w:b/>
          <w:bCs/>
        </w:rPr>
        <w:t>Accuracy:</w:t>
      </w:r>
      <w:r w:rsidRPr="00C45CCD">
        <w:t xml:space="preserve"> A system's accuracy metrics must be declared in its instructions, creating a benchmark for ongoing performance monitoring.</w:t>
      </w:r>
    </w:p>
    <w:p w14:paraId="0AC98ED1" w14:textId="77777777" w:rsidR="00C45CCD" w:rsidRPr="00C45CCD" w:rsidRDefault="00C45CCD" w:rsidP="00C45CCD">
      <w:pPr>
        <w:numPr>
          <w:ilvl w:val="1"/>
          <w:numId w:val="2"/>
        </w:numPr>
      </w:pPr>
      <w:r w:rsidRPr="00C45CCD">
        <w:rPr>
          <w:b/>
          <w:bCs/>
        </w:rPr>
        <w:t>Robustness:</w:t>
      </w:r>
      <w:r w:rsidRPr="00C45CCD">
        <w:t xml:space="preserve"> Systems must be resilient to errors and faults, with documented fail-safe plans. For adaptive AI, measures are required to prevent biased outputs from creating negative feedback loops.</w:t>
      </w:r>
    </w:p>
    <w:p w14:paraId="7178AE81" w14:textId="77777777" w:rsidR="00C45CCD" w:rsidRPr="00C45CCD" w:rsidRDefault="00C45CCD" w:rsidP="00C45CCD">
      <w:pPr>
        <w:numPr>
          <w:ilvl w:val="1"/>
          <w:numId w:val="2"/>
        </w:numPr>
      </w:pPr>
      <w:r w:rsidRPr="00C45CCD">
        <w:rPr>
          <w:b/>
          <w:bCs/>
        </w:rPr>
        <w:t>Cybersecurity:</w:t>
      </w:r>
      <w:r w:rsidRPr="00C45CCD">
        <w:t xml:space="preserve"> The system must be resilient against unauthorized third parties exploiting vulnerabilities. This specifically includes AI-specific attacks like training data manipulation (data poisoning), model poisoning, and adversarial inputs.</w:t>
      </w:r>
    </w:p>
    <w:p w14:paraId="3DCB8F1D" w14:textId="77777777" w:rsidR="00C45CCD" w:rsidRPr="00C45CCD" w:rsidRDefault="00C45CCD" w:rsidP="00C45CCD">
      <w:pPr>
        <w:numPr>
          <w:ilvl w:val="0"/>
          <w:numId w:val="2"/>
        </w:numPr>
      </w:pPr>
      <w:r w:rsidRPr="00C45CCD">
        <w:rPr>
          <w:b/>
          <w:bCs/>
        </w:rPr>
        <w:t>Risk Management System (Article 9):</w:t>
      </w:r>
      <w:r w:rsidRPr="00C45CCD">
        <w:t xml:space="preserve"> This is not a one-time assessment but a "continuous iterative process" that must run throughout the AI system's entire lifecycle.</w:t>
      </w:r>
    </w:p>
    <w:p w14:paraId="453E15F0" w14:textId="77777777" w:rsidR="00C45CCD" w:rsidRPr="00C45CCD" w:rsidRDefault="00C45CCD" w:rsidP="00C45CCD">
      <w:pPr>
        <w:numPr>
          <w:ilvl w:val="0"/>
          <w:numId w:val="2"/>
        </w:numPr>
      </w:pPr>
      <w:r w:rsidRPr="00C45CCD">
        <w:rPr>
          <w:b/>
          <w:bCs/>
        </w:rPr>
        <w:t>Data and Data Governance (Article 10):</w:t>
      </w:r>
      <w:r w:rsidRPr="00C45CCD">
        <w:t xml:space="preserve"> Training, validation, and testing datasets must be "relevant, representative, free of errors and complete". This requires robust processes to examine and mitigate possible biases that could lead to discriminatory outcomes.</w:t>
      </w:r>
    </w:p>
    <w:p w14:paraId="79DC802F" w14:textId="77777777" w:rsidR="00C45CCD" w:rsidRPr="00C45CCD" w:rsidRDefault="00C45CCD" w:rsidP="00C45CCD">
      <w:pPr>
        <w:numPr>
          <w:ilvl w:val="0"/>
          <w:numId w:val="2"/>
        </w:numPr>
      </w:pPr>
      <w:r w:rsidRPr="00C45CCD">
        <w:rPr>
          <w:b/>
          <w:bCs/>
        </w:rPr>
        <w:t>Record-Keeping and Logging (Articles 12 &amp; 19):</w:t>
      </w:r>
      <w:r w:rsidRPr="00C45CCD">
        <w:t xml:space="preserve"> High-risk systems must be designed to automatically record events ("logs") while in operation to ensure traceability and facilitate post-incident investigation.</w:t>
      </w:r>
    </w:p>
    <w:p w14:paraId="1B2E8FC6" w14:textId="77777777" w:rsidR="00C45CCD" w:rsidRPr="00C45CCD" w:rsidRDefault="00C45CCD" w:rsidP="00C45CCD">
      <w:pPr>
        <w:numPr>
          <w:ilvl w:val="0"/>
          <w:numId w:val="2"/>
        </w:numPr>
      </w:pPr>
      <w:r w:rsidRPr="00C45CCD">
        <w:rPr>
          <w:b/>
          <w:bCs/>
        </w:rPr>
        <w:lastRenderedPageBreak/>
        <w:t>Transparency and Human Oversight (Articles 13 &amp; 14):</w:t>
      </w:r>
      <w:r w:rsidRPr="00C45CCD">
        <w:t xml:space="preserve"> High-risk systems cannot be opaque "black boxes". They must be transparent enough for deployers (the bank) to interpret outputs. Critically, they must be designed for effective human oversight, meaning a designated person can monitor the system and has the authority to "intervene, decide not to use the system's output, or interrupt or disable the system entirely".</w:t>
      </w:r>
    </w:p>
    <w:p w14:paraId="644E6CC7" w14:textId="77777777" w:rsidR="00C45CCD" w:rsidRPr="00C45CCD" w:rsidRDefault="00C45CCD" w:rsidP="00C45CCD">
      <w:r w:rsidRPr="00C45CCD">
        <w:rPr>
          <w:b/>
          <w:bCs/>
        </w:rPr>
        <w:t>Recommendations for Evolving Governance Frameworks:</w:t>
      </w:r>
    </w:p>
    <w:p w14:paraId="2FB003EF" w14:textId="77777777" w:rsidR="00C45CCD" w:rsidRPr="00C45CCD" w:rsidRDefault="00C45CCD" w:rsidP="00C45CCD">
      <w:r w:rsidRPr="00C45CCD">
        <w:t>The briefing provides specific recommendations for adapting the bank's three lines of defense to meet these new resiliency mandates.</w:t>
      </w:r>
    </w:p>
    <w:p w14:paraId="0E93A20C" w14:textId="77777777" w:rsidR="00C45CCD" w:rsidRPr="00C45CCD" w:rsidRDefault="00C45CCD" w:rsidP="00C45CCD">
      <w:pPr>
        <w:numPr>
          <w:ilvl w:val="0"/>
          <w:numId w:val="3"/>
        </w:numPr>
      </w:pPr>
      <w:r w:rsidRPr="00C45CCD">
        <w:rPr>
          <w:b/>
          <w:bCs/>
        </w:rPr>
        <w:t>The Evolution of Model Risk Management (MRM):</w:t>
      </w:r>
    </w:p>
    <w:p w14:paraId="50BC5F01" w14:textId="77777777" w:rsidR="00C45CCD" w:rsidRPr="00C45CCD" w:rsidRDefault="00C45CCD" w:rsidP="00C45CCD">
      <w:pPr>
        <w:numPr>
          <w:ilvl w:val="1"/>
          <w:numId w:val="3"/>
        </w:numPr>
      </w:pPr>
      <w:r w:rsidRPr="00C45CCD">
        <w:rPr>
          <w:b/>
          <w:bCs/>
        </w:rPr>
        <w:t>The Problem:</w:t>
      </w:r>
      <w:r w:rsidRPr="00C45CCD">
        <w:t xml:space="preserve"> Traditional MRM focuses heavily on </w:t>
      </w:r>
      <w:r w:rsidRPr="00C45CCD">
        <w:rPr>
          <w:i/>
          <w:iCs/>
        </w:rPr>
        <w:t>ex-ante</w:t>
      </w:r>
      <w:r w:rsidRPr="00C45CCD">
        <w:t xml:space="preserve"> (pre-deployment) validation. This is "no longer sufficient" because AI models can "drift" over time as they encounter new data, rendering the initial validation obsolete.</w:t>
      </w:r>
    </w:p>
    <w:p w14:paraId="65958F7D" w14:textId="77777777" w:rsidR="00C45CCD" w:rsidRPr="00C45CCD" w:rsidRDefault="00C45CCD" w:rsidP="00C45CCD">
      <w:pPr>
        <w:numPr>
          <w:ilvl w:val="1"/>
          <w:numId w:val="3"/>
        </w:numPr>
      </w:pPr>
      <w:r w:rsidRPr="00C45CCD">
        <w:rPr>
          <w:b/>
          <w:bCs/>
        </w:rPr>
        <w:t>The Solution:</w:t>
      </w:r>
      <w:r w:rsidRPr="00C45CCD">
        <w:t xml:space="preserve"> The Act compels a shift to </w:t>
      </w:r>
      <w:r w:rsidRPr="00C45CCD">
        <w:rPr>
          <w:i/>
          <w:iCs/>
        </w:rPr>
        <w:t>ex-post</w:t>
      </w:r>
      <w:r w:rsidRPr="00C45CCD">
        <w:t xml:space="preserve"> risk management and continuous monitoring. MRM teams must expand their mandate from a "pre-deployment gatekeeper to a lifecycle supervisor".</w:t>
      </w:r>
    </w:p>
    <w:p w14:paraId="35AE9E5B" w14:textId="77777777" w:rsidR="00C45CCD" w:rsidRPr="00C45CCD" w:rsidRDefault="00C45CCD" w:rsidP="00C45CCD">
      <w:pPr>
        <w:numPr>
          <w:ilvl w:val="1"/>
          <w:numId w:val="3"/>
        </w:numPr>
      </w:pPr>
      <w:r w:rsidRPr="00C45CCD">
        <w:rPr>
          <w:b/>
          <w:bCs/>
        </w:rPr>
        <w:t>Recommendations:</w:t>
      </w:r>
    </w:p>
    <w:p w14:paraId="06FDCAC6" w14:textId="77777777" w:rsidR="00C45CCD" w:rsidRPr="00C45CCD" w:rsidRDefault="00C45CCD" w:rsidP="00C45CCD">
      <w:pPr>
        <w:numPr>
          <w:ilvl w:val="2"/>
          <w:numId w:val="3"/>
        </w:numPr>
      </w:pPr>
      <w:r w:rsidRPr="00C45CCD">
        <w:t>Develop new tools for real-time performance monitoring, ongoing bias testing, and continuous validation.</w:t>
      </w:r>
    </w:p>
    <w:p w14:paraId="5158CCDE" w14:textId="77777777" w:rsidR="00C45CCD" w:rsidRPr="00C45CCD" w:rsidRDefault="00C45CCD" w:rsidP="00C45CCD">
      <w:pPr>
        <w:numPr>
          <w:ilvl w:val="2"/>
          <w:numId w:val="3"/>
        </w:numPr>
      </w:pPr>
      <w:r w:rsidRPr="00C45CCD">
        <w:t>Update MRM policies to define clear thresholds for performance degradation or data drift that automatically trigger a formal model review, re-validation, or deactivation.</w:t>
      </w:r>
    </w:p>
    <w:p w14:paraId="56B850AA" w14:textId="77777777" w:rsidR="00C45CCD" w:rsidRPr="00C45CCD" w:rsidRDefault="00C45CCD" w:rsidP="00C45CCD">
      <w:pPr>
        <w:numPr>
          <w:ilvl w:val="2"/>
          <w:numId w:val="3"/>
        </w:numPr>
      </w:pPr>
      <w:r w:rsidRPr="00C45CCD">
        <w:t>Invest in talent and "AI literacy" for MRM staff, as the skills needed to monitor adaptive AI are distinct from traditional quantitative analysis.</w:t>
      </w:r>
    </w:p>
    <w:p w14:paraId="77FB78CC" w14:textId="77777777" w:rsidR="00C45CCD" w:rsidRPr="00C45CCD" w:rsidRDefault="00C45CCD" w:rsidP="00C45CCD">
      <w:pPr>
        <w:numPr>
          <w:ilvl w:val="0"/>
          <w:numId w:val="3"/>
        </w:numPr>
      </w:pPr>
      <w:r w:rsidRPr="00C45CCD">
        <w:rPr>
          <w:b/>
          <w:bCs/>
        </w:rPr>
        <w:t>Third-Party Risk Management (TPRM) for the AI Supply Chain:</w:t>
      </w:r>
    </w:p>
    <w:p w14:paraId="055631A9" w14:textId="77777777" w:rsidR="00C45CCD" w:rsidRPr="00C45CCD" w:rsidRDefault="00C45CCD" w:rsidP="00C45CCD">
      <w:pPr>
        <w:numPr>
          <w:ilvl w:val="1"/>
          <w:numId w:val="3"/>
        </w:numPr>
      </w:pPr>
      <w:r w:rsidRPr="00C45CCD">
        <w:rPr>
          <w:b/>
          <w:bCs/>
        </w:rPr>
        <w:t>The Problem:</w:t>
      </w:r>
      <w:r w:rsidRPr="00C45CCD">
        <w:t xml:space="preserve"> Banks acting as "deployers" of AI from third-party vendors cannot "outsource its compliance obligations". Responsibility is shared across the value chain.</w:t>
      </w:r>
    </w:p>
    <w:p w14:paraId="56BBC422" w14:textId="77777777" w:rsidR="00C45CCD" w:rsidRPr="00C45CCD" w:rsidRDefault="00C45CCD" w:rsidP="00C45CCD">
      <w:pPr>
        <w:numPr>
          <w:ilvl w:val="1"/>
          <w:numId w:val="3"/>
        </w:numPr>
      </w:pPr>
      <w:r w:rsidRPr="00C45CCD">
        <w:rPr>
          <w:b/>
          <w:bCs/>
        </w:rPr>
        <w:t>The Solution:</w:t>
      </w:r>
      <w:r w:rsidRPr="00C45CCD">
        <w:t xml:space="preserve"> TPRM frameworks must be augmented to handle AI-specific risks.</w:t>
      </w:r>
    </w:p>
    <w:p w14:paraId="7C603ED7" w14:textId="77777777" w:rsidR="00C45CCD" w:rsidRPr="00C45CCD" w:rsidRDefault="00C45CCD" w:rsidP="00C45CCD">
      <w:pPr>
        <w:numPr>
          <w:ilvl w:val="1"/>
          <w:numId w:val="3"/>
        </w:numPr>
      </w:pPr>
      <w:r w:rsidRPr="00C45CCD">
        <w:rPr>
          <w:b/>
          <w:bCs/>
        </w:rPr>
        <w:t>Recommendations:</w:t>
      </w:r>
    </w:p>
    <w:p w14:paraId="1357ACED" w14:textId="77777777" w:rsidR="00C45CCD" w:rsidRPr="00C45CCD" w:rsidRDefault="00C45CCD" w:rsidP="00C45CCD">
      <w:pPr>
        <w:numPr>
          <w:ilvl w:val="2"/>
          <w:numId w:val="3"/>
        </w:numPr>
      </w:pPr>
      <w:r w:rsidRPr="00C45CCD">
        <w:lastRenderedPageBreak/>
        <w:t>Vendor due diligence must now include a deep dive into the provider's own compliance with the AI Act.</w:t>
      </w:r>
    </w:p>
    <w:p w14:paraId="2591CC74" w14:textId="77777777" w:rsidR="00C45CCD" w:rsidRPr="00C45CCD" w:rsidRDefault="00C45CCD" w:rsidP="00C45CCD">
      <w:pPr>
        <w:numPr>
          <w:ilvl w:val="2"/>
          <w:numId w:val="3"/>
        </w:numPr>
      </w:pPr>
      <w:r w:rsidRPr="00C45CCD">
        <w:t xml:space="preserve">Contracts must be overhauled to include explicit clauses that: allocate compliance </w:t>
      </w:r>
      <w:proofErr w:type="gramStart"/>
      <w:r w:rsidRPr="00C45CCD">
        <w:t>responsibilities ;</w:t>
      </w:r>
      <w:proofErr w:type="gramEnd"/>
      <w:r w:rsidRPr="00C45CCD">
        <w:t xml:space="preserve"> guarantee the bank access to all technical documentation ; provide robust rights to audit and test the vendor's AI ; and establish clear protocols for incident reporting.</w:t>
      </w:r>
    </w:p>
    <w:p w14:paraId="655D3523" w14:textId="77777777" w:rsidR="00C45CCD" w:rsidRPr="00C45CCD" w:rsidRDefault="00C45CCD" w:rsidP="00C45CCD">
      <w:pPr>
        <w:numPr>
          <w:ilvl w:val="0"/>
          <w:numId w:val="3"/>
        </w:numPr>
      </w:pPr>
      <w:r w:rsidRPr="00C45CCD">
        <w:rPr>
          <w:b/>
          <w:bCs/>
        </w:rPr>
        <w:t>Internal Audit and Compliance:</w:t>
      </w:r>
    </w:p>
    <w:p w14:paraId="43CC65FE" w14:textId="77777777" w:rsidR="00C45CCD" w:rsidRPr="00C45CCD" w:rsidRDefault="00C45CCD" w:rsidP="00C45CCD">
      <w:pPr>
        <w:numPr>
          <w:ilvl w:val="1"/>
          <w:numId w:val="3"/>
        </w:numPr>
      </w:pPr>
      <w:r w:rsidRPr="00C45CCD">
        <w:rPr>
          <w:b/>
          <w:bCs/>
        </w:rPr>
        <w:t>The Problem:</w:t>
      </w:r>
      <w:r w:rsidRPr="00C45CCD">
        <w:t xml:space="preserve"> The second and third lines must provide independent assurance over this new, complex risk domain.</w:t>
      </w:r>
    </w:p>
    <w:p w14:paraId="137198CB" w14:textId="77777777" w:rsidR="00C45CCD" w:rsidRPr="00C45CCD" w:rsidRDefault="00C45CCD" w:rsidP="00C45CCD">
      <w:pPr>
        <w:numPr>
          <w:ilvl w:val="1"/>
          <w:numId w:val="3"/>
        </w:numPr>
      </w:pPr>
      <w:r w:rsidRPr="00C45CCD">
        <w:rPr>
          <w:b/>
          <w:bCs/>
        </w:rPr>
        <w:t>The Solution:</w:t>
      </w:r>
      <w:r w:rsidRPr="00C45CCD">
        <w:t xml:space="preserve"> These functions must develop new, specialized programs.</w:t>
      </w:r>
    </w:p>
    <w:p w14:paraId="07FF5D38" w14:textId="77777777" w:rsidR="00C45CCD" w:rsidRPr="00C45CCD" w:rsidRDefault="00C45CCD" w:rsidP="00C45CCD">
      <w:pPr>
        <w:numPr>
          <w:ilvl w:val="1"/>
          <w:numId w:val="3"/>
        </w:numPr>
      </w:pPr>
      <w:r w:rsidRPr="00C45CCD">
        <w:rPr>
          <w:b/>
          <w:bCs/>
        </w:rPr>
        <w:t>Recommendations:</w:t>
      </w:r>
    </w:p>
    <w:p w14:paraId="6AA7ED08" w14:textId="77777777" w:rsidR="00C45CCD" w:rsidRPr="00C45CCD" w:rsidRDefault="00C45CCD" w:rsidP="00C45CCD">
      <w:pPr>
        <w:numPr>
          <w:ilvl w:val="2"/>
          <w:numId w:val="3"/>
        </w:numPr>
      </w:pPr>
      <w:r w:rsidRPr="00C45CCD">
        <w:t>Compliance must integrate AI Act requirements into the enterprise-wide compliance risk program, including developing new policies and training.</w:t>
      </w:r>
    </w:p>
    <w:p w14:paraId="473D34E1" w14:textId="77777777" w:rsidR="00C45CCD" w:rsidRPr="00C45CCD" w:rsidRDefault="00C45CCD" w:rsidP="00C45CCD">
      <w:pPr>
        <w:numPr>
          <w:ilvl w:val="2"/>
          <w:numId w:val="3"/>
        </w:numPr>
      </w:pPr>
      <w:r w:rsidRPr="00C45CCD">
        <w:t>Internal Audit must design and execute a new, specialized audit program focused on AI risk. This program must independently test the effectiveness of the updated MRM framework, TPRM controls, and, critically, the "real-world efficacy of human oversight mechanisms".</w:t>
      </w:r>
    </w:p>
    <w:p w14:paraId="122287F0" w14:textId="77777777" w:rsidR="00C45CCD" w:rsidRPr="00C45CCD" w:rsidRDefault="00C45CCD" w:rsidP="00C45CCD">
      <w:pPr>
        <w:numPr>
          <w:ilvl w:val="0"/>
          <w:numId w:val="3"/>
        </w:numPr>
      </w:pPr>
      <w:r w:rsidRPr="00C45CCD">
        <w:rPr>
          <w:b/>
          <w:bCs/>
        </w:rPr>
        <w:t>The DORA-AI Act Nexus (A Unified Approach):</w:t>
      </w:r>
    </w:p>
    <w:p w14:paraId="51C5C0C0" w14:textId="77777777" w:rsidR="00C45CCD" w:rsidRPr="00C45CCD" w:rsidRDefault="00C45CCD" w:rsidP="00C45CCD">
      <w:pPr>
        <w:numPr>
          <w:ilvl w:val="1"/>
          <w:numId w:val="3"/>
        </w:numPr>
      </w:pPr>
      <w:r w:rsidRPr="00C45CCD">
        <w:t>A critical insight is the relationship between the AI Act and the Digital Operational Resilience Act (DORA). They are "complementary, not duplicative".</w:t>
      </w:r>
    </w:p>
    <w:p w14:paraId="2A80794B" w14:textId="77777777" w:rsidR="00C45CCD" w:rsidRPr="00C45CCD" w:rsidRDefault="00C45CCD" w:rsidP="00C45CCD">
      <w:pPr>
        <w:numPr>
          <w:ilvl w:val="1"/>
          <w:numId w:val="3"/>
        </w:numPr>
      </w:pPr>
      <w:r w:rsidRPr="00C45CCD">
        <w:rPr>
          <w:b/>
          <w:bCs/>
        </w:rPr>
        <w:t>DORA</w:t>
      </w:r>
      <w:r w:rsidRPr="00C45CCD">
        <w:t xml:space="preserve"> ensures the resilience of the </w:t>
      </w:r>
      <w:r w:rsidRPr="00C45CCD">
        <w:rPr>
          <w:i/>
          <w:iCs/>
        </w:rPr>
        <w:t>underlying ICT infrastructure</w:t>
      </w:r>
      <w:r w:rsidRPr="00C45CCD">
        <w:t xml:space="preserve"> (e.g., servers, networks).</w:t>
      </w:r>
    </w:p>
    <w:p w14:paraId="1DB9E92C" w14:textId="77777777" w:rsidR="00C45CCD" w:rsidRPr="00C45CCD" w:rsidRDefault="00C45CCD" w:rsidP="00C45CCD">
      <w:pPr>
        <w:numPr>
          <w:ilvl w:val="1"/>
          <w:numId w:val="3"/>
        </w:numPr>
      </w:pPr>
      <w:r w:rsidRPr="00C45CCD">
        <w:rPr>
          <w:b/>
          <w:bCs/>
        </w:rPr>
        <w:t>The AI Act</w:t>
      </w:r>
      <w:r w:rsidRPr="00C45CCD">
        <w:t xml:space="preserve"> ensures the resilience of the </w:t>
      </w:r>
      <w:r w:rsidRPr="00C45CCD">
        <w:rPr>
          <w:i/>
          <w:iCs/>
        </w:rPr>
        <w:t>AI model itself</w:t>
      </w:r>
      <w:r w:rsidRPr="00C45CCD">
        <w:t>—its logic, its data, and its outputs.</w:t>
      </w:r>
    </w:p>
    <w:p w14:paraId="0032F5EF" w14:textId="77777777" w:rsidR="00C45CCD" w:rsidRPr="00C45CCD" w:rsidRDefault="00C45CCD" w:rsidP="00C45CCD">
      <w:pPr>
        <w:numPr>
          <w:ilvl w:val="1"/>
          <w:numId w:val="3"/>
        </w:numPr>
      </w:pPr>
      <w:r w:rsidRPr="00C45CCD">
        <w:rPr>
          <w:i/>
          <w:iCs/>
        </w:rPr>
        <w:t>Key Example:</w:t>
      </w:r>
      <w:r w:rsidRPr="00C45CCD">
        <w:t xml:space="preserve"> A bank could be fully DORA-compliant but fail its AI Act obligations if a cyber-attack successfully poisons its training data without causing a system outage.</w:t>
      </w:r>
    </w:p>
    <w:p w14:paraId="3E118719" w14:textId="77777777" w:rsidR="00C45CCD" w:rsidRPr="00C45CCD" w:rsidRDefault="00C45CCD" w:rsidP="00C45CCD">
      <w:pPr>
        <w:numPr>
          <w:ilvl w:val="1"/>
          <w:numId w:val="3"/>
        </w:numPr>
      </w:pPr>
      <w:r w:rsidRPr="00C45CCD">
        <w:rPr>
          <w:b/>
          <w:bCs/>
        </w:rPr>
        <w:t>Recommendation:</w:t>
      </w:r>
      <w:r w:rsidRPr="00C45CCD">
        <w:t xml:space="preserve"> Banks should establish a cross-functional </w:t>
      </w:r>
      <w:r w:rsidRPr="00C45CCD">
        <w:rPr>
          <w:b/>
          <w:bCs/>
        </w:rPr>
        <w:t>AI Governance Council</w:t>
      </w:r>
      <w:r w:rsidRPr="00C45CCD">
        <w:t xml:space="preserve"> with senior representation from MRM, TPRM, </w:t>
      </w:r>
      <w:r w:rsidRPr="00C45CCD">
        <w:lastRenderedPageBreak/>
        <w:t>Cybersecurity, Data Governance, IT, Legal, and Compliance to break down traditional silos and provide holistic oversight.</w:t>
      </w:r>
    </w:p>
    <w:p w14:paraId="4178A98B" w14:textId="77777777" w:rsidR="00C45CCD" w:rsidRPr="00C45CCD" w:rsidRDefault="00000000" w:rsidP="00C45CCD">
      <w:r>
        <w:pict w14:anchorId="6260BA33">
          <v:rect id="_x0000_i1027" style="width:0;height:1.5pt" o:hralign="center" o:hrstd="t" o:hr="t" fillcolor="#a0a0a0" stroked="f"/>
        </w:pict>
      </w:r>
    </w:p>
    <w:p w14:paraId="4D0D0B18" w14:textId="77777777" w:rsidR="00C45CCD" w:rsidRPr="00C45CCD" w:rsidRDefault="00C45CCD" w:rsidP="00C45CCD">
      <w:pPr>
        <w:rPr>
          <w:b/>
          <w:bCs/>
        </w:rPr>
      </w:pPr>
      <w:r w:rsidRPr="00C45CCD">
        <w:rPr>
          <w:b/>
          <w:bCs/>
        </w:rPr>
        <w:t>Part 3: Extraterritorial Impact on US-Based Operations</w:t>
      </w:r>
    </w:p>
    <w:p w14:paraId="086F6A25" w14:textId="77777777" w:rsidR="00C45CCD" w:rsidRPr="00C45CCD" w:rsidRDefault="00C45CCD" w:rsidP="00C45CCD">
      <w:r w:rsidRPr="00C45CCD">
        <w:t>The EU AI Act is designed with a significant extraterritorial scope, which has direct and unavoidable consequences for the US-based legal entities and operations of multinational banks.</w:t>
      </w:r>
    </w:p>
    <w:p w14:paraId="3547B96D" w14:textId="77777777" w:rsidR="00C45CCD" w:rsidRPr="00C45CCD" w:rsidRDefault="00C45CCD" w:rsidP="00C45CCD">
      <w:r w:rsidRPr="00C45CCD">
        <w:rPr>
          <w:b/>
          <w:bCs/>
        </w:rPr>
        <w:t>The "Use of Output" Trigger:</w:t>
      </w:r>
    </w:p>
    <w:p w14:paraId="1BA155FA" w14:textId="77777777" w:rsidR="00C45CCD" w:rsidRPr="00C45CCD" w:rsidRDefault="00C45CCD" w:rsidP="00C45CCD">
      <w:r w:rsidRPr="00C45CCD">
        <w:t>The critical trigger for the Act's application is found in Article 2. The regulation applies to providers and deployers in a third country (like the US) "where the output produced by the AI system is used in the Union".</w:t>
      </w:r>
    </w:p>
    <w:p w14:paraId="176C2752" w14:textId="77777777" w:rsidR="00C45CCD" w:rsidRPr="00C45CCD" w:rsidRDefault="00C45CCD" w:rsidP="00C45CCD">
      <w:r w:rsidRPr="00C45CCD">
        <w:t>The document provides a clear scenario analysis of this impact:</w:t>
      </w:r>
    </w:p>
    <w:p w14:paraId="2B2D43EA" w14:textId="77777777" w:rsidR="00C45CCD" w:rsidRPr="00C45CCD" w:rsidRDefault="00C45CCD" w:rsidP="00C45CCD">
      <w:pPr>
        <w:numPr>
          <w:ilvl w:val="0"/>
          <w:numId w:val="4"/>
        </w:numPr>
      </w:pPr>
      <w:r w:rsidRPr="00C45CCD">
        <w:rPr>
          <w:b/>
          <w:bCs/>
        </w:rPr>
        <w:t>Scenario:</w:t>
      </w:r>
      <w:r w:rsidRPr="00C45CCD">
        <w:t xml:space="preserve"> A US-based entity develops and hosts a credit scoring model on US servers. An EU-based branch of the bank uses the scores or decisions from that model to underwrite loans for EU clients.</w:t>
      </w:r>
    </w:p>
    <w:p w14:paraId="02933AA8" w14:textId="77777777" w:rsidR="00C45CCD" w:rsidRPr="00C45CCD" w:rsidRDefault="00C45CCD" w:rsidP="00C45CCD">
      <w:pPr>
        <w:numPr>
          <w:ilvl w:val="0"/>
          <w:numId w:val="4"/>
        </w:numPr>
      </w:pPr>
      <w:r w:rsidRPr="00C45CCD">
        <w:rPr>
          <w:b/>
          <w:bCs/>
        </w:rPr>
        <w:t>Consequence 1: The US Entity is a "Provider".</w:t>
      </w:r>
      <w:r w:rsidRPr="00C45CCD">
        <w:t xml:space="preserve"> In this situation, the US entity is legally defined as a "provider" of a high-risk AI system. The physical location of the development team and the hardware is "irrelevant".</w:t>
      </w:r>
    </w:p>
    <w:p w14:paraId="653DFFEB" w14:textId="77777777" w:rsidR="00C45CCD" w:rsidRPr="00C45CCD" w:rsidRDefault="00C45CCD" w:rsidP="00C45CCD">
      <w:pPr>
        <w:numPr>
          <w:ilvl w:val="0"/>
          <w:numId w:val="4"/>
        </w:numPr>
      </w:pPr>
      <w:r w:rsidRPr="00C45CCD">
        <w:rPr>
          <w:b/>
          <w:bCs/>
        </w:rPr>
        <w:t>Consequence 2: Full Compliance is Required.</w:t>
      </w:r>
      <w:r w:rsidRPr="00C45CCD">
        <w:t xml:space="preserve"> The US entity must comply with </w:t>
      </w:r>
      <w:r w:rsidRPr="00C45CCD">
        <w:rPr>
          <w:i/>
          <w:iCs/>
        </w:rPr>
        <w:t>all</w:t>
      </w:r>
      <w:r w:rsidRPr="00C45CCD">
        <w:t xml:space="preserve"> provider obligations under the Act. This includes conducting a conformity assessment, preparing extensive technical documentation, establishing a quality management system, and registering the system in the central EU database.</w:t>
      </w:r>
    </w:p>
    <w:p w14:paraId="168FBFC1" w14:textId="77777777" w:rsidR="00C45CCD" w:rsidRPr="00C45CCD" w:rsidRDefault="00C45CCD" w:rsidP="00C45CCD">
      <w:pPr>
        <w:numPr>
          <w:ilvl w:val="0"/>
          <w:numId w:val="4"/>
        </w:numPr>
      </w:pPr>
      <w:r w:rsidRPr="00C45CCD">
        <w:rPr>
          <w:b/>
          <w:bCs/>
        </w:rPr>
        <w:t xml:space="preserve">Consequence 3: An EU-Based </w:t>
      </w:r>
      <w:proofErr w:type="spellStart"/>
      <w:r w:rsidRPr="00C45CCD">
        <w:rPr>
          <w:b/>
          <w:bCs/>
        </w:rPr>
        <w:t>Authorised</w:t>
      </w:r>
      <w:proofErr w:type="spellEnd"/>
      <w:r w:rsidRPr="00C45CCD">
        <w:rPr>
          <w:b/>
          <w:bCs/>
        </w:rPr>
        <w:t xml:space="preserve"> Representative is Mandatory.</w:t>
      </w:r>
      <w:r w:rsidRPr="00C45CCD">
        <w:t xml:space="preserve"> As a provider not established in the EU, the US entity is legally required under Article 22 to appoint an EU-based "</w:t>
      </w:r>
      <w:proofErr w:type="spellStart"/>
      <w:r w:rsidRPr="00C45CCD">
        <w:t>authorised</w:t>
      </w:r>
      <w:proofErr w:type="spellEnd"/>
      <w:r w:rsidRPr="00C45CCD">
        <w:t xml:space="preserve"> representative". This is not a "mere mailbox" role. This representative is the designated point of contact for EU supervisory authorities and is legally responsible for verifying the provider's compliance documentation. This representative can also terminate their mandate and inform regulators if they believe the US provider is non-compliant.</w:t>
      </w:r>
    </w:p>
    <w:p w14:paraId="23BC1061" w14:textId="77777777" w:rsidR="00C45CCD" w:rsidRPr="00C45CCD" w:rsidRDefault="00C45CCD" w:rsidP="00C45CCD">
      <w:r w:rsidRPr="00C45CCD">
        <w:rPr>
          <w:b/>
          <w:bCs/>
        </w:rPr>
        <w:t>Impact on Global Data:</w:t>
      </w:r>
    </w:p>
    <w:p w14:paraId="00CD14BC" w14:textId="77777777" w:rsidR="00C45CCD" w:rsidRPr="00C45CCD" w:rsidRDefault="00C45CCD" w:rsidP="00C45CCD">
      <w:r w:rsidRPr="00C45CCD">
        <w:t xml:space="preserve">The Act's trigger is the </w:t>
      </w:r>
      <w:r w:rsidRPr="00C45CCD">
        <w:rPr>
          <w:i/>
          <w:iCs/>
        </w:rPr>
        <w:t>use of the output</w:t>
      </w:r>
      <w:r w:rsidRPr="00C45CCD">
        <w:t xml:space="preserve"> in the EU, not the geographic origin of the training data. However, if a model's output is used in the EU (making it high-risk), then the stringent </w:t>
      </w:r>
      <w:r w:rsidRPr="00C45CCD">
        <w:lastRenderedPageBreak/>
        <w:t xml:space="preserve">data governance requirements of Article 10 apply to the </w:t>
      </w:r>
      <w:r w:rsidRPr="00C45CCD">
        <w:rPr>
          <w:i/>
          <w:iCs/>
        </w:rPr>
        <w:t>entire</w:t>
      </w:r>
      <w:r w:rsidRPr="00C45CCD">
        <w:t xml:space="preserve"> dataset used for training, validation, and testing. The bank must be able to demonstrate that its global dataset is "relevant, representative" and has been examined for biases that could affect EU citizens.</w:t>
      </w:r>
    </w:p>
    <w:p w14:paraId="56A12C50" w14:textId="77777777" w:rsidR="00C45CCD" w:rsidRPr="00C45CCD" w:rsidRDefault="00C45CCD" w:rsidP="00C45CCD">
      <w:r w:rsidRPr="00C45CCD">
        <w:rPr>
          <w:b/>
          <w:bCs/>
        </w:rPr>
        <w:t>The "Brussels Effect" and Transatlantic Compliance:</w:t>
      </w:r>
    </w:p>
    <w:p w14:paraId="002DE5DD" w14:textId="77777777" w:rsidR="00C45CCD" w:rsidRPr="00C45CCD" w:rsidRDefault="00C45CCD" w:rsidP="00C45CCD">
      <w:r w:rsidRPr="00C45CCD">
        <w:t>The document concludes that the operational reality for multinational banks is that "maintaining two divergent and costly governance frameworks for AI is untenable". The most prudent and efficient path forward is to adopt the high standards of the EU AI Act as the "global baseline" for all high-risk systems, an example of the "Brussels Effect".</w:t>
      </w:r>
    </w:p>
    <w:p w14:paraId="7BD80455" w14:textId="77777777" w:rsidR="00C45CCD" w:rsidRPr="00C45CCD" w:rsidRDefault="00C45CCD" w:rsidP="00C45CCD">
      <w:r w:rsidRPr="00C45CCD">
        <w:t xml:space="preserve">To manage this, the briefing recommends a </w:t>
      </w:r>
      <w:r w:rsidRPr="00C45CCD">
        <w:rPr>
          <w:b/>
          <w:bCs/>
        </w:rPr>
        <w:t>Framework for Transatlantic Compliance Coordination</w:t>
      </w:r>
      <w:r w:rsidRPr="00C45CCD">
        <w:t>:</w:t>
      </w:r>
    </w:p>
    <w:p w14:paraId="292B21CD" w14:textId="77777777" w:rsidR="00C45CCD" w:rsidRPr="00C45CCD" w:rsidRDefault="00C45CCD" w:rsidP="00C45CCD">
      <w:pPr>
        <w:numPr>
          <w:ilvl w:val="0"/>
          <w:numId w:val="5"/>
        </w:numPr>
      </w:pPr>
      <w:r w:rsidRPr="00C45CCD">
        <w:rPr>
          <w:b/>
          <w:bCs/>
        </w:rPr>
        <w:t>Centralized AI Governance:</w:t>
      </w:r>
      <w:r w:rsidRPr="00C45CCD">
        <w:t xml:space="preserve"> Establish a single, enterprise-wide AI governance body with senior representation from both US and EU legal, compliance, risk, and technology functions.</w:t>
      </w:r>
    </w:p>
    <w:p w14:paraId="76BC6D24" w14:textId="77777777" w:rsidR="00C45CCD" w:rsidRPr="00C45CCD" w:rsidRDefault="00C45CCD" w:rsidP="00C45CCD">
      <w:pPr>
        <w:numPr>
          <w:ilvl w:val="0"/>
          <w:numId w:val="5"/>
        </w:numPr>
      </w:pPr>
      <w:r w:rsidRPr="00C45CCD">
        <w:rPr>
          <w:b/>
          <w:bCs/>
        </w:rPr>
        <w:t>Unified AI Inventory:</w:t>
      </w:r>
      <w:r w:rsidRPr="00C45CCD">
        <w:t xml:space="preserve"> The AI inventory and risk classification process must be global in scope to ensure a single, high standard of governance is applied everywhere.</w:t>
      </w:r>
    </w:p>
    <w:p w14:paraId="35B3FCB5" w14:textId="77777777" w:rsidR="00C45CCD" w:rsidRPr="00C45CCD" w:rsidRDefault="00C45CCD" w:rsidP="00C45CCD">
      <w:pPr>
        <w:numPr>
          <w:ilvl w:val="0"/>
          <w:numId w:val="5"/>
        </w:numPr>
      </w:pPr>
      <w:r w:rsidRPr="00C45CCD">
        <w:rPr>
          <w:b/>
          <w:bCs/>
        </w:rPr>
        <w:t xml:space="preserve">Empower the </w:t>
      </w:r>
      <w:proofErr w:type="spellStart"/>
      <w:r w:rsidRPr="00C45CCD">
        <w:rPr>
          <w:b/>
          <w:bCs/>
        </w:rPr>
        <w:t>Authorised</w:t>
      </w:r>
      <w:proofErr w:type="spellEnd"/>
      <w:r w:rsidRPr="00C45CCD">
        <w:rPr>
          <w:b/>
          <w:bCs/>
        </w:rPr>
        <w:t xml:space="preserve"> Representative:</w:t>
      </w:r>
      <w:r w:rsidRPr="00C45CCD">
        <w:t xml:space="preserve"> US-based legal and development teams must establish clear, documented communication workflows with their EU-based representative to ensure they can fulfill their legal duties.</w:t>
      </w:r>
    </w:p>
    <w:p w14:paraId="54F284B1" w14:textId="77777777" w:rsidR="00C45CCD" w:rsidRPr="00C45CCD" w:rsidRDefault="00000000" w:rsidP="00C45CCD">
      <w:r>
        <w:pict w14:anchorId="33D412D7">
          <v:rect id="_x0000_i1028" style="width:0;height:1.5pt" o:hralign="center" o:hrstd="t" o:hr="t" fillcolor="#a0a0a0" stroked="f"/>
        </w:pict>
      </w:r>
    </w:p>
    <w:p w14:paraId="76D96B71" w14:textId="77777777" w:rsidR="00C45CCD" w:rsidRPr="00C45CCD" w:rsidRDefault="00C45CCD" w:rsidP="00C45CCD">
      <w:pPr>
        <w:rPr>
          <w:b/>
          <w:bCs/>
        </w:rPr>
      </w:pPr>
      <w:r w:rsidRPr="00C45CCD">
        <w:rPr>
          <w:b/>
          <w:bCs/>
        </w:rPr>
        <w:t>Part 4: Conclusion and Strategic Roadmap</w:t>
      </w:r>
    </w:p>
    <w:p w14:paraId="0DFBB288" w14:textId="77777777" w:rsidR="00C45CCD" w:rsidRPr="00C45CCD" w:rsidRDefault="00C45CCD" w:rsidP="00C45CCD">
      <w:r w:rsidRPr="00C45CCD">
        <w:t>The briefing concludes that the AI Act is a paradigm-shifting regulation that moves AI management from "a set of best practices to a domain of hard legal requirements". It outlines a phased compliance roadmap and specific imperatives for senior leadership.</w:t>
      </w:r>
    </w:p>
    <w:p w14:paraId="0BFCD537" w14:textId="77777777" w:rsidR="00C45CCD" w:rsidRPr="00C45CCD" w:rsidRDefault="00C45CCD" w:rsidP="00C45CCD">
      <w:r w:rsidRPr="00C45CCD">
        <w:rPr>
          <w:b/>
          <w:bCs/>
        </w:rPr>
        <w:t>Phased Compliance Roadmap:</w:t>
      </w:r>
    </w:p>
    <w:p w14:paraId="7D8C4F3B" w14:textId="77777777" w:rsidR="00C45CCD" w:rsidRPr="00C45CCD" w:rsidRDefault="00C45CCD" w:rsidP="00C45CCD">
      <w:pPr>
        <w:numPr>
          <w:ilvl w:val="0"/>
          <w:numId w:val="6"/>
        </w:numPr>
      </w:pPr>
      <w:r w:rsidRPr="00C45CCD">
        <w:rPr>
          <w:b/>
          <w:bCs/>
        </w:rPr>
        <w:t>Phase 1: Foundation and Scoping (0-6 Months):</w:t>
      </w:r>
      <w:r w:rsidRPr="00C45CCD">
        <w:t xml:space="preserve"> Establish the AI Governance </w:t>
      </w:r>
      <w:proofErr w:type="gramStart"/>
      <w:r w:rsidRPr="00C45CCD">
        <w:t>Council ,</w:t>
      </w:r>
      <w:proofErr w:type="gramEnd"/>
      <w:r w:rsidRPr="00C45CCD">
        <w:t xml:space="preserve"> create a comprehensive, enterprise-wide AI inventory , perform legal risk classification for all systems , and conduct a gap analysis of existing governance frameworks.</w:t>
      </w:r>
    </w:p>
    <w:p w14:paraId="0AC889BE" w14:textId="77777777" w:rsidR="00C45CCD" w:rsidRPr="00C45CCD" w:rsidRDefault="00C45CCD" w:rsidP="00C45CCD">
      <w:pPr>
        <w:numPr>
          <w:ilvl w:val="0"/>
          <w:numId w:val="6"/>
        </w:numPr>
      </w:pPr>
      <w:r w:rsidRPr="00C45CCD">
        <w:rPr>
          <w:b/>
          <w:bCs/>
        </w:rPr>
        <w:t>Phase 2: Pre-Deployment Build-Out (6-18 Months):</w:t>
      </w:r>
      <w:r w:rsidRPr="00C45CCD">
        <w:t xml:space="preserve"> Develop procedures for conformity assessments and Fundamental Rights Impact Assessments (FRIA). Procure or build the </w:t>
      </w:r>
      <w:proofErr w:type="spellStart"/>
      <w:r w:rsidRPr="00C45CCD">
        <w:t>MLOps</w:t>
      </w:r>
      <w:proofErr w:type="spellEnd"/>
      <w:r w:rsidRPr="00C45CCD">
        <w:t xml:space="preserve"> and tooling required for continuous monitoring.</w:t>
      </w:r>
    </w:p>
    <w:p w14:paraId="4A58E283" w14:textId="77777777" w:rsidR="00C45CCD" w:rsidRPr="00C45CCD" w:rsidRDefault="00C45CCD" w:rsidP="00C45CCD">
      <w:pPr>
        <w:numPr>
          <w:ilvl w:val="0"/>
          <w:numId w:val="6"/>
        </w:numPr>
      </w:pPr>
      <w:r w:rsidRPr="00C45CCD">
        <w:rPr>
          <w:b/>
          <w:bCs/>
        </w:rPr>
        <w:lastRenderedPageBreak/>
        <w:t>Phase 3: Post-Deployment and Ongoing Compliance (18-24+ Months):</w:t>
      </w:r>
      <w:r w:rsidRPr="00C45CCD">
        <w:t xml:space="preserve"> Implement continuous </w:t>
      </w:r>
      <w:proofErr w:type="gramStart"/>
      <w:r w:rsidRPr="00C45CCD">
        <w:t>monitoring ,</w:t>
      </w:r>
      <w:proofErr w:type="gramEnd"/>
      <w:r w:rsidRPr="00C45CCD">
        <w:t xml:space="preserve"> activate automated logging , and operationalize incident response and reporting procedures.</w:t>
      </w:r>
    </w:p>
    <w:p w14:paraId="4EF6A709" w14:textId="77777777" w:rsidR="00C45CCD" w:rsidRPr="00C45CCD" w:rsidRDefault="00C45CCD" w:rsidP="00C45CCD">
      <w:r w:rsidRPr="00C45CCD">
        <w:rPr>
          <w:b/>
          <w:bCs/>
        </w:rPr>
        <w:t>Strategic Imperatives for Leadership:</w:t>
      </w:r>
    </w:p>
    <w:p w14:paraId="6772F03D" w14:textId="77777777" w:rsidR="00C45CCD" w:rsidRPr="00C45CCD" w:rsidRDefault="00C45CCD" w:rsidP="00C45CCD">
      <w:pPr>
        <w:numPr>
          <w:ilvl w:val="0"/>
          <w:numId w:val="7"/>
        </w:numPr>
      </w:pPr>
      <w:r w:rsidRPr="00C45CCD">
        <w:rPr>
          <w:b/>
          <w:bCs/>
        </w:rPr>
        <w:t>For the Chief Risk Officer (CRO):</w:t>
      </w:r>
      <w:r w:rsidRPr="00C45CCD">
        <w:t xml:space="preserve"> Commission a task force to integrate AI risk into the Enterprise Risk Management (ERM) framework and oversee the transformation of the MRM function to build capabilities for continuous monitoring.</w:t>
      </w:r>
    </w:p>
    <w:p w14:paraId="3F774A8C" w14:textId="77777777" w:rsidR="00C45CCD" w:rsidRPr="00C45CCD" w:rsidRDefault="00C45CCD" w:rsidP="00C45CCD">
      <w:pPr>
        <w:numPr>
          <w:ilvl w:val="0"/>
          <w:numId w:val="7"/>
        </w:numPr>
      </w:pPr>
      <w:r w:rsidRPr="00C45CCD">
        <w:rPr>
          <w:b/>
          <w:bCs/>
        </w:rPr>
        <w:t>For the Chief Compliance Officer (CCO):</w:t>
      </w:r>
      <w:r w:rsidRPr="00C45CCD">
        <w:t xml:space="preserve"> Champion the global AI inventory and gap analysis. Critically, oversee the selection and formal mandating of the EU-based </w:t>
      </w:r>
      <w:proofErr w:type="spellStart"/>
      <w:r w:rsidRPr="00C45CCD">
        <w:t>authorised</w:t>
      </w:r>
      <w:proofErr w:type="spellEnd"/>
      <w:r w:rsidRPr="00C45CCD">
        <w:t xml:space="preserve"> representative, ensuring they are adequately resourced.</w:t>
      </w:r>
    </w:p>
    <w:p w14:paraId="5E73B666" w14:textId="77777777" w:rsidR="00C45CCD" w:rsidRPr="00C45CCD" w:rsidRDefault="00C45CCD" w:rsidP="00C45CCD">
      <w:pPr>
        <w:numPr>
          <w:ilvl w:val="0"/>
          <w:numId w:val="7"/>
        </w:numPr>
      </w:pPr>
      <w:r w:rsidRPr="00C45CCD">
        <w:rPr>
          <w:b/>
          <w:bCs/>
        </w:rPr>
        <w:t>For the Head of AI/IT Strategy:</w:t>
      </w:r>
      <w:r w:rsidRPr="00C45CCD">
        <w:t xml:space="preserve"> Ensure the technology and </w:t>
      </w:r>
      <w:proofErr w:type="spellStart"/>
      <w:r w:rsidRPr="00C45CCD">
        <w:t>MLOps</w:t>
      </w:r>
      <w:proofErr w:type="spellEnd"/>
      <w:r w:rsidRPr="00C45CCD">
        <w:t xml:space="preserve"> roadmap can support the Act's demanding requirements for continuous monitoring, automated logging, and robust cybersecurity. Champion the "human oversight by design" principle in all new systems.</w:t>
      </w:r>
    </w:p>
    <w:p w14:paraId="18294338" w14:textId="77777777" w:rsidR="00C45CCD" w:rsidRPr="00C45CCD" w:rsidRDefault="00C45CCD" w:rsidP="00C45CCD">
      <w:r w:rsidRPr="00C45CCD">
        <w:t>In conclusion, the document frames proactive compliance not only as a regulatory necessity but as a strategic opportunity to build a foundation of trustworthy and resilient AI, thereby enhancing customer trust and solidifying a bank's leadership position.</w:t>
      </w:r>
    </w:p>
    <w:p w14:paraId="62D99C35" w14:textId="77777777" w:rsidR="00C45CCD" w:rsidRDefault="00C45CCD"/>
    <w:sectPr w:rsidR="00C45C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6686C"/>
    <w:multiLevelType w:val="multilevel"/>
    <w:tmpl w:val="6CF42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F1574"/>
    <w:multiLevelType w:val="multilevel"/>
    <w:tmpl w:val="5032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7C6AA7"/>
    <w:multiLevelType w:val="multilevel"/>
    <w:tmpl w:val="D04A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1033ED"/>
    <w:multiLevelType w:val="multilevel"/>
    <w:tmpl w:val="8BF0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94652F"/>
    <w:multiLevelType w:val="multilevel"/>
    <w:tmpl w:val="1FC2C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D34BF1"/>
    <w:multiLevelType w:val="multilevel"/>
    <w:tmpl w:val="56325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493300"/>
    <w:multiLevelType w:val="multilevel"/>
    <w:tmpl w:val="A62E9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1725269">
    <w:abstractNumId w:val="4"/>
  </w:num>
  <w:num w:numId="2" w16cid:durableId="1671450545">
    <w:abstractNumId w:val="0"/>
  </w:num>
  <w:num w:numId="3" w16cid:durableId="1032731112">
    <w:abstractNumId w:val="5"/>
  </w:num>
  <w:num w:numId="4" w16cid:durableId="407927315">
    <w:abstractNumId w:val="3"/>
  </w:num>
  <w:num w:numId="5" w16cid:durableId="956641537">
    <w:abstractNumId w:val="6"/>
  </w:num>
  <w:num w:numId="6" w16cid:durableId="1874341528">
    <w:abstractNumId w:val="1"/>
  </w:num>
  <w:num w:numId="7" w16cid:durableId="20032666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CCD"/>
    <w:rsid w:val="003418A5"/>
    <w:rsid w:val="00AD684D"/>
    <w:rsid w:val="00C45CCD"/>
    <w:rsid w:val="00CF30D9"/>
    <w:rsid w:val="00F27A12"/>
    <w:rsid w:val="00F76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3CEC0"/>
  <w15:chartTrackingRefBased/>
  <w15:docId w15:val="{B0D9B182-1419-4481-9721-1BE0B74FE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C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C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C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CCD"/>
    <w:rPr>
      <w:rFonts w:eastAsiaTheme="majorEastAsia" w:cstheme="majorBidi"/>
      <w:color w:val="272727" w:themeColor="text1" w:themeTint="D8"/>
    </w:rPr>
  </w:style>
  <w:style w:type="paragraph" w:styleId="Title">
    <w:name w:val="Title"/>
    <w:basedOn w:val="Normal"/>
    <w:next w:val="Normal"/>
    <w:link w:val="TitleChar"/>
    <w:uiPriority w:val="10"/>
    <w:qFormat/>
    <w:rsid w:val="00C45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CCD"/>
    <w:pPr>
      <w:spacing w:before="160"/>
      <w:jc w:val="center"/>
    </w:pPr>
    <w:rPr>
      <w:i/>
      <w:iCs/>
      <w:color w:val="404040" w:themeColor="text1" w:themeTint="BF"/>
    </w:rPr>
  </w:style>
  <w:style w:type="character" w:customStyle="1" w:styleId="QuoteChar">
    <w:name w:val="Quote Char"/>
    <w:basedOn w:val="DefaultParagraphFont"/>
    <w:link w:val="Quote"/>
    <w:uiPriority w:val="29"/>
    <w:rsid w:val="00C45CCD"/>
    <w:rPr>
      <w:i/>
      <w:iCs/>
      <w:color w:val="404040" w:themeColor="text1" w:themeTint="BF"/>
    </w:rPr>
  </w:style>
  <w:style w:type="paragraph" w:styleId="ListParagraph">
    <w:name w:val="List Paragraph"/>
    <w:basedOn w:val="Normal"/>
    <w:uiPriority w:val="34"/>
    <w:qFormat/>
    <w:rsid w:val="00C45CCD"/>
    <w:pPr>
      <w:ind w:left="720"/>
      <w:contextualSpacing/>
    </w:pPr>
  </w:style>
  <w:style w:type="character" w:styleId="IntenseEmphasis">
    <w:name w:val="Intense Emphasis"/>
    <w:basedOn w:val="DefaultParagraphFont"/>
    <w:uiPriority w:val="21"/>
    <w:qFormat/>
    <w:rsid w:val="00C45CCD"/>
    <w:rPr>
      <w:i/>
      <w:iCs/>
      <w:color w:val="0F4761" w:themeColor="accent1" w:themeShade="BF"/>
    </w:rPr>
  </w:style>
  <w:style w:type="paragraph" w:styleId="IntenseQuote">
    <w:name w:val="Intense Quote"/>
    <w:basedOn w:val="Normal"/>
    <w:next w:val="Normal"/>
    <w:link w:val="IntenseQuoteChar"/>
    <w:uiPriority w:val="30"/>
    <w:qFormat/>
    <w:rsid w:val="00C45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CCD"/>
    <w:rPr>
      <w:i/>
      <w:iCs/>
      <w:color w:val="0F4761" w:themeColor="accent1" w:themeShade="BF"/>
    </w:rPr>
  </w:style>
  <w:style w:type="character" w:styleId="IntenseReference">
    <w:name w:val="Intense Reference"/>
    <w:basedOn w:val="DefaultParagraphFont"/>
    <w:uiPriority w:val="32"/>
    <w:qFormat/>
    <w:rsid w:val="00C45C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002074">
      <w:bodyDiv w:val="1"/>
      <w:marLeft w:val="0"/>
      <w:marRight w:val="0"/>
      <w:marTop w:val="0"/>
      <w:marBottom w:val="0"/>
      <w:divBdr>
        <w:top w:val="none" w:sz="0" w:space="0" w:color="auto"/>
        <w:left w:val="none" w:sz="0" w:space="0" w:color="auto"/>
        <w:bottom w:val="none" w:sz="0" w:space="0" w:color="auto"/>
        <w:right w:val="none" w:sz="0" w:space="0" w:color="auto"/>
      </w:divBdr>
    </w:div>
    <w:div w:id="1051224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2029</Words>
  <Characters>11570</Characters>
  <Application>Microsoft Office Word</Application>
  <DocSecurity>0</DocSecurity>
  <Lines>96</Lines>
  <Paragraphs>27</Paragraphs>
  <ScaleCrop>false</ScaleCrop>
  <Company/>
  <LinksUpToDate>false</LinksUpToDate>
  <CharactersWithSpaces>13572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Pensa, Matthew (Bip.Monticello)</dc:creator>
  <cp:keywords/>
  <dc:description/>
  <cp:lastModifiedBy>Adams, Bob (Bip.Monticello)</cp:lastModifiedBy>
  <cp:revision>4</cp:revision>
  <dcterms:created xsi:type="dcterms:W3CDTF">2025-10-29T18:34:00Z</dcterms:created>
  <dcterms:modified xsi:type="dcterms:W3CDTF">2025-10-30T13:34:00Z</dcterms:modified>
</cp:coreProperties>
</file>