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B0BCA" w14:textId="77777777" w:rsidR="00D51717" w:rsidRDefault="00E80E6E" w:rsidP="00564E6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noProof/>
          <w:kern w:val="0"/>
          <w14:ligatures w14:val="none"/>
        </w:rPr>
        <w:drawing>
          <wp:anchor distT="0" distB="0" distL="114300" distR="114300" simplePos="0" relativeHeight="251658240" behindDoc="0" locked="0" layoutInCell="1" allowOverlap="1" wp14:anchorId="29E6356E" wp14:editId="180C2FA7">
            <wp:simplePos x="0" y="0"/>
            <wp:positionH relativeFrom="column">
              <wp:posOffset>-838200</wp:posOffset>
            </wp:positionH>
            <wp:positionV relativeFrom="paragraph">
              <wp:posOffset>3810</wp:posOffset>
            </wp:positionV>
            <wp:extent cx="7493000" cy="2032635"/>
            <wp:effectExtent l="0" t="0" r="0" b="5715"/>
            <wp:wrapThrough wrapText="bothSides">
              <wp:wrapPolygon edited="0">
                <wp:start x="0" y="0"/>
                <wp:lineTo x="0" y="21458"/>
                <wp:lineTo x="21527" y="21458"/>
                <wp:lineTo x="21527" y="0"/>
                <wp:lineTo x="0" y="0"/>
              </wp:wrapPolygon>
            </wp:wrapThrough>
            <wp:docPr id="751178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t="32091" b="29925"/>
                    <a:stretch/>
                  </pic:blipFill>
                  <pic:spPr bwMode="auto">
                    <a:xfrm>
                      <a:off x="0" y="0"/>
                      <a:ext cx="7493000" cy="20326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F785953" w14:textId="22E964C1" w:rsidR="00564E6D" w:rsidRPr="004A5F98" w:rsidRDefault="00564E6D" w:rsidP="00564E6D">
      <w:pPr>
        <w:spacing w:before="100" w:beforeAutospacing="1" w:after="100" w:afterAutospacing="1" w:line="240" w:lineRule="auto"/>
        <w:rPr>
          <w:rFonts w:eastAsia="Times New Roman" w:cs="Times New Roman"/>
          <w:kern w:val="0"/>
          <w:sz w:val="22"/>
          <w:szCs w:val="22"/>
          <w14:ligatures w14:val="none"/>
        </w:rPr>
      </w:pPr>
      <w:r w:rsidRPr="004A5F98">
        <w:rPr>
          <w:rFonts w:eastAsia="Times New Roman" w:cs="Times New Roman"/>
          <w:kern w:val="0"/>
          <w:sz w:val="22"/>
          <w:szCs w:val="22"/>
          <w14:ligatures w14:val="none"/>
        </w:rPr>
        <w:t>For decades, the concept of operational resilience was a simple, siloed affair known as "Business Continuity Planning" (BCP). It lived in a binder on a shelf, asking a basic question: "If our data center floods, how do we turn our backup systems on?" It was a reactive plan focused on recovering internal assets.</w:t>
      </w:r>
    </w:p>
    <w:p w14:paraId="7707AEB9" w14:textId="32D4E8D8" w:rsidR="00564E6D" w:rsidRPr="004A5F98" w:rsidRDefault="00564E6D" w:rsidP="00564E6D">
      <w:pPr>
        <w:spacing w:before="100" w:beforeAutospacing="1" w:after="100" w:afterAutospacing="1" w:line="240" w:lineRule="auto"/>
        <w:rPr>
          <w:rFonts w:eastAsia="Times New Roman" w:cs="Times New Roman"/>
          <w:b/>
          <w:bCs/>
          <w:kern w:val="0"/>
          <w:sz w:val="22"/>
          <w:szCs w:val="22"/>
          <w14:ligatures w14:val="none"/>
        </w:rPr>
      </w:pPr>
      <w:r w:rsidRPr="004A5F98">
        <w:rPr>
          <w:rFonts w:eastAsia="Times New Roman" w:cs="Times New Roman"/>
          <w:kern w:val="0"/>
          <w:sz w:val="22"/>
          <w:szCs w:val="22"/>
          <w14:ligatures w14:val="none"/>
        </w:rPr>
        <w:t xml:space="preserve">This entire philosophy has been rendered obsolete. The story of modern operational resilience is one of regulatory bodies playing catch-up with three successive waves of systemic risk: </w:t>
      </w:r>
      <w:r w:rsidRPr="004A5F98">
        <w:rPr>
          <w:rFonts w:eastAsia="Times New Roman" w:cs="Times New Roman"/>
          <w:b/>
          <w:bCs/>
          <w:kern w:val="0"/>
          <w:sz w:val="22"/>
          <w:szCs w:val="22"/>
          <w14:ligatures w14:val="none"/>
        </w:rPr>
        <w:t>interconnectedness, concentration, and intelligence.</w:t>
      </w:r>
    </w:p>
    <w:p w14:paraId="39284690" w14:textId="77777777" w:rsidR="00D51717" w:rsidRPr="004A5F98" w:rsidRDefault="00D51717" w:rsidP="00564E6D">
      <w:pPr>
        <w:spacing w:before="100" w:beforeAutospacing="1" w:after="100" w:afterAutospacing="1" w:line="240" w:lineRule="auto"/>
        <w:outlineLvl w:val="3"/>
        <w:rPr>
          <w:rFonts w:eastAsia="Times New Roman" w:cs="Times New Roman"/>
          <w:b/>
          <w:bCs/>
          <w:kern w:val="0"/>
          <w:sz w:val="22"/>
          <w:szCs w:val="22"/>
          <w14:ligatures w14:val="none"/>
        </w:rPr>
      </w:pPr>
    </w:p>
    <w:p w14:paraId="7CC6ECDC" w14:textId="40312A15" w:rsidR="00564E6D" w:rsidRPr="004A5F98" w:rsidRDefault="00564E6D" w:rsidP="00564E6D">
      <w:pPr>
        <w:spacing w:before="100" w:beforeAutospacing="1" w:after="100" w:afterAutospacing="1" w:line="240" w:lineRule="auto"/>
        <w:outlineLvl w:val="3"/>
        <w:rPr>
          <w:rFonts w:eastAsia="Times New Roman" w:cs="Times New Roman"/>
          <w:b/>
          <w:bCs/>
          <w:kern w:val="0"/>
          <w:sz w:val="22"/>
          <w:szCs w:val="22"/>
          <w14:ligatures w14:val="none"/>
        </w:rPr>
      </w:pPr>
      <w:r w:rsidRPr="004A5F98">
        <w:rPr>
          <w:rFonts w:eastAsia="Times New Roman" w:cs="Times New Roman"/>
          <w:b/>
          <w:bCs/>
          <w:kern w:val="0"/>
          <w:sz w:val="22"/>
          <w:szCs w:val="22"/>
          <w14:ligatures w14:val="none"/>
        </w:rPr>
        <w:t>Wave 1: The 2008 Financial Crisis and the Ghost in the Machine</w:t>
      </w:r>
    </w:p>
    <w:p w14:paraId="7679A549" w14:textId="77777777" w:rsidR="00564E6D" w:rsidRPr="004A5F98" w:rsidRDefault="00564E6D" w:rsidP="00564E6D">
      <w:pPr>
        <w:spacing w:before="100" w:beforeAutospacing="1" w:after="100" w:afterAutospacing="1" w:line="240" w:lineRule="auto"/>
        <w:rPr>
          <w:rFonts w:eastAsia="Times New Roman" w:cs="Times New Roman"/>
          <w:kern w:val="0"/>
          <w:sz w:val="22"/>
          <w:szCs w:val="22"/>
          <w14:ligatures w14:val="none"/>
        </w:rPr>
      </w:pPr>
      <w:r w:rsidRPr="004A5F98">
        <w:rPr>
          <w:rFonts w:eastAsia="Times New Roman" w:cs="Times New Roman"/>
          <w:kern w:val="0"/>
          <w:sz w:val="22"/>
          <w:szCs w:val="22"/>
          <w14:ligatures w14:val="none"/>
        </w:rPr>
        <w:t>The 2008 financial crisis was the first wake-up call. It wasn't a flood or a fire that brought the system down; it was a catastrophic failure of complex, interconnected financial models. Regulators realized for the first time that an organization could be destroyed from within by its own "black box" tools.</w:t>
      </w:r>
    </w:p>
    <w:p w14:paraId="33C6DAFB" w14:textId="77777777" w:rsidR="00564E6D" w:rsidRPr="004A5F98" w:rsidRDefault="00564E6D" w:rsidP="00564E6D">
      <w:pPr>
        <w:spacing w:before="100" w:beforeAutospacing="1" w:after="100" w:afterAutospacing="1" w:line="240" w:lineRule="auto"/>
        <w:rPr>
          <w:rFonts w:eastAsia="Times New Roman" w:cs="Times New Roman"/>
          <w:kern w:val="0"/>
          <w:sz w:val="22"/>
          <w:szCs w:val="22"/>
          <w14:ligatures w14:val="none"/>
        </w:rPr>
      </w:pPr>
      <w:r w:rsidRPr="004A5F98">
        <w:rPr>
          <w:rFonts w:eastAsia="Times New Roman" w:cs="Times New Roman"/>
          <w:kern w:val="0"/>
          <w:sz w:val="22"/>
          <w:szCs w:val="22"/>
          <w14:ligatures w14:val="none"/>
        </w:rPr>
        <w:t xml:space="preserve">The response was </w:t>
      </w:r>
      <w:r w:rsidRPr="004A5F98">
        <w:rPr>
          <w:rFonts w:eastAsia="Times New Roman" w:cs="Times New Roman"/>
          <w:b/>
          <w:bCs/>
          <w:kern w:val="0"/>
          <w:sz w:val="22"/>
          <w:szCs w:val="22"/>
          <w14:ligatures w14:val="none"/>
        </w:rPr>
        <w:t>SR 11-7</w:t>
      </w:r>
      <w:r w:rsidRPr="004A5F98">
        <w:rPr>
          <w:rFonts w:eastAsia="Times New Roman" w:cs="Times New Roman"/>
          <w:kern w:val="0"/>
          <w:sz w:val="22"/>
          <w:szCs w:val="22"/>
          <w14:ligatures w14:val="none"/>
        </w:rPr>
        <w:t xml:space="preserve"> in the US, a regulation that, in hindsight, was the first shot in AI governance. It forced banks to stop blindly trusting their quantitative models. It mandated rigorous model validation, governance, and monitoring. The regulatory lesson was: </w:t>
      </w:r>
      <w:r w:rsidRPr="004A5F98">
        <w:rPr>
          <w:rFonts w:eastAsia="Times New Roman" w:cs="Times New Roman"/>
          <w:b/>
          <w:bCs/>
          <w:kern w:val="0"/>
          <w:sz w:val="22"/>
          <w:szCs w:val="22"/>
          <w14:ligatures w14:val="none"/>
        </w:rPr>
        <w:t>You are responsible for the logic you build, even if you don't fully understand it.</w:t>
      </w:r>
      <w:r w:rsidRPr="004A5F98">
        <w:rPr>
          <w:rFonts w:eastAsia="Times New Roman" w:cs="Times New Roman"/>
          <w:kern w:val="0"/>
          <w:sz w:val="22"/>
          <w:szCs w:val="22"/>
          <w14:ligatures w14:val="none"/>
        </w:rPr>
        <w:t xml:space="preserve"> This set the stage for all future AI regulation.</w:t>
      </w:r>
    </w:p>
    <w:p w14:paraId="6ECB9397" w14:textId="77777777" w:rsidR="00564E6D" w:rsidRPr="004A5F98" w:rsidRDefault="00564E6D" w:rsidP="00564E6D">
      <w:pPr>
        <w:spacing w:before="100" w:beforeAutospacing="1" w:after="100" w:afterAutospacing="1" w:line="240" w:lineRule="auto"/>
        <w:outlineLvl w:val="3"/>
        <w:rPr>
          <w:rFonts w:eastAsia="Times New Roman" w:cs="Times New Roman"/>
          <w:b/>
          <w:bCs/>
          <w:kern w:val="0"/>
          <w:sz w:val="22"/>
          <w:szCs w:val="22"/>
          <w14:ligatures w14:val="none"/>
        </w:rPr>
      </w:pPr>
      <w:r w:rsidRPr="004A5F98">
        <w:rPr>
          <w:rFonts w:eastAsia="Times New Roman" w:cs="Times New Roman"/>
          <w:b/>
          <w:bCs/>
          <w:kern w:val="0"/>
          <w:sz w:val="22"/>
          <w:szCs w:val="22"/>
          <w14:ligatures w14:val="none"/>
        </w:rPr>
        <w:t>Wave 2: The Cloud &amp; COVID-19 Pandemic — The Great Concentration</w:t>
      </w:r>
    </w:p>
    <w:p w14:paraId="12EA01D8" w14:textId="77777777" w:rsidR="00564E6D" w:rsidRPr="004A5F98" w:rsidRDefault="00564E6D" w:rsidP="00564E6D">
      <w:pPr>
        <w:spacing w:before="100" w:beforeAutospacing="1" w:after="100" w:afterAutospacing="1" w:line="240" w:lineRule="auto"/>
        <w:rPr>
          <w:rFonts w:eastAsia="Times New Roman" w:cs="Times New Roman"/>
          <w:kern w:val="0"/>
          <w:sz w:val="22"/>
          <w:szCs w:val="22"/>
          <w14:ligatures w14:val="none"/>
        </w:rPr>
      </w:pPr>
      <w:r w:rsidRPr="004A5F98">
        <w:rPr>
          <w:rFonts w:eastAsia="Times New Roman" w:cs="Times New Roman"/>
          <w:kern w:val="0"/>
          <w:sz w:val="22"/>
          <w:szCs w:val="22"/>
          <w14:ligatures w14:val="none"/>
        </w:rPr>
        <w:t>The second wave was a one-two punch that exposed a new, terrifying vulnerability: concentration risk.</w:t>
      </w:r>
    </w:p>
    <w:p w14:paraId="365563DB" w14:textId="77777777" w:rsidR="00564E6D" w:rsidRPr="004A5F98" w:rsidRDefault="00564E6D" w:rsidP="00564E6D">
      <w:pPr>
        <w:numPr>
          <w:ilvl w:val="0"/>
          <w:numId w:val="1"/>
        </w:numPr>
        <w:spacing w:before="100" w:beforeAutospacing="1" w:after="100" w:afterAutospacing="1" w:line="240" w:lineRule="auto"/>
        <w:rPr>
          <w:rFonts w:eastAsia="Times New Roman" w:cs="Times New Roman"/>
          <w:kern w:val="0"/>
          <w:sz w:val="22"/>
          <w:szCs w:val="22"/>
          <w14:ligatures w14:val="none"/>
        </w:rPr>
      </w:pPr>
      <w:r w:rsidRPr="004A5F98">
        <w:rPr>
          <w:rFonts w:eastAsia="Times New Roman" w:cs="Times New Roman"/>
          <w:b/>
          <w:bCs/>
          <w:kern w:val="0"/>
          <w:sz w:val="22"/>
          <w:szCs w:val="22"/>
          <w14:ligatures w14:val="none"/>
        </w:rPr>
        <w:t>The Cloud Shift:</w:t>
      </w:r>
      <w:r w:rsidRPr="004A5F98">
        <w:rPr>
          <w:rFonts w:eastAsia="Times New Roman" w:cs="Times New Roman"/>
          <w:kern w:val="0"/>
          <w:sz w:val="22"/>
          <w:szCs w:val="22"/>
          <w14:ligatures w14:val="none"/>
        </w:rPr>
        <w:t xml:space="preserve"> Over the 2010s, firms raced to decommission their expensive data centers and move to the cloud, drawn by efficiency and scalability.</w:t>
      </w:r>
    </w:p>
    <w:p w14:paraId="04E49EBB" w14:textId="77777777" w:rsidR="00564E6D" w:rsidRPr="004A5F98" w:rsidRDefault="00564E6D" w:rsidP="00564E6D">
      <w:pPr>
        <w:numPr>
          <w:ilvl w:val="0"/>
          <w:numId w:val="1"/>
        </w:numPr>
        <w:spacing w:before="100" w:beforeAutospacing="1" w:after="100" w:afterAutospacing="1" w:line="240" w:lineRule="auto"/>
        <w:rPr>
          <w:rFonts w:eastAsia="Times New Roman" w:cs="Times New Roman"/>
          <w:kern w:val="0"/>
          <w:sz w:val="22"/>
          <w:szCs w:val="22"/>
          <w14:ligatures w14:val="none"/>
        </w:rPr>
      </w:pPr>
      <w:r w:rsidRPr="004A5F98">
        <w:rPr>
          <w:rFonts w:eastAsia="Times New Roman" w:cs="Times New Roman"/>
          <w:b/>
          <w:bCs/>
          <w:kern w:val="0"/>
          <w:sz w:val="22"/>
          <w:szCs w:val="22"/>
          <w14:ligatures w14:val="none"/>
        </w:rPr>
        <w:lastRenderedPageBreak/>
        <w:t>The COVID-19 Pandemic:</w:t>
      </w:r>
      <w:r w:rsidRPr="004A5F98">
        <w:rPr>
          <w:rFonts w:eastAsia="Times New Roman" w:cs="Times New Roman"/>
          <w:kern w:val="0"/>
          <w:sz w:val="22"/>
          <w:szCs w:val="22"/>
          <w14:ligatures w14:val="none"/>
        </w:rPr>
        <w:t xml:space="preserve"> In 2020, this shift became a stampede. The entire global workforce moved remote overnight, enabled almost entirely by a handful of "</w:t>
      </w:r>
      <w:proofErr w:type="spellStart"/>
      <w:r w:rsidRPr="004A5F98">
        <w:rPr>
          <w:rFonts w:eastAsia="Times New Roman" w:cs="Times New Roman"/>
          <w:kern w:val="0"/>
          <w:sz w:val="22"/>
          <w:szCs w:val="22"/>
          <w14:ligatures w14:val="none"/>
        </w:rPr>
        <w:t>hyperscaler</w:t>
      </w:r>
      <w:proofErr w:type="spellEnd"/>
      <w:r w:rsidRPr="004A5F98">
        <w:rPr>
          <w:rFonts w:eastAsia="Times New Roman" w:cs="Times New Roman"/>
          <w:kern w:val="0"/>
          <w:sz w:val="22"/>
          <w:szCs w:val="22"/>
          <w14:ligatures w14:val="none"/>
        </w:rPr>
        <w:t>" cloud service providers (CSPs).</w:t>
      </w:r>
    </w:p>
    <w:p w14:paraId="51AA1B10" w14:textId="77777777" w:rsidR="00564E6D" w:rsidRPr="004A5F98" w:rsidRDefault="00564E6D" w:rsidP="00564E6D">
      <w:pPr>
        <w:spacing w:before="100" w:beforeAutospacing="1" w:after="100" w:afterAutospacing="1" w:line="240" w:lineRule="auto"/>
        <w:rPr>
          <w:rFonts w:eastAsia="Times New Roman" w:cs="Times New Roman"/>
          <w:kern w:val="0"/>
          <w:sz w:val="22"/>
          <w:szCs w:val="22"/>
          <w14:ligatures w14:val="none"/>
        </w:rPr>
      </w:pPr>
      <w:r w:rsidRPr="004A5F98">
        <w:rPr>
          <w:rFonts w:eastAsia="Times New Roman" w:cs="Times New Roman"/>
          <w:kern w:val="0"/>
          <w:sz w:val="22"/>
          <w:szCs w:val="22"/>
          <w14:ligatures w14:val="none"/>
        </w:rPr>
        <w:t>Suddenly, regulators had a horrifying realization: the entire global financial system was now existentially dependent on the operational resilience of just three or four tech companies. The old BCP model was useless. You can't "failover" from a global AWS or Azure outage.</w:t>
      </w:r>
    </w:p>
    <w:p w14:paraId="05DD1852" w14:textId="77777777" w:rsidR="00564E6D" w:rsidRPr="004A5F98" w:rsidRDefault="00564E6D" w:rsidP="00564E6D">
      <w:pPr>
        <w:spacing w:before="100" w:beforeAutospacing="1" w:after="100" w:afterAutospacing="1" w:line="240" w:lineRule="auto"/>
        <w:rPr>
          <w:rFonts w:eastAsia="Times New Roman" w:cs="Times New Roman"/>
          <w:kern w:val="0"/>
          <w:sz w:val="22"/>
          <w:szCs w:val="22"/>
          <w14:ligatures w14:val="none"/>
        </w:rPr>
      </w:pPr>
      <w:r w:rsidRPr="004A5F98">
        <w:rPr>
          <w:rFonts w:eastAsia="Times New Roman" w:cs="Times New Roman"/>
          <w:kern w:val="0"/>
          <w:sz w:val="22"/>
          <w:szCs w:val="22"/>
          <w14:ligatures w14:val="none"/>
        </w:rPr>
        <w:t xml:space="preserve">This panic led directly to the new generation of holistic regulations, most notably the </w:t>
      </w:r>
      <w:r w:rsidRPr="004A5F98">
        <w:rPr>
          <w:rFonts w:eastAsia="Times New Roman" w:cs="Times New Roman"/>
          <w:b/>
          <w:bCs/>
          <w:kern w:val="0"/>
          <w:sz w:val="22"/>
          <w:szCs w:val="22"/>
          <w14:ligatures w14:val="none"/>
        </w:rPr>
        <w:t>Digital Operational Resilience Act (DORA)</w:t>
      </w:r>
      <w:r w:rsidRPr="004A5F98">
        <w:rPr>
          <w:rFonts w:eastAsia="Times New Roman" w:cs="Times New Roman"/>
          <w:kern w:val="0"/>
          <w:sz w:val="22"/>
          <w:szCs w:val="22"/>
          <w14:ligatures w14:val="none"/>
        </w:rPr>
        <w:t xml:space="preserve"> in the EU and similar principles from the </w:t>
      </w:r>
      <w:r w:rsidRPr="004A5F98">
        <w:rPr>
          <w:rFonts w:eastAsia="Times New Roman" w:cs="Times New Roman"/>
          <w:b/>
          <w:bCs/>
          <w:kern w:val="0"/>
          <w:sz w:val="22"/>
          <w:szCs w:val="22"/>
          <w14:ligatures w14:val="none"/>
        </w:rPr>
        <w:t>BCBS</w:t>
      </w:r>
      <w:r w:rsidRPr="004A5F98">
        <w:rPr>
          <w:rFonts w:eastAsia="Times New Roman" w:cs="Times New Roman"/>
          <w:kern w:val="0"/>
          <w:sz w:val="22"/>
          <w:szCs w:val="22"/>
          <w14:ligatures w14:val="none"/>
        </w:rPr>
        <w:t>.</w:t>
      </w:r>
    </w:p>
    <w:p w14:paraId="0DFABDA9" w14:textId="77777777" w:rsidR="00564E6D" w:rsidRPr="004A5F98" w:rsidRDefault="00564E6D" w:rsidP="00564E6D">
      <w:pPr>
        <w:spacing w:before="100" w:beforeAutospacing="1" w:after="100" w:afterAutospacing="1" w:line="240" w:lineRule="auto"/>
        <w:rPr>
          <w:rFonts w:eastAsia="Times New Roman" w:cs="Times New Roman"/>
          <w:kern w:val="0"/>
          <w:sz w:val="22"/>
          <w:szCs w:val="22"/>
          <w14:ligatures w14:val="none"/>
        </w:rPr>
      </w:pPr>
      <w:r w:rsidRPr="004A5F98">
        <w:rPr>
          <w:rFonts w:eastAsia="Times New Roman" w:cs="Times New Roman"/>
          <w:kern w:val="0"/>
          <w:sz w:val="22"/>
          <w:szCs w:val="22"/>
          <w14:ligatures w14:val="none"/>
        </w:rPr>
        <w:t xml:space="preserve">This was a paradigm shift. The focus moved from "recovering my assets" to "maintaining my critical business services." DORA’s five pillars—ICT Risk Management, Incident Reporting, Resilience Testing, Information Sharing, and </w:t>
      </w:r>
      <w:r w:rsidRPr="004A5F98">
        <w:rPr>
          <w:rFonts w:eastAsia="Times New Roman" w:cs="Times New Roman"/>
          <w:i/>
          <w:iCs/>
          <w:kern w:val="0"/>
          <w:sz w:val="22"/>
          <w:szCs w:val="22"/>
          <w14:ligatures w14:val="none"/>
        </w:rPr>
        <w:t>especially</w:t>
      </w:r>
      <w:r w:rsidRPr="004A5F98">
        <w:rPr>
          <w:rFonts w:eastAsia="Times New Roman" w:cs="Times New Roman"/>
          <w:kern w:val="0"/>
          <w:sz w:val="22"/>
          <w:szCs w:val="22"/>
          <w14:ligatures w14:val="none"/>
        </w:rPr>
        <w:t xml:space="preserve"> Third-Party Risk Management—are built on a new lesson: </w:t>
      </w:r>
      <w:r w:rsidRPr="004A5F98">
        <w:rPr>
          <w:rFonts w:eastAsia="Times New Roman" w:cs="Times New Roman"/>
          <w:b/>
          <w:bCs/>
          <w:kern w:val="0"/>
          <w:sz w:val="22"/>
          <w:szCs w:val="22"/>
          <w14:ligatures w14:val="none"/>
        </w:rPr>
        <w:t>You are only as resilient as the third-party providers you depend on.</w:t>
      </w:r>
    </w:p>
    <w:p w14:paraId="674AB4E3" w14:textId="77777777" w:rsidR="00564E6D" w:rsidRPr="004A5F98" w:rsidRDefault="00564E6D" w:rsidP="00564E6D">
      <w:pPr>
        <w:spacing w:before="100" w:beforeAutospacing="1" w:after="100" w:afterAutospacing="1" w:line="240" w:lineRule="auto"/>
        <w:rPr>
          <w:rFonts w:eastAsia="Times New Roman" w:cs="Times New Roman"/>
          <w:kern w:val="0"/>
          <w:sz w:val="22"/>
          <w:szCs w:val="22"/>
          <w14:ligatures w14:val="none"/>
        </w:rPr>
      </w:pPr>
      <w:r w:rsidRPr="004A5F98">
        <w:rPr>
          <w:rFonts w:eastAsia="Times New Roman" w:cs="Times New Roman"/>
          <w:kern w:val="0"/>
          <w:sz w:val="22"/>
          <w:szCs w:val="22"/>
          <w14:ligatures w14:val="none"/>
        </w:rPr>
        <w:t>For the first time, DORA gives regulators direct oversight over "Critical Third-Party Providers," meaning they can now audit the cloud providers themselves.</w:t>
      </w:r>
    </w:p>
    <w:p w14:paraId="380A6705" w14:textId="77777777" w:rsidR="00564E6D" w:rsidRPr="004A5F98" w:rsidRDefault="00564E6D" w:rsidP="00564E6D">
      <w:pPr>
        <w:spacing w:before="100" w:beforeAutospacing="1" w:after="100" w:afterAutospacing="1" w:line="240" w:lineRule="auto"/>
        <w:outlineLvl w:val="3"/>
        <w:rPr>
          <w:rFonts w:eastAsia="Times New Roman" w:cs="Times New Roman"/>
          <w:b/>
          <w:bCs/>
          <w:kern w:val="0"/>
          <w:sz w:val="22"/>
          <w:szCs w:val="22"/>
          <w14:ligatures w14:val="none"/>
        </w:rPr>
      </w:pPr>
      <w:r w:rsidRPr="004A5F98">
        <w:rPr>
          <w:rFonts w:eastAsia="Times New Roman" w:cs="Times New Roman"/>
          <w:b/>
          <w:bCs/>
          <w:kern w:val="0"/>
          <w:sz w:val="22"/>
          <w:szCs w:val="22"/>
          <w14:ligatures w14:val="none"/>
        </w:rPr>
        <w:t>Wave 3: The AI Revolution — The Dual-Role Dilemma</w:t>
      </w:r>
    </w:p>
    <w:p w14:paraId="021EFCA4" w14:textId="77777777" w:rsidR="00564E6D" w:rsidRPr="004A5F98" w:rsidRDefault="00564E6D" w:rsidP="00564E6D">
      <w:pPr>
        <w:spacing w:before="100" w:beforeAutospacing="1" w:after="100" w:afterAutospacing="1" w:line="240" w:lineRule="auto"/>
        <w:rPr>
          <w:rFonts w:eastAsia="Times New Roman" w:cs="Times New Roman"/>
          <w:kern w:val="0"/>
          <w:sz w:val="22"/>
          <w:szCs w:val="22"/>
          <w14:ligatures w14:val="none"/>
        </w:rPr>
      </w:pPr>
      <w:r w:rsidRPr="004A5F98">
        <w:rPr>
          <w:rFonts w:eastAsia="Times New Roman" w:cs="Times New Roman"/>
          <w:kern w:val="0"/>
          <w:sz w:val="22"/>
          <w:szCs w:val="22"/>
          <w14:ligatures w14:val="none"/>
        </w:rPr>
        <w:t xml:space="preserve">We are now in the third wave, where AI is simultaneously becoming the most powerful tool for </w:t>
      </w:r>
      <w:r w:rsidRPr="004A5F98">
        <w:rPr>
          <w:rFonts w:eastAsia="Times New Roman" w:cs="Times New Roman"/>
          <w:i/>
          <w:iCs/>
          <w:kern w:val="0"/>
          <w:sz w:val="22"/>
          <w:szCs w:val="22"/>
          <w14:ligatures w14:val="none"/>
        </w:rPr>
        <w:t>managing</w:t>
      </w:r>
      <w:r w:rsidRPr="004A5F98">
        <w:rPr>
          <w:rFonts w:eastAsia="Times New Roman" w:cs="Times New Roman"/>
          <w:kern w:val="0"/>
          <w:sz w:val="22"/>
          <w:szCs w:val="22"/>
          <w14:ligatures w14:val="none"/>
        </w:rPr>
        <w:t xml:space="preserve"> resilience and the most complex new risk that </w:t>
      </w:r>
      <w:r w:rsidRPr="004A5F98">
        <w:rPr>
          <w:rFonts w:eastAsia="Times New Roman" w:cs="Times New Roman"/>
          <w:i/>
          <w:iCs/>
          <w:kern w:val="0"/>
          <w:sz w:val="22"/>
          <w:szCs w:val="22"/>
          <w14:ligatures w14:val="none"/>
        </w:rPr>
        <w:t>must be made</w:t>
      </w:r>
      <w:r w:rsidRPr="004A5F98">
        <w:rPr>
          <w:rFonts w:eastAsia="Times New Roman" w:cs="Times New Roman"/>
          <w:kern w:val="0"/>
          <w:sz w:val="22"/>
          <w:szCs w:val="22"/>
          <w14:ligatures w14:val="none"/>
        </w:rPr>
        <w:t xml:space="preserve"> resilient.</w:t>
      </w:r>
    </w:p>
    <w:p w14:paraId="79CEE08A" w14:textId="77777777" w:rsidR="00564E6D" w:rsidRPr="004A5F98" w:rsidRDefault="00564E6D" w:rsidP="00564E6D">
      <w:pPr>
        <w:spacing w:before="100" w:beforeAutospacing="1" w:after="100" w:afterAutospacing="1" w:line="240" w:lineRule="auto"/>
        <w:rPr>
          <w:rFonts w:eastAsia="Times New Roman" w:cs="Times New Roman"/>
          <w:kern w:val="0"/>
          <w:sz w:val="22"/>
          <w:szCs w:val="22"/>
          <w14:ligatures w14:val="none"/>
        </w:rPr>
      </w:pPr>
      <w:r w:rsidRPr="004A5F98">
        <w:rPr>
          <w:rFonts w:eastAsia="Times New Roman" w:cs="Times New Roman"/>
          <w:b/>
          <w:bCs/>
          <w:kern w:val="0"/>
          <w:sz w:val="22"/>
          <w:szCs w:val="22"/>
          <w14:ligatures w14:val="none"/>
        </w:rPr>
        <w:t>1. AI as the Resilience Solution:</w:t>
      </w:r>
      <w:r w:rsidRPr="004A5F98">
        <w:rPr>
          <w:rFonts w:eastAsia="Times New Roman" w:cs="Times New Roman"/>
          <w:kern w:val="0"/>
          <w:sz w:val="22"/>
          <w:szCs w:val="22"/>
          <w14:ligatures w14:val="none"/>
        </w:rPr>
        <w:t xml:space="preserve"> AI is changing traditional, reactive resilience practices into proactive, predictive ones.</w:t>
      </w:r>
    </w:p>
    <w:p w14:paraId="1088FA7C" w14:textId="77777777" w:rsidR="00564E6D" w:rsidRPr="004A5F98" w:rsidRDefault="00564E6D" w:rsidP="00564E6D">
      <w:pPr>
        <w:numPr>
          <w:ilvl w:val="0"/>
          <w:numId w:val="2"/>
        </w:numPr>
        <w:spacing w:before="100" w:beforeAutospacing="1" w:after="100" w:afterAutospacing="1" w:line="240" w:lineRule="auto"/>
        <w:rPr>
          <w:rFonts w:eastAsia="Times New Roman" w:cs="Times New Roman"/>
          <w:kern w:val="0"/>
          <w:sz w:val="22"/>
          <w:szCs w:val="22"/>
          <w14:ligatures w14:val="none"/>
        </w:rPr>
      </w:pPr>
      <w:r w:rsidRPr="004A5F98">
        <w:rPr>
          <w:rFonts w:eastAsia="Times New Roman" w:cs="Times New Roman"/>
          <w:b/>
          <w:bCs/>
          <w:kern w:val="0"/>
          <w:sz w:val="22"/>
          <w:szCs w:val="22"/>
          <w14:ligatures w14:val="none"/>
        </w:rPr>
        <w:t>Traditional:</w:t>
      </w:r>
      <w:r w:rsidRPr="004A5F98">
        <w:rPr>
          <w:rFonts w:eastAsia="Times New Roman" w:cs="Times New Roman"/>
          <w:kern w:val="0"/>
          <w:sz w:val="22"/>
          <w:szCs w:val="22"/>
          <w14:ligatures w14:val="none"/>
        </w:rPr>
        <w:t xml:space="preserve"> "A server has failed. Let's find out why."</w:t>
      </w:r>
    </w:p>
    <w:p w14:paraId="71FE2443" w14:textId="77777777" w:rsidR="00564E6D" w:rsidRPr="004A5F98" w:rsidRDefault="00564E6D" w:rsidP="00564E6D">
      <w:pPr>
        <w:numPr>
          <w:ilvl w:val="0"/>
          <w:numId w:val="2"/>
        </w:numPr>
        <w:spacing w:before="100" w:beforeAutospacing="1" w:after="100" w:afterAutospacing="1" w:line="240" w:lineRule="auto"/>
        <w:rPr>
          <w:rFonts w:eastAsia="Times New Roman" w:cs="Times New Roman"/>
          <w:kern w:val="0"/>
          <w:sz w:val="22"/>
          <w:szCs w:val="22"/>
          <w14:ligatures w14:val="none"/>
        </w:rPr>
      </w:pPr>
      <w:r w:rsidRPr="004A5F98">
        <w:rPr>
          <w:rFonts w:eastAsia="Times New Roman" w:cs="Times New Roman"/>
          <w:b/>
          <w:bCs/>
          <w:kern w:val="0"/>
          <w:sz w:val="22"/>
          <w:szCs w:val="22"/>
          <w14:ligatures w14:val="none"/>
        </w:rPr>
        <w:t>AI-Powered:</w:t>
      </w:r>
      <w:r w:rsidRPr="004A5F98">
        <w:rPr>
          <w:rFonts w:eastAsia="Times New Roman" w:cs="Times New Roman"/>
          <w:kern w:val="0"/>
          <w:sz w:val="22"/>
          <w:szCs w:val="22"/>
          <w14:ligatures w14:val="none"/>
        </w:rPr>
        <w:t xml:space="preserve"> "Our AI model, monitoring 50,000 data points a second, detected a subtle performance degradation and predicts a 95% chance of server failure in the next 72 hours. A work order has been created, and workloads are already being shifted."</w:t>
      </w:r>
    </w:p>
    <w:p w14:paraId="3DC2078A" w14:textId="77777777" w:rsidR="00564E6D" w:rsidRPr="004A5F98" w:rsidRDefault="00564E6D" w:rsidP="00564E6D">
      <w:pPr>
        <w:spacing w:before="100" w:beforeAutospacing="1" w:after="100" w:afterAutospacing="1" w:line="240" w:lineRule="auto"/>
        <w:rPr>
          <w:rFonts w:eastAsia="Times New Roman" w:cs="Times New Roman"/>
          <w:kern w:val="0"/>
          <w:sz w:val="22"/>
          <w:szCs w:val="22"/>
          <w14:ligatures w14:val="none"/>
        </w:rPr>
      </w:pPr>
      <w:r w:rsidRPr="004A5F98">
        <w:rPr>
          <w:rFonts w:eastAsia="Times New Roman" w:cs="Times New Roman"/>
          <w:kern w:val="0"/>
          <w:sz w:val="22"/>
          <w:szCs w:val="22"/>
          <w14:ligatures w14:val="none"/>
        </w:rPr>
        <w:t>In this space, AI is used for advanced anomaly detection, predictive maintenance, and NLP models that scan global news to predict supply chain disruptions before they happen.</w:t>
      </w:r>
    </w:p>
    <w:p w14:paraId="57A813DF" w14:textId="77777777" w:rsidR="00564E6D" w:rsidRPr="004A5F98" w:rsidRDefault="00564E6D" w:rsidP="00564E6D">
      <w:pPr>
        <w:spacing w:before="100" w:beforeAutospacing="1" w:after="100" w:afterAutospacing="1" w:line="240" w:lineRule="auto"/>
        <w:rPr>
          <w:rFonts w:eastAsia="Times New Roman" w:cs="Times New Roman"/>
          <w:kern w:val="0"/>
          <w:sz w:val="22"/>
          <w:szCs w:val="22"/>
          <w14:ligatures w14:val="none"/>
        </w:rPr>
      </w:pPr>
      <w:r w:rsidRPr="004A5F98">
        <w:rPr>
          <w:rFonts w:eastAsia="Times New Roman" w:cs="Times New Roman"/>
          <w:b/>
          <w:bCs/>
          <w:kern w:val="0"/>
          <w:sz w:val="22"/>
          <w:szCs w:val="22"/>
          <w14:ligatures w14:val="none"/>
        </w:rPr>
        <w:t>2. AI as the New Systemic Risk:</w:t>
      </w:r>
      <w:r w:rsidRPr="004A5F98">
        <w:rPr>
          <w:rFonts w:eastAsia="Times New Roman" w:cs="Times New Roman"/>
          <w:kern w:val="0"/>
          <w:sz w:val="22"/>
          <w:szCs w:val="22"/>
          <w14:ligatures w14:val="none"/>
        </w:rPr>
        <w:t xml:space="preserve"> Just as firms become dependent on AI, they inherit a new class of risks that traditional frameworks can't handle:</w:t>
      </w:r>
    </w:p>
    <w:p w14:paraId="660F2A93" w14:textId="77777777" w:rsidR="00564E6D" w:rsidRPr="004A5F98" w:rsidRDefault="00564E6D" w:rsidP="00564E6D">
      <w:pPr>
        <w:numPr>
          <w:ilvl w:val="0"/>
          <w:numId w:val="3"/>
        </w:numPr>
        <w:spacing w:before="100" w:beforeAutospacing="1" w:after="100" w:afterAutospacing="1" w:line="240" w:lineRule="auto"/>
        <w:rPr>
          <w:rFonts w:eastAsia="Times New Roman" w:cs="Times New Roman"/>
          <w:kern w:val="0"/>
          <w:sz w:val="22"/>
          <w:szCs w:val="22"/>
          <w14:ligatures w14:val="none"/>
        </w:rPr>
      </w:pPr>
      <w:r w:rsidRPr="004A5F98">
        <w:rPr>
          <w:rFonts w:eastAsia="Times New Roman" w:cs="Times New Roman"/>
          <w:b/>
          <w:bCs/>
          <w:kern w:val="0"/>
          <w:sz w:val="22"/>
          <w:szCs w:val="22"/>
          <w14:ligatures w14:val="none"/>
        </w:rPr>
        <w:t>Model Drift:</w:t>
      </w:r>
      <w:r w:rsidRPr="004A5F98">
        <w:rPr>
          <w:rFonts w:eastAsia="Times New Roman" w:cs="Times New Roman"/>
          <w:kern w:val="0"/>
          <w:sz w:val="22"/>
          <w:szCs w:val="22"/>
          <w14:ligatures w14:val="none"/>
        </w:rPr>
        <w:t xml:space="preserve"> The AI model works perfectly today, but over time, the real world "drifts" from its training data, and its predictions become silently, dangerously wrong.</w:t>
      </w:r>
    </w:p>
    <w:p w14:paraId="6EE13E10" w14:textId="77777777" w:rsidR="00564E6D" w:rsidRPr="004A5F98" w:rsidRDefault="00564E6D" w:rsidP="00564E6D">
      <w:pPr>
        <w:numPr>
          <w:ilvl w:val="0"/>
          <w:numId w:val="3"/>
        </w:numPr>
        <w:spacing w:before="100" w:beforeAutospacing="1" w:after="100" w:afterAutospacing="1" w:line="240" w:lineRule="auto"/>
        <w:rPr>
          <w:rFonts w:eastAsia="Times New Roman" w:cs="Times New Roman"/>
          <w:kern w:val="0"/>
          <w:sz w:val="22"/>
          <w:szCs w:val="22"/>
          <w14:ligatures w14:val="none"/>
        </w:rPr>
      </w:pPr>
      <w:r w:rsidRPr="004A5F98">
        <w:rPr>
          <w:rFonts w:eastAsia="Times New Roman" w:cs="Times New Roman"/>
          <w:b/>
          <w:bCs/>
          <w:kern w:val="0"/>
          <w:sz w:val="22"/>
          <w:szCs w:val="22"/>
          <w14:ligatures w14:val="none"/>
        </w:rPr>
        <w:t>Data Poisoning:</w:t>
      </w:r>
      <w:r w:rsidRPr="004A5F98">
        <w:rPr>
          <w:rFonts w:eastAsia="Times New Roman" w:cs="Times New Roman"/>
          <w:kern w:val="0"/>
          <w:sz w:val="22"/>
          <w:szCs w:val="22"/>
          <w14:ligatures w14:val="none"/>
        </w:rPr>
        <w:t xml:space="preserve"> A malicious actor feeds the AI subtly "poisoned" data, teaching it to make a catastrophic error at a specific future moment (e.g., approve a billion-dollar fraudulent transaction).</w:t>
      </w:r>
    </w:p>
    <w:p w14:paraId="5216E4E5" w14:textId="77777777" w:rsidR="00564E6D" w:rsidRPr="004A5F98" w:rsidRDefault="00564E6D" w:rsidP="00564E6D">
      <w:pPr>
        <w:numPr>
          <w:ilvl w:val="0"/>
          <w:numId w:val="3"/>
        </w:numPr>
        <w:spacing w:before="100" w:beforeAutospacing="1" w:after="100" w:afterAutospacing="1" w:line="240" w:lineRule="auto"/>
        <w:rPr>
          <w:rFonts w:eastAsia="Times New Roman" w:cs="Times New Roman"/>
          <w:kern w:val="0"/>
          <w:sz w:val="22"/>
          <w:szCs w:val="22"/>
          <w14:ligatures w14:val="none"/>
        </w:rPr>
      </w:pPr>
      <w:r w:rsidRPr="004A5F98">
        <w:rPr>
          <w:rFonts w:eastAsia="Times New Roman" w:cs="Times New Roman"/>
          <w:b/>
          <w:bCs/>
          <w:kern w:val="0"/>
          <w:sz w:val="22"/>
          <w:szCs w:val="22"/>
          <w14:ligatures w14:val="none"/>
        </w:rPr>
        <w:t>Opaqueness (The "Black Box"):</w:t>
      </w:r>
      <w:r w:rsidRPr="004A5F98">
        <w:rPr>
          <w:rFonts w:eastAsia="Times New Roman" w:cs="Times New Roman"/>
          <w:kern w:val="0"/>
          <w:sz w:val="22"/>
          <w:szCs w:val="22"/>
          <w14:ligatures w14:val="none"/>
        </w:rPr>
        <w:t xml:space="preserve"> The AI solves a problem, but you don't know </w:t>
      </w:r>
      <w:r w:rsidRPr="004A5F98">
        <w:rPr>
          <w:rFonts w:eastAsia="Times New Roman" w:cs="Times New Roman"/>
          <w:i/>
          <w:iCs/>
          <w:kern w:val="0"/>
          <w:sz w:val="22"/>
          <w:szCs w:val="22"/>
          <w14:ligatures w14:val="none"/>
        </w:rPr>
        <w:t>how</w:t>
      </w:r>
      <w:r w:rsidRPr="004A5F98">
        <w:rPr>
          <w:rFonts w:eastAsia="Times New Roman" w:cs="Times New Roman"/>
          <w:kern w:val="0"/>
          <w:sz w:val="22"/>
          <w:szCs w:val="22"/>
          <w14:ligatures w14:val="none"/>
        </w:rPr>
        <w:t>. This makes it impossible to validate under old rules like SR 11-7.</w:t>
      </w:r>
    </w:p>
    <w:p w14:paraId="53581369" w14:textId="77777777" w:rsidR="00564E6D" w:rsidRPr="004A5F98" w:rsidRDefault="00564E6D" w:rsidP="00564E6D">
      <w:pPr>
        <w:spacing w:before="100" w:beforeAutospacing="1" w:after="100" w:afterAutospacing="1" w:line="240" w:lineRule="auto"/>
        <w:rPr>
          <w:rFonts w:eastAsia="Times New Roman" w:cs="Times New Roman"/>
          <w:kern w:val="0"/>
          <w:sz w:val="22"/>
          <w:szCs w:val="22"/>
          <w14:ligatures w14:val="none"/>
        </w:rPr>
      </w:pPr>
      <w:r w:rsidRPr="004A5F98">
        <w:rPr>
          <w:rFonts w:eastAsia="Times New Roman" w:cs="Times New Roman"/>
          <w:kern w:val="0"/>
          <w:sz w:val="22"/>
          <w:szCs w:val="22"/>
          <w14:ligatures w14:val="none"/>
        </w:rPr>
        <w:lastRenderedPageBreak/>
        <w:t>This brings the narrative full circle. The new wave of AI-specific regulation is</w:t>
      </w:r>
      <w:proofErr w:type="gramStart"/>
      <w:r w:rsidRPr="004A5F98">
        <w:rPr>
          <w:rFonts w:eastAsia="Times New Roman" w:cs="Times New Roman"/>
          <w:kern w:val="0"/>
          <w:sz w:val="22"/>
          <w:szCs w:val="22"/>
          <w14:ligatures w14:val="none"/>
        </w:rPr>
        <w:t>, in reality, the</w:t>
      </w:r>
      <w:proofErr w:type="gramEnd"/>
      <w:r w:rsidRPr="004A5F98">
        <w:rPr>
          <w:rFonts w:eastAsia="Times New Roman" w:cs="Times New Roman"/>
          <w:kern w:val="0"/>
          <w:sz w:val="22"/>
          <w:szCs w:val="22"/>
          <w14:ligatures w14:val="none"/>
        </w:rPr>
        <w:t xml:space="preserve"> next evolution of operational resilience.</w:t>
      </w:r>
    </w:p>
    <w:p w14:paraId="74ED8466" w14:textId="77777777" w:rsidR="00564E6D" w:rsidRPr="004A5F98" w:rsidRDefault="00564E6D" w:rsidP="00564E6D">
      <w:pPr>
        <w:numPr>
          <w:ilvl w:val="0"/>
          <w:numId w:val="4"/>
        </w:numPr>
        <w:spacing w:before="100" w:beforeAutospacing="1" w:after="100" w:afterAutospacing="1" w:line="240" w:lineRule="auto"/>
        <w:rPr>
          <w:rFonts w:eastAsia="Times New Roman" w:cs="Times New Roman"/>
          <w:kern w:val="0"/>
          <w:sz w:val="22"/>
          <w:szCs w:val="22"/>
          <w14:ligatures w14:val="none"/>
        </w:rPr>
      </w:pPr>
      <w:r w:rsidRPr="004A5F98">
        <w:rPr>
          <w:rFonts w:eastAsia="Times New Roman" w:cs="Times New Roman"/>
          <w:kern w:val="0"/>
          <w:sz w:val="22"/>
          <w:szCs w:val="22"/>
          <w14:ligatures w14:val="none"/>
        </w:rPr>
        <w:t xml:space="preserve">The </w:t>
      </w:r>
      <w:r w:rsidRPr="004A5F98">
        <w:rPr>
          <w:rFonts w:eastAsia="Times New Roman" w:cs="Times New Roman"/>
          <w:b/>
          <w:bCs/>
          <w:kern w:val="0"/>
          <w:sz w:val="22"/>
          <w:szCs w:val="22"/>
          <w14:ligatures w14:val="none"/>
        </w:rPr>
        <w:t>NIST AI Risk Management Framework</w:t>
      </w:r>
      <w:r w:rsidRPr="004A5F98">
        <w:rPr>
          <w:rFonts w:eastAsia="Times New Roman" w:cs="Times New Roman"/>
          <w:kern w:val="0"/>
          <w:sz w:val="22"/>
          <w:szCs w:val="22"/>
          <w14:ligatures w14:val="none"/>
        </w:rPr>
        <w:t xml:space="preserve"> is a guide for building "trustworthy" AI, but its core tenets—Govern, Map, Measure, </w:t>
      </w:r>
      <w:proofErr w:type="gramStart"/>
      <w:r w:rsidRPr="004A5F98">
        <w:rPr>
          <w:rFonts w:eastAsia="Times New Roman" w:cs="Times New Roman"/>
          <w:kern w:val="0"/>
          <w:sz w:val="22"/>
          <w:szCs w:val="22"/>
          <w14:ligatures w14:val="none"/>
        </w:rPr>
        <w:t>Manage</w:t>
      </w:r>
      <w:proofErr w:type="gramEnd"/>
      <w:r w:rsidRPr="004A5F98">
        <w:rPr>
          <w:rFonts w:eastAsia="Times New Roman" w:cs="Times New Roman"/>
          <w:kern w:val="0"/>
          <w:sz w:val="22"/>
          <w:szCs w:val="22"/>
          <w14:ligatures w14:val="none"/>
        </w:rPr>
        <w:t>—are resilience principles for this new asset class.</w:t>
      </w:r>
    </w:p>
    <w:p w14:paraId="56FD346A" w14:textId="77777777" w:rsidR="00564E6D" w:rsidRPr="004A5F98" w:rsidRDefault="00564E6D" w:rsidP="00564E6D">
      <w:pPr>
        <w:numPr>
          <w:ilvl w:val="0"/>
          <w:numId w:val="4"/>
        </w:numPr>
        <w:spacing w:before="100" w:beforeAutospacing="1" w:after="100" w:afterAutospacing="1" w:line="240" w:lineRule="auto"/>
        <w:rPr>
          <w:rFonts w:eastAsia="Times New Roman" w:cs="Times New Roman"/>
          <w:kern w:val="0"/>
          <w:sz w:val="22"/>
          <w:szCs w:val="22"/>
          <w14:ligatures w14:val="none"/>
        </w:rPr>
      </w:pPr>
      <w:r w:rsidRPr="004A5F98">
        <w:rPr>
          <w:rFonts w:eastAsia="Times New Roman" w:cs="Times New Roman"/>
          <w:kern w:val="0"/>
          <w:sz w:val="22"/>
          <w:szCs w:val="22"/>
          <w14:ligatures w14:val="none"/>
        </w:rPr>
        <w:t xml:space="preserve">The </w:t>
      </w:r>
      <w:r w:rsidRPr="004A5F98">
        <w:rPr>
          <w:rFonts w:eastAsia="Times New Roman" w:cs="Times New Roman"/>
          <w:b/>
          <w:bCs/>
          <w:kern w:val="0"/>
          <w:sz w:val="22"/>
          <w:szCs w:val="22"/>
          <w14:ligatures w14:val="none"/>
        </w:rPr>
        <w:t>EU-AI Act</w:t>
      </w:r>
      <w:r w:rsidRPr="004A5F98">
        <w:rPr>
          <w:rFonts w:eastAsia="Times New Roman" w:cs="Times New Roman"/>
          <w:kern w:val="0"/>
          <w:sz w:val="22"/>
          <w:szCs w:val="22"/>
          <w14:ligatures w14:val="none"/>
        </w:rPr>
        <w:t xml:space="preserve"> mandates that high-risk AI systems must be "robust," "accurate," and "secure." These are not just tech buzzwords; they are the new legal and regulatory definitions of operational resilience for an intelligent system.</w:t>
      </w:r>
    </w:p>
    <w:p w14:paraId="4AD0ADFC" w14:textId="77777777" w:rsidR="00564E6D" w:rsidRPr="004A5F98" w:rsidRDefault="00564E6D" w:rsidP="00564E6D">
      <w:pPr>
        <w:spacing w:before="100" w:beforeAutospacing="1" w:after="100" w:afterAutospacing="1" w:line="240" w:lineRule="auto"/>
        <w:rPr>
          <w:rFonts w:eastAsia="Times New Roman" w:cs="Times New Roman"/>
          <w:kern w:val="0"/>
          <w:sz w:val="22"/>
          <w:szCs w:val="22"/>
          <w14:ligatures w14:val="none"/>
        </w:rPr>
      </w:pPr>
      <w:r w:rsidRPr="004A5F98">
        <w:rPr>
          <w:rFonts w:eastAsia="Times New Roman" w:cs="Times New Roman"/>
          <w:kern w:val="0"/>
          <w:sz w:val="22"/>
          <w:szCs w:val="22"/>
          <w14:ligatures w14:val="none"/>
        </w:rPr>
        <w:t>In essence, the regulatory landscape has evolved from worrying about a single server in a basement, to overseeing global cloud providers, and now, to governing the integrity of the very logic and intelligence that runs the business.</w:t>
      </w:r>
    </w:p>
    <w:p w14:paraId="2354E9F6" w14:textId="091A8023" w:rsidR="00564E6D" w:rsidRDefault="00564E6D"/>
    <w:p w14:paraId="787D4F8D" w14:textId="79C40A44" w:rsidR="00F240EC" w:rsidRPr="00F240EC" w:rsidRDefault="00F240EC" w:rsidP="00F240EC">
      <w:pPr>
        <w:pStyle w:val="Heading2"/>
        <w:rPr>
          <w:sz w:val="28"/>
          <w:szCs w:val="28"/>
        </w:rPr>
      </w:pPr>
      <w:r w:rsidRPr="00F240EC">
        <w:rPr>
          <w:sz w:val="28"/>
          <w:szCs w:val="28"/>
        </w:rPr>
        <w:t>The Evolution of Resilience Regulation: From Operational Risk to AI Governance</w:t>
      </w:r>
    </w:p>
    <w:tbl>
      <w:tblPr>
        <w:tblStyle w:val="TableGrid"/>
        <w:tblpPr w:leftFromText="180" w:rightFromText="180" w:vertAnchor="text" w:tblpX="-635" w:tblpY="1"/>
        <w:tblOverlap w:val="never"/>
        <w:tblW w:w="10350" w:type="dxa"/>
        <w:tblLook w:val="04A0" w:firstRow="1" w:lastRow="0" w:firstColumn="1" w:lastColumn="0" w:noHBand="0" w:noVBand="1"/>
      </w:tblPr>
      <w:tblGrid>
        <w:gridCol w:w="1271"/>
        <w:gridCol w:w="1328"/>
        <w:gridCol w:w="1338"/>
        <w:gridCol w:w="2095"/>
        <w:gridCol w:w="4318"/>
      </w:tblGrid>
      <w:tr w:rsidR="00564E6D" w:rsidRPr="00564E6D" w14:paraId="3C492497" w14:textId="77777777" w:rsidTr="00D51717">
        <w:trPr>
          <w:tblHeader/>
        </w:trPr>
        <w:tc>
          <w:tcPr>
            <w:tcW w:w="0" w:type="auto"/>
            <w:shd w:val="clear" w:color="auto" w:fill="0E2841" w:themeFill="text2"/>
            <w:hideMark/>
          </w:tcPr>
          <w:p w14:paraId="76FCE862" w14:textId="77777777" w:rsidR="00564E6D" w:rsidRPr="00564E6D" w:rsidRDefault="00564E6D" w:rsidP="00D51717">
            <w:pPr>
              <w:spacing w:after="160" w:line="278" w:lineRule="auto"/>
              <w:jc w:val="center"/>
              <w:rPr>
                <w:sz w:val="16"/>
                <w:szCs w:val="16"/>
              </w:rPr>
            </w:pPr>
            <w:r w:rsidRPr="00564E6D">
              <w:rPr>
                <w:b/>
                <w:bCs/>
                <w:sz w:val="16"/>
                <w:szCs w:val="16"/>
              </w:rPr>
              <w:t>Regulation Name</w:t>
            </w:r>
          </w:p>
        </w:tc>
        <w:tc>
          <w:tcPr>
            <w:tcW w:w="0" w:type="auto"/>
            <w:shd w:val="clear" w:color="auto" w:fill="0E2841" w:themeFill="text2"/>
            <w:hideMark/>
          </w:tcPr>
          <w:p w14:paraId="5F6BE811" w14:textId="77777777" w:rsidR="00564E6D" w:rsidRPr="00564E6D" w:rsidRDefault="00564E6D" w:rsidP="00D51717">
            <w:pPr>
              <w:spacing w:after="160" w:line="278" w:lineRule="auto"/>
              <w:jc w:val="center"/>
              <w:rPr>
                <w:sz w:val="16"/>
                <w:szCs w:val="16"/>
              </w:rPr>
            </w:pPr>
            <w:r w:rsidRPr="00564E6D">
              <w:rPr>
                <w:b/>
                <w:bCs/>
                <w:sz w:val="16"/>
                <w:szCs w:val="16"/>
              </w:rPr>
              <w:t>Date Implemented</w:t>
            </w:r>
          </w:p>
        </w:tc>
        <w:tc>
          <w:tcPr>
            <w:tcW w:w="0" w:type="auto"/>
            <w:shd w:val="clear" w:color="auto" w:fill="0E2841" w:themeFill="text2"/>
            <w:hideMark/>
          </w:tcPr>
          <w:p w14:paraId="49B2C6BE" w14:textId="77777777" w:rsidR="00564E6D" w:rsidRPr="00564E6D" w:rsidRDefault="00564E6D" w:rsidP="00D51717">
            <w:pPr>
              <w:spacing w:after="160" w:line="278" w:lineRule="auto"/>
              <w:jc w:val="center"/>
              <w:rPr>
                <w:sz w:val="16"/>
                <w:szCs w:val="16"/>
              </w:rPr>
            </w:pPr>
            <w:r w:rsidRPr="00564E6D">
              <w:rPr>
                <w:b/>
                <w:bCs/>
                <w:sz w:val="16"/>
                <w:szCs w:val="16"/>
              </w:rPr>
              <w:t>Applicable Region</w:t>
            </w:r>
          </w:p>
        </w:tc>
        <w:tc>
          <w:tcPr>
            <w:tcW w:w="0" w:type="auto"/>
            <w:shd w:val="clear" w:color="auto" w:fill="0E2841" w:themeFill="text2"/>
            <w:hideMark/>
          </w:tcPr>
          <w:p w14:paraId="6A7F3672" w14:textId="77777777" w:rsidR="00564E6D" w:rsidRPr="00564E6D" w:rsidRDefault="00564E6D" w:rsidP="00D51717">
            <w:pPr>
              <w:spacing w:after="160" w:line="278" w:lineRule="auto"/>
              <w:jc w:val="center"/>
              <w:rPr>
                <w:sz w:val="16"/>
                <w:szCs w:val="16"/>
              </w:rPr>
            </w:pPr>
            <w:r w:rsidRPr="00564E6D">
              <w:rPr>
                <w:b/>
                <w:bCs/>
                <w:sz w:val="16"/>
                <w:szCs w:val="16"/>
              </w:rPr>
              <w:t>Bullet Points of Requirements (Concise)</w:t>
            </w:r>
          </w:p>
        </w:tc>
        <w:tc>
          <w:tcPr>
            <w:tcW w:w="4318" w:type="dxa"/>
            <w:shd w:val="clear" w:color="auto" w:fill="0E2841" w:themeFill="text2"/>
            <w:hideMark/>
          </w:tcPr>
          <w:p w14:paraId="2D58A1EF" w14:textId="77777777" w:rsidR="00564E6D" w:rsidRPr="00564E6D" w:rsidRDefault="00564E6D" w:rsidP="00D51717">
            <w:pPr>
              <w:spacing w:after="160" w:line="278" w:lineRule="auto"/>
              <w:jc w:val="center"/>
              <w:rPr>
                <w:sz w:val="16"/>
                <w:szCs w:val="16"/>
              </w:rPr>
            </w:pPr>
            <w:r w:rsidRPr="00564E6D">
              <w:rPr>
                <w:b/>
                <w:bCs/>
                <w:sz w:val="16"/>
                <w:szCs w:val="16"/>
              </w:rPr>
              <w:t>Talking Point (Background &amp; Relevance)</w:t>
            </w:r>
          </w:p>
        </w:tc>
      </w:tr>
      <w:tr w:rsidR="00564E6D" w:rsidRPr="00564E6D" w14:paraId="553C6060" w14:textId="77777777" w:rsidTr="00D51717">
        <w:tc>
          <w:tcPr>
            <w:tcW w:w="0" w:type="auto"/>
            <w:hideMark/>
          </w:tcPr>
          <w:p w14:paraId="5D0D9BBB" w14:textId="77777777" w:rsidR="00564E6D" w:rsidRPr="00564E6D" w:rsidRDefault="00564E6D" w:rsidP="00D51717">
            <w:pPr>
              <w:spacing w:after="160" w:line="278" w:lineRule="auto"/>
              <w:rPr>
                <w:sz w:val="12"/>
                <w:szCs w:val="12"/>
              </w:rPr>
            </w:pPr>
            <w:r w:rsidRPr="00564E6D">
              <w:rPr>
                <w:b/>
                <w:bCs/>
                <w:sz w:val="12"/>
                <w:szCs w:val="12"/>
              </w:rPr>
              <w:t>SR 11-7: Guidance on Model Risk Management</w:t>
            </w:r>
          </w:p>
        </w:tc>
        <w:tc>
          <w:tcPr>
            <w:tcW w:w="0" w:type="auto"/>
            <w:hideMark/>
          </w:tcPr>
          <w:p w14:paraId="6E1C3DD5" w14:textId="77777777" w:rsidR="00564E6D" w:rsidRPr="00564E6D" w:rsidRDefault="00564E6D" w:rsidP="00D51717">
            <w:pPr>
              <w:spacing w:after="160" w:line="278" w:lineRule="auto"/>
              <w:rPr>
                <w:sz w:val="12"/>
                <w:szCs w:val="12"/>
              </w:rPr>
            </w:pPr>
            <w:r w:rsidRPr="00564E6D">
              <w:rPr>
                <w:sz w:val="12"/>
                <w:szCs w:val="12"/>
              </w:rPr>
              <w:t>April 4, 2011</w:t>
            </w:r>
          </w:p>
        </w:tc>
        <w:tc>
          <w:tcPr>
            <w:tcW w:w="0" w:type="auto"/>
            <w:hideMark/>
          </w:tcPr>
          <w:p w14:paraId="4C7CF99B" w14:textId="77777777" w:rsidR="00564E6D" w:rsidRPr="00564E6D" w:rsidRDefault="00564E6D" w:rsidP="00D51717">
            <w:pPr>
              <w:spacing w:after="160" w:line="278" w:lineRule="auto"/>
              <w:rPr>
                <w:sz w:val="12"/>
                <w:szCs w:val="12"/>
              </w:rPr>
            </w:pPr>
            <w:r w:rsidRPr="00564E6D">
              <w:rPr>
                <w:b/>
                <w:bCs/>
                <w:sz w:val="12"/>
                <w:szCs w:val="12"/>
              </w:rPr>
              <w:t>US</w:t>
            </w:r>
            <w:r w:rsidRPr="00564E6D">
              <w:rPr>
                <w:sz w:val="12"/>
                <w:szCs w:val="12"/>
              </w:rPr>
              <w:t xml:space="preserve"> (Financial Institutions)</w:t>
            </w:r>
          </w:p>
        </w:tc>
        <w:tc>
          <w:tcPr>
            <w:tcW w:w="0" w:type="auto"/>
            <w:hideMark/>
          </w:tcPr>
          <w:p w14:paraId="7180986E" w14:textId="77777777" w:rsidR="00564E6D" w:rsidRPr="00564E6D" w:rsidRDefault="00564E6D" w:rsidP="00D51717">
            <w:pPr>
              <w:spacing w:after="160" w:line="278" w:lineRule="auto"/>
              <w:rPr>
                <w:sz w:val="12"/>
                <w:szCs w:val="12"/>
              </w:rPr>
            </w:pPr>
            <w:r w:rsidRPr="00564E6D">
              <w:rPr>
                <w:sz w:val="12"/>
                <w:szCs w:val="12"/>
              </w:rPr>
              <w:t xml:space="preserve">• </w:t>
            </w:r>
            <w:r w:rsidRPr="00564E6D">
              <w:rPr>
                <w:b/>
                <w:bCs/>
                <w:sz w:val="12"/>
                <w:szCs w:val="12"/>
              </w:rPr>
              <w:t>Model Validation:</w:t>
            </w:r>
            <w:r w:rsidRPr="00564E6D">
              <w:rPr>
                <w:sz w:val="12"/>
                <w:szCs w:val="12"/>
              </w:rPr>
              <w:t xml:space="preserve"> Requires robust validation of model inputs, processing, and outputs.</w:t>
            </w:r>
          </w:p>
          <w:p w14:paraId="4A77AB8E" w14:textId="0797D4CB" w:rsidR="00564E6D" w:rsidRPr="00564E6D" w:rsidRDefault="00564E6D" w:rsidP="00D51717">
            <w:pPr>
              <w:spacing w:after="160" w:line="278" w:lineRule="auto"/>
              <w:rPr>
                <w:sz w:val="12"/>
                <w:szCs w:val="12"/>
              </w:rPr>
            </w:pPr>
            <w:r w:rsidRPr="00564E6D">
              <w:rPr>
                <w:sz w:val="12"/>
                <w:szCs w:val="12"/>
              </w:rPr>
              <w:br/>
              <w:t xml:space="preserve">• </w:t>
            </w:r>
            <w:r w:rsidRPr="00564E6D">
              <w:rPr>
                <w:b/>
                <w:bCs/>
                <w:sz w:val="12"/>
                <w:szCs w:val="12"/>
              </w:rPr>
              <w:t>Governance:</w:t>
            </w:r>
            <w:r w:rsidRPr="00564E6D">
              <w:rPr>
                <w:sz w:val="12"/>
                <w:szCs w:val="12"/>
              </w:rPr>
              <w:t xml:space="preserve"> Mandates a strong governance framework, including board oversight and clear roles.</w:t>
            </w:r>
          </w:p>
          <w:p w14:paraId="6DEDE3A5" w14:textId="4D2B0CD3" w:rsidR="00564E6D" w:rsidRPr="00564E6D" w:rsidRDefault="00564E6D" w:rsidP="00D51717">
            <w:pPr>
              <w:spacing w:after="160" w:line="278" w:lineRule="auto"/>
              <w:rPr>
                <w:sz w:val="12"/>
                <w:szCs w:val="12"/>
              </w:rPr>
            </w:pPr>
            <w:r w:rsidRPr="00564E6D">
              <w:rPr>
                <w:sz w:val="12"/>
                <w:szCs w:val="12"/>
              </w:rPr>
              <w:br/>
              <w:t xml:space="preserve">• </w:t>
            </w:r>
            <w:r w:rsidRPr="00564E6D">
              <w:rPr>
                <w:b/>
                <w:bCs/>
                <w:sz w:val="12"/>
                <w:szCs w:val="12"/>
              </w:rPr>
              <w:t>Documentation:</w:t>
            </w:r>
            <w:r w:rsidRPr="00564E6D">
              <w:rPr>
                <w:sz w:val="12"/>
                <w:szCs w:val="12"/>
              </w:rPr>
              <w:t xml:space="preserve"> Requires comprehensive documentation for all model components and processes.</w:t>
            </w:r>
          </w:p>
          <w:p w14:paraId="5EAA2B39" w14:textId="77777777" w:rsidR="00564E6D" w:rsidRPr="00564E6D" w:rsidRDefault="00564E6D" w:rsidP="00D51717">
            <w:pPr>
              <w:spacing w:after="160" w:line="278" w:lineRule="auto"/>
              <w:rPr>
                <w:sz w:val="12"/>
                <w:szCs w:val="12"/>
              </w:rPr>
            </w:pPr>
            <w:r w:rsidRPr="00564E6D">
              <w:rPr>
                <w:sz w:val="12"/>
                <w:szCs w:val="12"/>
              </w:rPr>
              <w:t xml:space="preserve">• </w:t>
            </w:r>
            <w:r w:rsidRPr="00564E6D">
              <w:rPr>
                <w:b/>
                <w:bCs/>
                <w:sz w:val="12"/>
                <w:szCs w:val="12"/>
              </w:rPr>
              <w:t>Ongoing Monitoring:</w:t>
            </w:r>
            <w:r w:rsidRPr="00564E6D">
              <w:rPr>
                <w:sz w:val="12"/>
                <w:szCs w:val="12"/>
              </w:rPr>
              <w:t xml:space="preserve"> Requires continuous monitoring to ensure models perform as intended over time.</w:t>
            </w:r>
          </w:p>
        </w:tc>
        <w:tc>
          <w:tcPr>
            <w:tcW w:w="4318" w:type="dxa"/>
            <w:hideMark/>
          </w:tcPr>
          <w:p w14:paraId="414904AC" w14:textId="77777777" w:rsidR="00564E6D" w:rsidRPr="00564E6D" w:rsidRDefault="00564E6D" w:rsidP="00D51717">
            <w:pPr>
              <w:spacing w:after="160" w:line="278" w:lineRule="auto"/>
              <w:rPr>
                <w:sz w:val="12"/>
                <w:szCs w:val="12"/>
              </w:rPr>
            </w:pPr>
            <w:r w:rsidRPr="00564E6D">
              <w:rPr>
                <w:b/>
                <w:bCs/>
                <w:sz w:val="12"/>
                <w:szCs w:val="12"/>
              </w:rPr>
              <w:t>Background:</w:t>
            </w:r>
            <w:r w:rsidRPr="00564E6D">
              <w:rPr>
                <w:sz w:val="12"/>
                <w:szCs w:val="12"/>
              </w:rPr>
              <w:t xml:space="preserve"> This was a direct response to the 2008 financial crisis, which was heavily fueled by the failure and misuse of complex financial models (e.g., for mortgage-backed securities).</w:t>
            </w:r>
          </w:p>
          <w:p w14:paraId="575AE628" w14:textId="1D07115E" w:rsidR="00564E6D" w:rsidRPr="00564E6D" w:rsidRDefault="00564E6D" w:rsidP="00D51717">
            <w:pPr>
              <w:spacing w:after="160" w:line="278" w:lineRule="auto"/>
              <w:rPr>
                <w:sz w:val="12"/>
                <w:szCs w:val="12"/>
              </w:rPr>
            </w:pPr>
            <w:r w:rsidRPr="00564E6D">
              <w:rPr>
                <w:sz w:val="12"/>
                <w:szCs w:val="12"/>
              </w:rPr>
              <w:br/>
            </w:r>
            <w:r w:rsidRPr="00564E6D">
              <w:rPr>
                <w:b/>
                <w:bCs/>
                <w:sz w:val="12"/>
                <w:szCs w:val="12"/>
              </w:rPr>
              <w:t>Relevance:</w:t>
            </w:r>
            <w:r w:rsidRPr="00564E6D">
              <w:rPr>
                <w:sz w:val="12"/>
                <w:szCs w:val="12"/>
              </w:rPr>
              <w:t xml:space="preserve"> While pre-dating the modern AI boom, SR 11-7 is the foundational framework for AI/ML model governance in US banking. Regulators apply its principles directly to AI, making it a "traditional" rule that now governs AI resilience.</w:t>
            </w:r>
          </w:p>
        </w:tc>
      </w:tr>
      <w:tr w:rsidR="00564E6D" w:rsidRPr="00564E6D" w14:paraId="7E3E7D10" w14:textId="77777777" w:rsidTr="00D51717">
        <w:tc>
          <w:tcPr>
            <w:tcW w:w="0" w:type="auto"/>
            <w:hideMark/>
          </w:tcPr>
          <w:p w14:paraId="084A2689" w14:textId="77777777" w:rsidR="00564E6D" w:rsidRPr="00564E6D" w:rsidRDefault="00564E6D" w:rsidP="00D51717">
            <w:pPr>
              <w:spacing w:after="160" w:line="278" w:lineRule="auto"/>
              <w:rPr>
                <w:sz w:val="12"/>
                <w:szCs w:val="12"/>
              </w:rPr>
            </w:pPr>
            <w:r w:rsidRPr="00564E6D">
              <w:rPr>
                <w:b/>
                <w:bCs/>
                <w:sz w:val="12"/>
                <w:szCs w:val="12"/>
              </w:rPr>
              <w:t>BCBS: Principles for Operational Resilience</w:t>
            </w:r>
          </w:p>
        </w:tc>
        <w:tc>
          <w:tcPr>
            <w:tcW w:w="0" w:type="auto"/>
            <w:hideMark/>
          </w:tcPr>
          <w:p w14:paraId="1FB4F937" w14:textId="77777777" w:rsidR="00564E6D" w:rsidRPr="00564E6D" w:rsidRDefault="00564E6D" w:rsidP="00D51717">
            <w:pPr>
              <w:spacing w:after="160" w:line="278" w:lineRule="auto"/>
              <w:rPr>
                <w:sz w:val="12"/>
                <w:szCs w:val="12"/>
              </w:rPr>
            </w:pPr>
            <w:r w:rsidRPr="00564E6D">
              <w:rPr>
                <w:sz w:val="12"/>
                <w:szCs w:val="12"/>
              </w:rPr>
              <w:t>March 31, 2021</w:t>
            </w:r>
          </w:p>
        </w:tc>
        <w:tc>
          <w:tcPr>
            <w:tcW w:w="0" w:type="auto"/>
            <w:hideMark/>
          </w:tcPr>
          <w:p w14:paraId="7CC9633B" w14:textId="77777777" w:rsidR="00564E6D" w:rsidRPr="00564E6D" w:rsidRDefault="00564E6D" w:rsidP="00D51717">
            <w:pPr>
              <w:spacing w:after="160" w:line="278" w:lineRule="auto"/>
              <w:rPr>
                <w:sz w:val="12"/>
                <w:szCs w:val="12"/>
              </w:rPr>
            </w:pPr>
            <w:r w:rsidRPr="00564E6D">
              <w:rPr>
                <w:b/>
                <w:bCs/>
                <w:sz w:val="12"/>
                <w:szCs w:val="12"/>
              </w:rPr>
              <w:t>Global</w:t>
            </w:r>
            <w:r w:rsidRPr="00564E6D">
              <w:rPr>
                <w:sz w:val="12"/>
                <w:szCs w:val="12"/>
              </w:rPr>
              <w:t xml:space="preserve"> (Banking - Basel Committee member jurisdictions)</w:t>
            </w:r>
          </w:p>
        </w:tc>
        <w:tc>
          <w:tcPr>
            <w:tcW w:w="0" w:type="auto"/>
            <w:hideMark/>
          </w:tcPr>
          <w:p w14:paraId="54F0CDBC" w14:textId="77777777" w:rsidR="00564E6D" w:rsidRPr="00564E6D" w:rsidRDefault="00564E6D" w:rsidP="00D51717">
            <w:pPr>
              <w:spacing w:after="160" w:line="278" w:lineRule="auto"/>
              <w:rPr>
                <w:sz w:val="12"/>
                <w:szCs w:val="12"/>
              </w:rPr>
            </w:pPr>
            <w:r w:rsidRPr="00564E6D">
              <w:rPr>
                <w:sz w:val="12"/>
                <w:szCs w:val="12"/>
              </w:rPr>
              <w:t xml:space="preserve">• </w:t>
            </w:r>
            <w:r w:rsidRPr="00564E6D">
              <w:rPr>
                <w:b/>
                <w:bCs/>
                <w:sz w:val="12"/>
                <w:szCs w:val="12"/>
              </w:rPr>
              <w:t>Governance:</w:t>
            </w:r>
            <w:r w:rsidRPr="00564E6D">
              <w:rPr>
                <w:sz w:val="12"/>
                <w:szCs w:val="12"/>
              </w:rPr>
              <w:t xml:space="preserve"> Establish a clear operational resilience approach and governance structure.</w:t>
            </w:r>
          </w:p>
          <w:p w14:paraId="7EC80B09" w14:textId="6CD7CB00" w:rsidR="00564E6D" w:rsidRPr="00564E6D" w:rsidRDefault="00564E6D" w:rsidP="00D51717">
            <w:pPr>
              <w:spacing w:after="160" w:line="278" w:lineRule="auto"/>
              <w:rPr>
                <w:sz w:val="12"/>
                <w:szCs w:val="12"/>
              </w:rPr>
            </w:pPr>
            <w:r w:rsidRPr="00564E6D">
              <w:rPr>
                <w:sz w:val="12"/>
                <w:szCs w:val="12"/>
              </w:rPr>
              <w:t xml:space="preserve">• </w:t>
            </w:r>
            <w:r w:rsidRPr="00564E6D">
              <w:rPr>
                <w:b/>
                <w:bCs/>
                <w:sz w:val="12"/>
                <w:szCs w:val="12"/>
              </w:rPr>
              <w:t>Identify Critical Operations:</w:t>
            </w:r>
            <w:r w:rsidRPr="00564E6D">
              <w:rPr>
                <w:sz w:val="12"/>
                <w:szCs w:val="12"/>
              </w:rPr>
              <w:t xml:space="preserve"> Identify and map critical operations, processes, and supporting resources.</w:t>
            </w:r>
          </w:p>
          <w:p w14:paraId="7DB2CE9E" w14:textId="77777777" w:rsidR="00564E6D" w:rsidRPr="00564E6D" w:rsidRDefault="00564E6D" w:rsidP="00D51717">
            <w:pPr>
              <w:spacing w:after="160" w:line="278" w:lineRule="auto"/>
              <w:rPr>
                <w:sz w:val="12"/>
                <w:szCs w:val="12"/>
              </w:rPr>
            </w:pPr>
            <w:r w:rsidRPr="00564E6D">
              <w:rPr>
                <w:sz w:val="12"/>
                <w:szCs w:val="12"/>
              </w:rPr>
              <w:t xml:space="preserve">• </w:t>
            </w:r>
            <w:r w:rsidRPr="00564E6D">
              <w:rPr>
                <w:b/>
                <w:bCs/>
                <w:sz w:val="12"/>
                <w:szCs w:val="12"/>
              </w:rPr>
              <w:t>Set Impact Tolerances:</w:t>
            </w:r>
            <w:r w:rsidRPr="00564E6D">
              <w:rPr>
                <w:sz w:val="12"/>
                <w:szCs w:val="12"/>
              </w:rPr>
              <w:t xml:space="preserve"> Define tolerance for disruption for each critical operation.</w:t>
            </w:r>
          </w:p>
          <w:p w14:paraId="4F9E511B" w14:textId="77777777" w:rsidR="00564E6D" w:rsidRPr="00564E6D" w:rsidRDefault="00564E6D" w:rsidP="00D51717">
            <w:pPr>
              <w:spacing w:after="160" w:line="278" w:lineRule="auto"/>
              <w:rPr>
                <w:sz w:val="12"/>
                <w:szCs w:val="12"/>
              </w:rPr>
            </w:pPr>
            <w:r w:rsidRPr="00564E6D">
              <w:rPr>
                <w:sz w:val="12"/>
                <w:szCs w:val="12"/>
              </w:rPr>
              <w:t xml:space="preserve">• </w:t>
            </w:r>
            <w:r w:rsidRPr="00564E6D">
              <w:rPr>
                <w:b/>
                <w:bCs/>
                <w:sz w:val="12"/>
                <w:szCs w:val="12"/>
              </w:rPr>
              <w:t>Testing:</w:t>
            </w:r>
            <w:r w:rsidRPr="00564E6D">
              <w:rPr>
                <w:sz w:val="12"/>
                <w:szCs w:val="12"/>
              </w:rPr>
              <w:t xml:space="preserve"> Test the ability to remain within impact tolerances through severe but plausible scenarios.</w:t>
            </w:r>
          </w:p>
          <w:p w14:paraId="48D6FFA7" w14:textId="6DD3AE6F" w:rsidR="00564E6D" w:rsidRPr="00564E6D" w:rsidRDefault="00564E6D" w:rsidP="00D51717">
            <w:pPr>
              <w:spacing w:after="160" w:line="278" w:lineRule="auto"/>
              <w:rPr>
                <w:sz w:val="12"/>
                <w:szCs w:val="12"/>
              </w:rPr>
            </w:pPr>
            <w:r w:rsidRPr="00564E6D">
              <w:rPr>
                <w:sz w:val="12"/>
                <w:szCs w:val="12"/>
              </w:rPr>
              <w:br/>
              <w:t xml:space="preserve">• </w:t>
            </w:r>
            <w:r w:rsidRPr="00564E6D">
              <w:rPr>
                <w:b/>
                <w:bCs/>
                <w:sz w:val="12"/>
                <w:szCs w:val="12"/>
              </w:rPr>
              <w:t>Third-Party Risk:</w:t>
            </w:r>
            <w:r w:rsidRPr="00564E6D">
              <w:rPr>
                <w:sz w:val="12"/>
                <w:szCs w:val="12"/>
              </w:rPr>
              <w:t xml:space="preserve"> Manage dependencies on third-party service providers.</w:t>
            </w:r>
          </w:p>
        </w:tc>
        <w:tc>
          <w:tcPr>
            <w:tcW w:w="4318" w:type="dxa"/>
            <w:hideMark/>
          </w:tcPr>
          <w:p w14:paraId="7B1A9543" w14:textId="77777777" w:rsidR="00564E6D" w:rsidRPr="00564E6D" w:rsidRDefault="00564E6D" w:rsidP="00D51717">
            <w:pPr>
              <w:spacing w:after="160" w:line="278" w:lineRule="auto"/>
              <w:rPr>
                <w:sz w:val="12"/>
                <w:szCs w:val="12"/>
              </w:rPr>
            </w:pPr>
            <w:r w:rsidRPr="00564E6D">
              <w:rPr>
                <w:b/>
                <w:bCs/>
                <w:sz w:val="12"/>
                <w:szCs w:val="12"/>
              </w:rPr>
              <w:t>Background:</w:t>
            </w:r>
            <w:r w:rsidRPr="00564E6D">
              <w:rPr>
                <w:sz w:val="12"/>
                <w:szCs w:val="12"/>
              </w:rPr>
              <w:t xml:space="preserve"> Published in the wake of the COVID-19 pandemic and rising, sophisticated cyber-attacks (like ransomware). Regulators saw that "Business Continuity Planning" was no longer enough.</w:t>
            </w:r>
          </w:p>
          <w:p w14:paraId="4FEAD01B" w14:textId="77777777" w:rsidR="00564E6D" w:rsidRPr="00564E6D" w:rsidRDefault="00564E6D" w:rsidP="00D51717">
            <w:pPr>
              <w:spacing w:after="160" w:line="278" w:lineRule="auto"/>
              <w:rPr>
                <w:sz w:val="12"/>
                <w:szCs w:val="12"/>
              </w:rPr>
            </w:pPr>
            <w:r w:rsidRPr="00564E6D">
              <w:rPr>
                <w:b/>
                <w:bCs/>
                <w:sz w:val="12"/>
                <w:szCs w:val="12"/>
              </w:rPr>
              <w:t>Relevance:</w:t>
            </w:r>
            <w:r w:rsidRPr="00564E6D">
              <w:rPr>
                <w:sz w:val="12"/>
                <w:szCs w:val="12"/>
              </w:rPr>
              <w:t xml:space="preserve"> This marked a significant global shift from reactive </w:t>
            </w:r>
            <w:r w:rsidRPr="00564E6D">
              <w:rPr>
                <w:i/>
                <w:iCs/>
                <w:sz w:val="12"/>
                <w:szCs w:val="12"/>
              </w:rPr>
              <w:t>disaster recovery</w:t>
            </w:r>
            <w:r w:rsidRPr="00564E6D">
              <w:rPr>
                <w:sz w:val="12"/>
                <w:szCs w:val="12"/>
              </w:rPr>
              <w:t xml:space="preserve"> to proactive </w:t>
            </w:r>
            <w:r w:rsidRPr="00564E6D">
              <w:rPr>
                <w:i/>
                <w:iCs/>
                <w:sz w:val="12"/>
                <w:szCs w:val="12"/>
              </w:rPr>
              <w:t>operational resilience</w:t>
            </w:r>
            <w:r w:rsidRPr="00564E6D">
              <w:rPr>
                <w:sz w:val="12"/>
                <w:szCs w:val="12"/>
              </w:rPr>
              <w:t xml:space="preserve">. The focus moved from "how do we recover our systems?" to "how do we continue serving our critical customers </w:t>
            </w:r>
            <w:r w:rsidRPr="00564E6D">
              <w:rPr>
                <w:i/>
                <w:iCs/>
                <w:sz w:val="12"/>
                <w:szCs w:val="12"/>
              </w:rPr>
              <w:t>during</w:t>
            </w:r>
            <w:r w:rsidRPr="00564E6D">
              <w:rPr>
                <w:sz w:val="12"/>
                <w:szCs w:val="12"/>
              </w:rPr>
              <w:t xml:space="preserve"> a disruption?"</w:t>
            </w:r>
          </w:p>
        </w:tc>
      </w:tr>
      <w:tr w:rsidR="00564E6D" w:rsidRPr="00564E6D" w14:paraId="7AC6880D" w14:textId="77777777" w:rsidTr="00D51717">
        <w:tc>
          <w:tcPr>
            <w:tcW w:w="0" w:type="auto"/>
            <w:hideMark/>
          </w:tcPr>
          <w:p w14:paraId="3E50C62C" w14:textId="77777777" w:rsidR="00564E6D" w:rsidRPr="00564E6D" w:rsidRDefault="00564E6D" w:rsidP="00D51717">
            <w:pPr>
              <w:spacing w:after="160" w:line="278" w:lineRule="auto"/>
              <w:rPr>
                <w:sz w:val="12"/>
                <w:szCs w:val="12"/>
              </w:rPr>
            </w:pPr>
            <w:r w:rsidRPr="00564E6D">
              <w:rPr>
                <w:b/>
                <w:bCs/>
                <w:sz w:val="12"/>
                <w:szCs w:val="12"/>
              </w:rPr>
              <w:lastRenderedPageBreak/>
              <w:t>NIST AI Risk Management Framework (RMF 1.0)</w:t>
            </w:r>
          </w:p>
        </w:tc>
        <w:tc>
          <w:tcPr>
            <w:tcW w:w="0" w:type="auto"/>
            <w:hideMark/>
          </w:tcPr>
          <w:p w14:paraId="3BCF6D76" w14:textId="77777777" w:rsidR="00564E6D" w:rsidRPr="00564E6D" w:rsidRDefault="00564E6D" w:rsidP="00D51717">
            <w:pPr>
              <w:spacing w:after="160" w:line="278" w:lineRule="auto"/>
              <w:rPr>
                <w:sz w:val="12"/>
                <w:szCs w:val="12"/>
              </w:rPr>
            </w:pPr>
            <w:r w:rsidRPr="00564E6D">
              <w:rPr>
                <w:sz w:val="12"/>
                <w:szCs w:val="12"/>
              </w:rPr>
              <w:t>January 2023</w:t>
            </w:r>
          </w:p>
        </w:tc>
        <w:tc>
          <w:tcPr>
            <w:tcW w:w="0" w:type="auto"/>
            <w:hideMark/>
          </w:tcPr>
          <w:p w14:paraId="1FA71BCA" w14:textId="77777777" w:rsidR="00564E6D" w:rsidRPr="00564E6D" w:rsidRDefault="00564E6D" w:rsidP="00D51717">
            <w:pPr>
              <w:spacing w:after="160" w:line="278" w:lineRule="auto"/>
              <w:rPr>
                <w:sz w:val="12"/>
                <w:szCs w:val="12"/>
              </w:rPr>
            </w:pPr>
            <w:r w:rsidRPr="00564E6D">
              <w:rPr>
                <w:b/>
                <w:bCs/>
                <w:sz w:val="12"/>
                <w:szCs w:val="12"/>
              </w:rPr>
              <w:t>US</w:t>
            </w:r>
            <w:r w:rsidRPr="00564E6D">
              <w:rPr>
                <w:sz w:val="12"/>
                <w:szCs w:val="12"/>
              </w:rPr>
              <w:t xml:space="preserve"> (Voluntary, but globally adopted)</w:t>
            </w:r>
          </w:p>
        </w:tc>
        <w:tc>
          <w:tcPr>
            <w:tcW w:w="0" w:type="auto"/>
            <w:hideMark/>
          </w:tcPr>
          <w:p w14:paraId="68E1D8A4" w14:textId="77777777" w:rsidR="00564E6D" w:rsidRPr="00564E6D" w:rsidRDefault="00564E6D" w:rsidP="00D51717">
            <w:pPr>
              <w:spacing w:after="160" w:line="278" w:lineRule="auto"/>
              <w:rPr>
                <w:sz w:val="12"/>
                <w:szCs w:val="12"/>
              </w:rPr>
            </w:pPr>
            <w:r w:rsidRPr="00564E6D">
              <w:rPr>
                <w:sz w:val="12"/>
                <w:szCs w:val="12"/>
              </w:rPr>
              <w:t xml:space="preserve">• </w:t>
            </w:r>
            <w:r w:rsidRPr="00564E6D">
              <w:rPr>
                <w:b/>
                <w:bCs/>
                <w:sz w:val="12"/>
                <w:szCs w:val="12"/>
              </w:rPr>
              <w:t>Govern:</w:t>
            </w:r>
            <w:r w:rsidRPr="00564E6D">
              <w:rPr>
                <w:sz w:val="12"/>
                <w:szCs w:val="12"/>
              </w:rPr>
              <w:t xml:space="preserve"> Cultivate a risk management culture and establish processes for all AI activities.</w:t>
            </w:r>
          </w:p>
          <w:p w14:paraId="46688C1E" w14:textId="77777777" w:rsidR="00564E6D" w:rsidRPr="00564E6D" w:rsidRDefault="00564E6D" w:rsidP="00D51717">
            <w:pPr>
              <w:spacing w:after="160" w:line="278" w:lineRule="auto"/>
              <w:rPr>
                <w:sz w:val="12"/>
                <w:szCs w:val="12"/>
              </w:rPr>
            </w:pPr>
            <w:r w:rsidRPr="00564E6D">
              <w:rPr>
                <w:sz w:val="12"/>
                <w:szCs w:val="12"/>
              </w:rPr>
              <w:t xml:space="preserve">• </w:t>
            </w:r>
            <w:r w:rsidRPr="00564E6D">
              <w:rPr>
                <w:b/>
                <w:bCs/>
                <w:sz w:val="12"/>
                <w:szCs w:val="12"/>
              </w:rPr>
              <w:t>Map:</w:t>
            </w:r>
            <w:r w:rsidRPr="00564E6D">
              <w:rPr>
                <w:sz w:val="12"/>
                <w:szCs w:val="12"/>
              </w:rPr>
              <w:t xml:space="preserve"> Contextualize risks; identify the AI system's purpose, benefits, and potential harms.</w:t>
            </w:r>
          </w:p>
          <w:p w14:paraId="33D43051" w14:textId="77777777" w:rsidR="00564E6D" w:rsidRPr="00564E6D" w:rsidRDefault="00564E6D" w:rsidP="00D51717">
            <w:pPr>
              <w:spacing w:after="160" w:line="278" w:lineRule="auto"/>
              <w:rPr>
                <w:sz w:val="12"/>
                <w:szCs w:val="12"/>
              </w:rPr>
            </w:pPr>
            <w:r w:rsidRPr="00564E6D">
              <w:rPr>
                <w:sz w:val="12"/>
                <w:szCs w:val="12"/>
              </w:rPr>
              <w:br/>
            </w:r>
          </w:p>
          <w:p w14:paraId="6E4E6FF6" w14:textId="77777777" w:rsidR="00564E6D" w:rsidRPr="00564E6D" w:rsidRDefault="00564E6D" w:rsidP="00D51717">
            <w:pPr>
              <w:spacing w:after="160" w:line="278" w:lineRule="auto"/>
              <w:rPr>
                <w:sz w:val="12"/>
                <w:szCs w:val="12"/>
              </w:rPr>
            </w:pPr>
            <w:r w:rsidRPr="00564E6D">
              <w:rPr>
                <w:sz w:val="12"/>
                <w:szCs w:val="12"/>
              </w:rPr>
              <w:t xml:space="preserve">• </w:t>
            </w:r>
            <w:r w:rsidRPr="00564E6D">
              <w:rPr>
                <w:b/>
                <w:bCs/>
                <w:sz w:val="12"/>
                <w:szCs w:val="12"/>
              </w:rPr>
              <w:t>Measure:</w:t>
            </w:r>
            <w:r w:rsidRPr="00564E6D">
              <w:rPr>
                <w:sz w:val="12"/>
                <w:szCs w:val="12"/>
              </w:rPr>
              <w:t xml:space="preserve"> Assess, analyze, and track identified AI risks (e.g., bias, security, robustness).</w:t>
            </w:r>
          </w:p>
          <w:p w14:paraId="33B66F7B" w14:textId="77777777" w:rsidR="00564E6D" w:rsidRPr="00564E6D" w:rsidRDefault="00564E6D" w:rsidP="00D51717">
            <w:pPr>
              <w:spacing w:after="160" w:line="278" w:lineRule="auto"/>
              <w:rPr>
                <w:sz w:val="12"/>
                <w:szCs w:val="12"/>
              </w:rPr>
            </w:pPr>
            <w:r w:rsidRPr="00564E6D">
              <w:rPr>
                <w:sz w:val="12"/>
                <w:szCs w:val="12"/>
              </w:rPr>
              <w:t xml:space="preserve">• </w:t>
            </w:r>
            <w:r w:rsidRPr="00564E6D">
              <w:rPr>
                <w:b/>
                <w:bCs/>
                <w:sz w:val="12"/>
                <w:szCs w:val="12"/>
              </w:rPr>
              <w:t>Manage:</w:t>
            </w:r>
            <w:r w:rsidRPr="00564E6D">
              <w:rPr>
                <w:sz w:val="12"/>
                <w:szCs w:val="12"/>
              </w:rPr>
              <w:t xml:space="preserve"> Allocate resources to treat risks; prioritize, respond to, and monitor residual risks.</w:t>
            </w:r>
          </w:p>
        </w:tc>
        <w:tc>
          <w:tcPr>
            <w:tcW w:w="4318" w:type="dxa"/>
            <w:hideMark/>
          </w:tcPr>
          <w:p w14:paraId="78DF84F7" w14:textId="77777777" w:rsidR="00564E6D" w:rsidRPr="00564E6D" w:rsidRDefault="00564E6D" w:rsidP="00D51717">
            <w:pPr>
              <w:spacing w:after="160" w:line="278" w:lineRule="auto"/>
              <w:rPr>
                <w:sz w:val="12"/>
                <w:szCs w:val="12"/>
              </w:rPr>
            </w:pPr>
            <w:r w:rsidRPr="00564E6D">
              <w:rPr>
                <w:b/>
                <w:bCs/>
                <w:sz w:val="12"/>
                <w:szCs w:val="12"/>
              </w:rPr>
              <w:t>Background:</w:t>
            </w:r>
            <w:r w:rsidRPr="00564E6D">
              <w:rPr>
                <w:sz w:val="12"/>
                <w:szCs w:val="12"/>
              </w:rPr>
              <w:t xml:space="preserve"> Created as AI systems (especially large language models) became mainstream. It addresses risks that traditional software frameworks don't, such as fairness, bias, interpretability, and privacy.</w:t>
            </w:r>
          </w:p>
          <w:p w14:paraId="51671612" w14:textId="64DCAFE3" w:rsidR="00564E6D" w:rsidRPr="00564E6D" w:rsidRDefault="00564E6D" w:rsidP="00D51717">
            <w:pPr>
              <w:spacing w:after="160" w:line="278" w:lineRule="auto"/>
              <w:rPr>
                <w:sz w:val="12"/>
                <w:szCs w:val="12"/>
              </w:rPr>
            </w:pPr>
            <w:r w:rsidRPr="00564E6D">
              <w:rPr>
                <w:sz w:val="12"/>
                <w:szCs w:val="12"/>
              </w:rPr>
              <w:br/>
            </w:r>
            <w:r w:rsidRPr="00564E6D">
              <w:rPr>
                <w:b/>
                <w:bCs/>
                <w:sz w:val="12"/>
                <w:szCs w:val="12"/>
              </w:rPr>
              <w:t>Relevance:</w:t>
            </w:r>
            <w:r w:rsidRPr="00564E6D">
              <w:rPr>
                <w:sz w:val="12"/>
                <w:szCs w:val="12"/>
              </w:rPr>
              <w:t xml:space="preserve"> This is not a law, but a "best practice" framework. It's the go-to guide for </w:t>
            </w:r>
            <w:r w:rsidRPr="00564E6D">
              <w:rPr>
                <w:i/>
                <w:iCs/>
                <w:sz w:val="12"/>
                <w:szCs w:val="12"/>
              </w:rPr>
              <w:t>how</w:t>
            </w:r>
            <w:r w:rsidRPr="00564E6D">
              <w:rPr>
                <w:sz w:val="12"/>
                <w:szCs w:val="12"/>
              </w:rPr>
              <w:t xml:space="preserve"> to build trustworthy and resilient AI. It provides the "how-to" for managing the specific, new risks AI introduces, which traditional ops resilience rules don't cover.</w:t>
            </w:r>
          </w:p>
        </w:tc>
      </w:tr>
      <w:tr w:rsidR="00564E6D" w:rsidRPr="00564E6D" w14:paraId="1DA48C15" w14:textId="77777777" w:rsidTr="00D51717">
        <w:trPr>
          <w:trHeight w:val="2429"/>
        </w:trPr>
        <w:tc>
          <w:tcPr>
            <w:tcW w:w="0" w:type="auto"/>
            <w:hideMark/>
          </w:tcPr>
          <w:p w14:paraId="2D5E60EC" w14:textId="77777777" w:rsidR="00564E6D" w:rsidRPr="00564E6D" w:rsidRDefault="00564E6D" w:rsidP="00D51717">
            <w:pPr>
              <w:spacing w:after="160" w:line="278" w:lineRule="auto"/>
              <w:rPr>
                <w:sz w:val="12"/>
                <w:szCs w:val="12"/>
              </w:rPr>
            </w:pPr>
            <w:r w:rsidRPr="00564E6D">
              <w:rPr>
                <w:b/>
                <w:bCs/>
                <w:sz w:val="12"/>
                <w:szCs w:val="12"/>
              </w:rPr>
              <w:t>Digital Operational Resilience Act (DORA)</w:t>
            </w:r>
          </w:p>
        </w:tc>
        <w:tc>
          <w:tcPr>
            <w:tcW w:w="0" w:type="auto"/>
            <w:hideMark/>
          </w:tcPr>
          <w:p w14:paraId="18B8FD80" w14:textId="77777777" w:rsidR="00564E6D" w:rsidRPr="00564E6D" w:rsidRDefault="00564E6D" w:rsidP="00D51717">
            <w:pPr>
              <w:spacing w:after="160" w:line="278" w:lineRule="auto"/>
              <w:rPr>
                <w:sz w:val="12"/>
                <w:szCs w:val="12"/>
              </w:rPr>
            </w:pPr>
            <w:r w:rsidRPr="00564E6D">
              <w:rPr>
                <w:sz w:val="12"/>
                <w:szCs w:val="12"/>
              </w:rPr>
              <w:t>January 17, 2025 (Application Date)</w:t>
            </w:r>
          </w:p>
        </w:tc>
        <w:tc>
          <w:tcPr>
            <w:tcW w:w="0" w:type="auto"/>
            <w:hideMark/>
          </w:tcPr>
          <w:p w14:paraId="0BE1E115" w14:textId="77777777" w:rsidR="00564E6D" w:rsidRPr="00564E6D" w:rsidRDefault="00564E6D" w:rsidP="00D51717">
            <w:pPr>
              <w:spacing w:after="160" w:line="278" w:lineRule="auto"/>
              <w:rPr>
                <w:sz w:val="12"/>
                <w:szCs w:val="12"/>
              </w:rPr>
            </w:pPr>
            <w:r w:rsidRPr="00564E6D">
              <w:rPr>
                <w:b/>
                <w:bCs/>
                <w:sz w:val="12"/>
                <w:szCs w:val="12"/>
              </w:rPr>
              <w:t>European Union</w:t>
            </w:r>
            <w:r w:rsidRPr="00564E6D">
              <w:rPr>
                <w:sz w:val="12"/>
                <w:szCs w:val="12"/>
              </w:rPr>
              <w:t xml:space="preserve"> (Financial Services)</w:t>
            </w:r>
          </w:p>
        </w:tc>
        <w:tc>
          <w:tcPr>
            <w:tcW w:w="0" w:type="auto"/>
            <w:hideMark/>
          </w:tcPr>
          <w:p w14:paraId="7384A457" w14:textId="77777777" w:rsidR="00564E6D" w:rsidRPr="00564E6D" w:rsidRDefault="00564E6D" w:rsidP="00D51717">
            <w:pPr>
              <w:spacing w:after="160" w:line="278" w:lineRule="auto"/>
              <w:rPr>
                <w:sz w:val="12"/>
                <w:szCs w:val="12"/>
              </w:rPr>
            </w:pPr>
            <w:r w:rsidRPr="00564E6D">
              <w:rPr>
                <w:sz w:val="12"/>
                <w:szCs w:val="12"/>
              </w:rPr>
              <w:t xml:space="preserve">• </w:t>
            </w:r>
            <w:r w:rsidRPr="00564E6D">
              <w:rPr>
                <w:b/>
                <w:bCs/>
                <w:sz w:val="12"/>
                <w:szCs w:val="12"/>
              </w:rPr>
              <w:t>ICT Risk Management:</w:t>
            </w:r>
            <w:r w:rsidRPr="00564E6D">
              <w:rPr>
                <w:sz w:val="12"/>
                <w:szCs w:val="12"/>
              </w:rPr>
              <w:t xml:space="preserve"> Implement a comprehensive, well-documented ICT risk framework.</w:t>
            </w:r>
          </w:p>
          <w:p w14:paraId="4927EE4C" w14:textId="77777777" w:rsidR="00564E6D" w:rsidRPr="00564E6D" w:rsidRDefault="00564E6D" w:rsidP="00D51717">
            <w:pPr>
              <w:spacing w:after="160" w:line="278" w:lineRule="auto"/>
              <w:rPr>
                <w:sz w:val="12"/>
                <w:szCs w:val="12"/>
              </w:rPr>
            </w:pPr>
            <w:r w:rsidRPr="00564E6D">
              <w:rPr>
                <w:sz w:val="12"/>
                <w:szCs w:val="12"/>
              </w:rPr>
              <w:t xml:space="preserve">• </w:t>
            </w:r>
            <w:r w:rsidRPr="00564E6D">
              <w:rPr>
                <w:b/>
                <w:bCs/>
                <w:sz w:val="12"/>
                <w:szCs w:val="12"/>
              </w:rPr>
              <w:t>Incident Reporting:</w:t>
            </w:r>
            <w:r w:rsidRPr="00564E6D">
              <w:rPr>
                <w:sz w:val="12"/>
                <w:szCs w:val="12"/>
              </w:rPr>
              <w:t xml:space="preserve"> Harmonize and streamline reporting of major ICT incidents to regulators.</w:t>
            </w:r>
          </w:p>
          <w:p w14:paraId="0C378FDA" w14:textId="77777777" w:rsidR="00564E6D" w:rsidRPr="00564E6D" w:rsidRDefault="00564E6D" w:rsidP="00D51717">
            <w:pPr>
              <w:spacing w:after="160" w:line="278" w:lineRule="auto"/>
              <w:rPr>
                <w:sz w:val="12"/>
                <w:szCs w:val="12"/>
              </w:rPr>
            </w:pPr>
            <w:r w:rsidRPr="00564E6D">
              <w:rPr>
                <w:sz w:val="12"/>
                <w:szCs w:val="12"/>
              </w:rPr>
              <w:t xml:space="preserve">• </w:t>
            </w:r>
            <w:r w:rsidRPr="00564E6D">
              <w:rPr>
                <w:b/>
                <w:bCs/>
                <w:sz w:val="12"/>
                <w:szCs w:val="12"/>
              </w:rPr>
              <w:t>Resilience Testing:</w:t>
            </w:r>
            <w:r w:rsidRPr="00564E6D">
              <w:rPr>
                <w:sz w:val="12"/>
                <w:szCs w:val="12"/>
              </w:rPr>
              <w:t xml:space="preserve"> Mandates regular basic and (for critical firms) advanced testing, like Threat-Led Penetration Testing (TLPT).</w:t>
            </w:r>
          </w:p>
          <w:p w14:paraId="07293E3C" w14:textId="77777777" w:rsidR="00564E6D" w:rsidRPr="00564E6D" w:rsidRDefault="00564E6D" w:rsidP="00D51717">
            <w:pPr>
              <w:spacing w:after="160" w:line="278" w:lineRule="auto"/>
              <w:rPr>
                <w:sz w:val="12"/>
                <w:szCs w:val="12"/>
              </w:rPr>
            </w:pPr>
            <w:r w:rsidRPr="00564E6D">
              <w:rPr>
                <w:sz w:val="12"/>
                <w:szCs w:val="12"/>
              </w:rPr>
              <w:t xml:space="preserve">• </w:t>
            </w:r>
            <w:r w:rsidRPr="00564E6D">
              <w:rPr>
                <w:b/>
                <w:bCs/>
                <w:sz w:val="12"/>
                <w:szCs w:val="12"/>
              </w:rPr>
              <w:t>Third-Party Risk:</w:t>
            </w:r>
            <w:r w:rsidRPr="00564E6D">
              <w:rPr>
                <w:sz w:val="12"/>
                <w:szCs w:val="12"/>
              </w:rPr>
              <w:t xml:space="preserve"> Establishes direct oversight of "Critical Third-Party Providers" (like cloud providers).</w:t>
            </w:r>
          </w:p>
        </w:tc>
        <w:tc>
          <w:tcPr>
            <w:tcW w:w="4318" w:type="dxa"/>
            <w:hideMark/>
          </w:tcPr>
          <w:p w14:paraId="54452A02" w14:textId="77777777" w:rsidR="00564E6D" w:rsidRPr="00564E6D" w:rsidRDefault="00564E6D" w:rsidP="00D51717">
            <w:pPr>
              <w:spacing w:after="160" w:line="278" w:lineRule="auto"/>
              <w:rPr>
                <w:sz w:val="12"/>
                <w:szCs w:val="12"/>
              </w:rPr>
            </w:pPr>
            <w:r w:rsidRPr="00564E6D">
              <w:rPr>
                <w:b/>
                <w:bCs/>
                <w:sz w:val="12"/>
                <w:szCs w:val="12"/>
              </w:rPr>
              <w:t>Background:</w:t>
            </w:r>
            <w:r w:rsidRPr="00564E6D">
              <w:rPr>
                <w:sz w:val="12"/>
                <w:szCs w:val="12"/>
              </w:rPr>
              <w:t xml:space="preserve"> DORA was created because EU regulators saw that financial firms were heavily reliant on a small number of tech and cloud providers. A failure at one of these providers could destabilize the entire EU financial system.</w:t>
            </w:r>
          </w:p>
          <w:p w14:paraId="76866A2F" w14:textId="77777777" w:rsidR="00564E6D" w:rsidRPr="00564E6D" w:rsidRDefault="00564E6D" w:rsidP="00D51717">
            <w:pPr>
              <w:spacing w:after="160" w:line="278" w:lineRule="auto"/>
              <w:rPr>
                <w:sz w:val="12"/>
                <w:szCs w:val="12"/>
              </w:rPr>
            </w:pPr>
            <w:r w:rsidRPr="00564E6D">
              <w:rPr>
                <w:b/>
                <w:bCs/>
                <w:sz w:val="12"/>
                <w:szCs w:val="12"/>
              </w:rPr>
              <w:t>Relevance:</w:t>
            </w:r>
            <w:r w:rsidRPr="00564E6D">
              <w:rPr>
                <w:sz w:val="12"/>
                <w:szCs w:val="12"/>
              </w:rPr>
              <w:t xml:space="preserve"> This is the most comprehensive </w:t>
            </w:r>
            <w:r w:rsidRPr="00564E6D">
              <w:rPr>
                <w:i/>
                <w:iCs/>
                <w:sz w:val="12"/>
                <w:szCs w:val="12"/>
              </w:rPr>
              <w:t>digital</w:t>
            </w:r>
            <w:r w:rsidRPr="00564E6D">
              <w:rPr>
                <w:sz w:val="12"/>
                <w:szCs w:val="12"/>
              </w:rPr>
              <w:t xml:space="preserve"> resilience law to date. It explicitly links ICT and third-party risk to operational resilience. It's the first major law to regulate the </w:t>
            </w:r>
            <w:r w:rsidRPr="00564E6D">
              <w:rPr>
                <w:i/>
                <w:iCs/>
                <w:sz w:val="12"/>
                <w:szCs w:val="12"/>
              </w:rPr>
              <w:t>tech suppliers</w:t>
            </w:r>
            <w:r w:rsidRPr="00564E6D">
              <w:rPr>
                <w:sz w:val="12"/>
                <w:szCs w:val="12"/>
              </w:rPr>
              <w:t xml:space="preserve"> to the financial industry, not just the financial firms themselves.</w:t>
            </w:r>
          </w:p>
        </w:tc>
      </w:tr>
      <w:tr w:rsidR="00564E6D" w:rsidRPr="00564E6D" w14:paraId="78031BD9" w14:textId="77777777" w:rsidTr="00D51717">
        <w:tc>
          <w:tcPr>
            <w:tcW w:w="0" w:type="auto"/>
            <w:hideMark/>
          </w:tcPr>
          <w:p w14:paraId="4C9EB09C" w14:textId="77777777" w:rsidR="00564E6D" w:rsidRPr="00564E6D" w:rsidRDefault="00564E6D" w:rsidP="00D51717">
            <w:pPr>
              <w:spacing w:after="160" w:line="278" w:lineRule="auto"/>
              <w:rPr>
                <w:sz w:val="12"/>
                <w:szCs w:val="12"/>
              </w:rPr>
            </w:pPr>
            <w:r w:rsidRPr="00564E6D">
              <w:rPr>
                <w:b/>
                <w:bCs/>
                <w:sz w:val="12"/>
                <w:szCs w:val="12"/>
              </w:rPr>
              <w:t>EU-AI Act</w:t>
            </w:r>
          </w:p>
        </w:tc>
        <w:tc>
          <w:tcPr>
            <w:tcW w:w="0" w:type="auto"/>
            <w:hideMark/>
          </w:tcPr>
          <w:p w14:paraId="7EEA263D" w14:textId="77777777" w:rsidR="00564E6D" w:rsidRPr="00564E6D" w:rsidRDefault="00564E6D" w:rsidP="00D51717">
            <w:pPr>
              <w:spacing w:after="160" w:line="278" w:lineRule="auto"/>
              <w:rPr>
                <w:sz w:val="12"/>
                <w:szCs w:val="12"/>
              </w:rPr>
            </w:pPr>
            <w:r w:rsidRPr="00564E6D">
              <w:rPr>
                <w:sz w:val="12"/>
                <w:szCs w:val="12"/>
              </w:rPr>
              <w:t>(Phased) 2025 - 2027</w:t>
            </w:r>
          </w:p>
        </w:tc>
        <w:tc>
          <w:tcPr>
            <w:tcW w:w="0" w:type="auto"/>
            <w:hideMark/>
          </w:tcPr>
          <w:p w14:paraId="77C9DCA1" w14:textId="77777777" w:rsidR="00564E6D" w:rsidRPr="00564E6D" w:rsidRDefault="00564E6D" w:rsidP="00D51717">
            <w:pPr>
              <w:spacing w:after="160" w:line="278" w:lineRule="auto"/>
              <w:rPr>
                <w:sz w:val="12"/>
                <w:szCs w:val="12"/>
              </w:rPr>
            </w:pPr>
            <w:r w:rsidRPr="00564E6D">
              <w:rPr>
                <w:b/>
                <w:bCs/>
                <w:sz w:val="12"/>
                <w:szCs w:val="12"/>
              </w:rPr>
              <w:t>European Union</w:t>
            </w:r>
          </w:p>
        </w:tc>
        <w:tc>
          <w:tcPr>
            <w:tcW w:w="0" w:type="auto"/>
            <w:hideMark/>
          </w:tcPr>
          <w:p w14:paraId="1622110A" w14:textId="77777777" w:rsidR="00564E6D" w:rsidRPr="00564E6D" w:rsidRDefault="00564E6D" w:rsidP="00D51717">
            <w:pPr>
              <w:spacing w:after="160" w:line="278" w:lineRule="auto"/>
              <w:rPr>
                <w:sz w:val="12"/>
                <w:szCs w:val="12"/>
              </w:rPr>
            </w:pPr>
            <w:r w:rsidRPr="00564E6D">
              <w:rPr>
                <w:sz w:val="12"/>
                <w:szCs w:val="12"/>
              </w:rPr>
              <w:t xml:space="preserve">• </w:t>
            </w:r>
            <w:r w:rsidRPr="00564E6D">
              <w:rPr>
                <w:b/>
                <w:bCs/>
                <w:sz w:val="12"/>
                <w:szCs w:val="12"/>
              </w:rPr>
              <w:t>Risk-Based Approach:</w:t>
            </w:r>
            <w:r w:rsidRPr="00564E6D">
              <w:rPr>
                <w:sz w:val="12"/>
                <w:szCs w:val="12"/>
              </w:rPr>
              <w:t xml:space="preserve"> Classifies AI into Unacceptable (banned), High, Limited, and Minimal risk.</w:t>
            </w:r>
          </w:p>
          <w:p w14:paraId="42F50E60" w14:textId="7E2D079A" w:rsidR="00564E6D" w:rsidRPr="00564E6D" w:rsidRDefault="00564E6D" w:rsidP="00D51717">
            <w:pPr>
              <w:spacing w:after="160" w:line="278" w:lineRule="auto"/>
              <w:rPr>
                <w:sz w:val="12"/>
                <w:szCs w:val="12"/>
              </w:rPr>
            </w:pPr>
            <w:r w:rsidRPr="00564E6D">
              <w:rPr>
                <w:sz w:val="12"/>
                <w:szCs w:val="12"/>
              </w:rPr>
              <w:br/>
              <w:t xml:space="preserve">• </w:t>
            </w:r>
            <w:r w:rsidRPr="00564E6D">
              <w:rPr>
                <w:b/>
                <w:bCs/>
                <w:sz w:val="12"/>
                <w:szCs w:val="12"/>
              </w:rPr>
              <w:t>High-Risk Requirements:</w:t>
            </w:r>
            <w:r w:rsidRPr="00564E6D">
              <w:rPr>
                <w:sz w:val="12"/>
                <w:szCs w:val="12"/>
              </w:rPr>
              <w:t xml:space="preserve"> Mandates strict rules for high-risk systems, including:</w:t>
            </w:r>
          </w:p>
          <w:p w14:paraId="6F98FDCE" w14:textId="77777777" w:rsidR="00564E6D" w:rsidRPr="00564E6D" w:rsidRDefault="00564E6D" w:rsidP="00D51717">
            <w:pPr>
              <w:spacing w:after="160" w:line="278" w:lineRule="auto"/>
              <w:rPr>
                <w:sz w:val="12"/>
                <w:szCs w:val="12"/>
              </w:rPr>
            </w:pPr>
            <w:r w:rsidRPr="00564E6D">
              <w:rPr>
                <w:sz w:val="12"/>
                <w:szCs w:val="12"/>
              </w:rPr>
              <w:t xml:space="preserve">    • </w:t>
            </w:r>
            <w:r w:rsidRPr="00564E6D">
              <w:rPr>
                <w:b/>
                <w:bCs/>
                <w:sz w:val="12"/>
                <w:szCs w:val="12"/>
              </w:rPr>
              <w:t>Robustness &amp; Accuracy:</w:t>
            </w:r>
            <w:r w:rsidRPr="00564E6D">
              <w:rPr>
                <w:sz w:val="12"/>
                <w:szCs w:val="12"/>
              </w:rPr>
              <w:t xml:space="preserve"> Must perform consistently and securely.</w:t>
            </w:r>
          </w:p>
          <w:p w14:paraId="4E84E178" w14:textId="77777777" w:rsidR="00564E6D" w:rsidRPr="00564E6D" w:rsidRDefault="00564E6D" w:rsidP="00D51717">
            <w:pPr>
              <w:spacing w:after="160" w:line="278" w:lineRule="auto"/>
              <w:rPr>
                <w:sz w:val="12"/>
                <w:szCs w:val="12"/>
              </w:rPr>
            </w:pPr>
            <w:r w:rsidRPr="00564E6D">
              <w:rPr>
                <w:sz w:val="12"/>
                <w:szCs w:val="12"/>
              </w:rPr>
              <w:t xml:space="preserve">    • </w:t>
            </w:r>
            <w:r w:rsidRPr="00564E6D">
              <w:rPr>
                <w:b/>
                <w:bCs/>
                <w:sz w:val="12"/>
                <w:szCs w:val="12"/>
              </w:rPr>
              <w:t>Cybersecurity:</w:t>
            </w:r>
            <w:r w:rsidRPr="00564E6D">
              <w:rPr>
                <w:sz w:val="12"/>
                <w:szCs w:val="12"/>
              </w:rPr>
              <w:t xml:space="preserve"> Must be resilient against attacks and vulnerabilities.</w:t>
            </w:r>
          </w:p>
          <w:p w14:paraId="2B153ED5" w14:textId="7C0A5B7A" w:rsidR="00564E6D" w:rsidRPr="00564E6D" w:rsidRDefault="00564E6D" w:rsidP="00D51717">
            <w:pPr>
              <w:spacing w:after="160" w:line="278" w:lineRule="auto"/>
              <w:rPr>
                <w:sz w:val="12"/>
                <w:szCs w:val="12"/>
              </w:rPr>
            </w:pPr>
            <w:r w:rsidRPr="00564E6D">
              <w:rPr>
                <w:sz w:val="12"/>
                <w:szCs w:val="12"/>
              </w:rPr>
              <w:t xml:space="preserve">    • </w:t>
            </w:r>
            <w:r w:rsidRPr="00564E6D">
              <w:rPr>
                <w:b/>
                <w:bCs/>
                <w:sz w:val="12"/>
                <w:szCs w:val="12"/>
              </w:rPr>
              <w:t>Data Governance:</w:t>
            </w:r>
            <w:r w:rsidRPr="00564E6D">
              <w:rPr>
                <w:sz w:val="12"/>
                <w:szCs w:val="12"/>
              </w:rPr>
              <w:t xml:space="preserve"> Requires high-quality, unbiased training data.</w:t>
            </w:r>
          </w:p>
          <w:p w14:paraId="5EDD50A2" w14:textId="3464423E" w:rsidR="00564E6D" w:rsidRPr="00564E6D" w:rsidRDefault="00564E6D" w:rsidP="00D51717">
            <w:pPr>
              <w:spacing w:after="160" w:line="278" w:lineRule="auto"/>
              <w:rPr>
                <w:sz w:val="12"/>
                <w:szCs w:val="12"/>
              </w:rPr>
            </w:pPr>
            <w:r w:rsidRPr="00564E6D">
              <w:rPr>
                <w:sz w:val="12"/>
                <w:szCs w:val="12"/>
              </w:rPr>
              <w:t xml:space="preserve">    • </w:t>
            </w:r>
            <w:r w:rsidRPr="00564E6D">
              <w:rPr>
                <w:b/>
                <w:bCs/>
                <w:sz w:val="12"/>
                <w:szCs w:val="12"/>
              </w:rPr>
              <w:t>Human Oversight:</w:t>
            </w:r>
            <w:r w:rsidRPr="00564E6D">
              <w:rPr>
                <w:sz w:val="12"/>
                <w:szCs w:val="12"/>
              </w:rPr>
              <w:t xml:space="preserve"> Must be designed to allow effective human control.</w:t>
            </w:r>
          </w:p>
        </w:tc>
        <w:tc>
          <w:tcPr>
            <w:tcW w:w="4318" w:type="dxa"/>
            <w:hideMark/>
          </w:tcPr>
          <w:p w14:paraId="6B6B443F" w14:textId="77777777" w:rsidR="00564E6D" w:rsidRPr="00564E6D" w:rsidRDefault="00564E6D" w:rsidP="00D51717">
            <w:pPr>
              <w:spacing w:after="160" w:line="278" w:lineRule="auto"/>
              <w:rPr>
                <w:sz w:val="12"/>
                <w:szCs w:val="12"/>
              </w:rPr>
            </w:pPr>
            <w:r w:rsidRPr="00564E6D">
              <w:rPr>
                <w:b/>
                <w:bCs/>
                <w:sz w:val="12"/>
                <w:szCs w:val="12"/>
              </w:rPr>
              <w:t>Background:</w:t>
            </w:r>
            <w:r w:rsidRPr="00564E6D">
              <w:rPr>
                <w:sz w:val="12"/>
                <w:szCs w:val="12"/>
              </w:rPr>
              <w:t xml:space="preserve"> This is the world's first comprehensive, binding law for AI. It was prompted by the rapid proliferation of AI and the potential for it to cause systemic harm to health, safety, and fundamental rights.</w:t>
            </w:r>
          </w:p>
          <w:p w14:paraId="06C96A63" w14:textId="449AB560" w:rsidR="00564E6D" w:rsidRPr="00564E6D" w:rsidRDefault="00564E6D" w:rsidP="00D51717">
            <w:pPr>
              <w:spacing w:after="160" w:line="278" w:lineRule="auto"/>
              <w:rPr>
                <w:sz w:val="12"/>
                <w:szCs w:val="12"/>
              </w:rPr>
            </w:pPr>
            <w:r w:rsidRPr="00564E6D">
              <w:rPr>
                <w:sz w:val="12"/>
                <w:szCs w:val="12"/>
              </w:rPr>
              <w:br/>
            </w:r>
            <w:r w:rsidRPr="00564E6D">
              <w:rPr>
                <w:b/>
                <w:bCs/>
                <w:sz w:val="12"/>
                <w:szCs w:val="12"/>
              </w:rPr>
              <w:t>Relevance:</w:t>
            </w:r>
            <w:r w:rsidRPr="00564E6D">
              <w:rPr>
                <w:sz w:val="12"/>
                <w:szCs w:val="12"/>
              </w:rPr>
              <w:t xml:space="preserve"> This act </w:t>
            </w:r>
            <w:r w:rsidRPr="00564E6D">
              <w:rPr>
                <w:i/>
                <w:iCs/>
                <w:sz w:val="12"/>
                <w:szCs w:val="12"/>
              </w:rPr>
              <w:t>codifies</w:t>
            </w:r>
            <w:r w:rsidRPr="00564E6D">
              <w:rPr>
                <w:sz w:val="12"/>
                <w:szCs w:val="12"/>
              </w:rPr>
              <w:t xml:space="preserve"> AI resilience into law. It directly addresses AI-specific failures (e.g., model drift, data poisoning) by setting technical standards for robustness and cybersecurity. It essentially creates "AI-specific operational resilience" requirements for any high-risk system deployed in the EU.</w:t>
            </w:r>
          </w:p>
        </w:tc>
      </w:tr>
    </w:tbl>
    <w:p w14:paraId="7D618C03" w14:textId="5927E178" w:rsidR="000C43C1" w:rsidRDefault="00D51717">
      <w:r>
        <w:br w:type="textWrapping" w:clear="all"/>
      </w:r>
    </w:p>
    <w:sectPr w:rsidR="000C43C1" w:rsidSect="00487053">
      <w:headerReference w:type="default" r:id="rId8"/>
      <w:footerReference w:type="default" r:id="rId9"/>
      <w:pgSz w:w="12240" w:h="15840"/>
      <w:pgMar w:top="1440" w:right="1440" w:bottom="1620" w:left="144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8A1BB" w14:textId="77777777" w:rsidR="00497BBA" w:rsidRDefault="00497BBA" w:rsidP="00564E6D">
      <w:pPr>
        <w:spacing w:after="0" w:line="240" w:lineRule="auto"/>
      </w:pPr>
      <w:r>
        <w:separator/>
      </w:r>
    </w:p>
  </w:endnote>
  <w:endnote w:type="continuationSeparator" w:id="0">
    <w:p w14:paraId="20A27572" w14:textId="77777777" w:rsidR="00497BBA" w:rsidRDefault="00497BBA" w:rsidP="00564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962811"/>
      <w:docPartObj>
        <w:docPartGallery w:val="Page Numbers (Bottom of Page)"/>
        <w:docPartUnique/>
      </w:docPartObj>
    </w:sdtPr>
    <w:sdtEndPr>
      <w:rPr>
        <w:color w:val="7F7F7F" w:themeColor="background1" w:themeShade="7F"/>
        <w:spacing w:val="60"/>
      </w:rPr>
    </w:sdtEndPr>
    <w:sdtContent>
      <w:p w14:paraId="78EED7CC" w14:textId="453DF18F" w:rsidR="00F240EC" w:rsidRDefault="00F240E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C6227F3" w14:textId="77777777" w:rsidR="00F240EC" w:rsidRDefault="00F24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54C39" w14:textId="77777777" w:rsidR="00497BBA" w:rsidRDefault="00497BBA" w:rsidP="00564E6D">
      <w:pPr>
        <w:spacing w:after="0" w:line="240" w:lineRule="auto"/>
      </w:pPr>
      <w:r>
        <w:separator/>
      </w:r>
    </w:p>
  </w:footnote>
  <w:footnote w:type="continuationSeparator" w:id="0">
    <w:p w14:paraId="7D0E2197" w14:textId="77777777" w:rsidR="00497BBA" w:rsidRDefault="00497BBA" w:rsidP="00564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ED2A3" w14:textId="77777777" w:rsidR="00F240EC" w:rsidRPr="00D51717" w:rsidRDefault="00F240EC" w:rsidP="00F240EC">
    <w:pPr>
      <w:pStyle w:val="Heading1"/>
      <w:rPr>
        <w:rFonts w:eastAsia="Times New Roman"/>
        <w:sz w:val="32"/>
        <w:szCs w:val="32"/>
      </w:rPr>
    </w:pPr>
    <w:r w:rsidRPr="00D51717">
      <w:rPr>
        <w:rFonts w:eastAsia="Times New Roman"/>
        <w:sz w:val="32"/>
        <w:szCs w:val="32"/>
      </w:rPr>
      <w:t>The Evolution of Resilience: From Recovering Systems to Trusting AI</w:t>
    </w:r>
  </w:p>
  <w:p w14:paraId="5BDC6C76" w14:textId="77777777" w:rsidR="00F240EC" w:rsidRDefault="00F240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A47C9"/>
    <w:multiLevelType w:val="multilevel"/>
    <w:tmpl w:val="4EF4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848E6"/>
    <w:multiLevelType w:val="multilevel"/>
    <w:tmpl w:val="CD92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520E20"/>
    <w:multiLevelType w:val="multilevel"/>
    <w:tmpl w:val="06F8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0D1E51"/>
    <w:multiLevelType w:val="multilevel"/>
    <w:tmpl w:val="A41A1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6027772">
    <w:abstractNumId w:val="3"/>
  </w:num>
  <w:num w:numId="2" w16cid:durableId="783354670">
    <w:abstractNumId w:val="2"/>
  </w:num>
  <w:num w:numId="3" w16cid:durableId="738358486">
    <w:abstractNumId w:val="1"/>
  </w:num>
  <w:num w:numId="4" w16cid:durableId="1212233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E6D"/>
    <w:rsid w:val="000C43C1"/>
    <w:rsid w:val="000C702F"/>
    <w:rsid w:val="00203B6F"/>
    <w:rsid w:val="00213B9B"/>
    <w:rsid w:val="00487053"/>
    <w:rsid w:val="00497BBA"/>
    <w:rsid w:val="004A5F98"/>
    <w:rsid w:val="00562273"/>
    <w:rsid w:val="00564E6D"/>
    <w:rsid w:val="00A34BBA"/>
    <w:rsid w:val="00AD684D"/>
    <w:rsid w:val="00B02CB5"/>
    <w:rsid w:val="00BC270F"/>
    <w:rsid w:val="00D51717"/>
    <w:rsid w:val="00E80E6E"/>
    <w:rsid w:val="00F24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4B9BA8"/>
  <w15:chartTrackingRefBased/>
  <w15:docId w15:val="{7483EEAF-EB19-48D0-B648-049508C18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4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E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E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E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E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4E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E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E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E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E6D"/>
    <w:rPr>
      <w:rFonts w:eastAsiaTheme="majorEastAsia" w:cstheme="majorBidi"/>
      <w:color w:val="272727" w:themeColor="text1" w:themeTint="D8"/>
    </w:rPr>
  </w:style>
  <w:style w:type="paragraph" w:styleId="Title">
    <w:name w:val="Title"/>
    <w:basedOn w:val="Normal"/>
    <w:next w:val="Normal"/>
    <w:link w:val="TitleChar"/>
    <w:uiPriority w:val="10"/>
    <w:qFormat/>
    <w:rsid w:val="00564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E6D"/>
    <w:pPr>
      <w:spacing w:before="160"/>
      <w:jc w:val="center"/>
    </w:pPr>
    <w:rPr>
      <w:i/>
      <w:iCs/>
      <w:color w:val="404040" w:themeColor="text1" w:themeTint="BF"/>
    </w:rPr>
  </w:style>
  <w:style w:type="character" w:customStyle="1" w:styleId="QuoteChar">
    <w:name w:val="Quote Char"/>
    <w:basedOn w:val="DefaultParagraphFont"/>
    <w:link w:val="Quote"/>
    <w:uiPriority w:val="29"/>
    <w:rsid w:val="00564E6D"/>
    <w:rPr>
      <w:i/>
      <w:iCs/>
      <w:color w:val="404040" w:themeColor="text1" w:themeTint="BF"/>
    </w:rPr>
  </w:style>
  <w:style w:type="paragraph" w:styleId="ListParagraph">
    <w:name w:val="List Paragraph"/>
    <w:basedOn w:val="Normal"/>
    <w:uiPriority w:val="34"/>
    <w:qFormat/>
    <w:rsid w:val="00564E6D"/>
    <w:pPr>
      <w:ind w:left="720"/>
      <w:contextualSpacing/>
    </w:pPr>
  </w:style>
  <w:style w:type="character" w:styleId="IntenseEmphasis">
    <w:name w:val="Intense Emphasis"/>
    <w:basedOn w:val="DefaultParagraphFont"/>
    <w:uiPriority w:val="21"/>
    <w:qFormat/>
    <w:rsid w:val="00564E6D"/>
    <w:rPr>
      <w:i/>
      <w:iCs/>
      <w:color w:val="0F4761" w:themeColor="accent1" w:themeShade="BF"/>
    </w:rPr>
  </w:style>
  <w:style w:type="paragraph" w:styleId="IntenseQuote">
    <w:name w:val="Intense Quote"/>
    <w:basedOn w:val="Normal"/>
    <w:next w:val="Normal"/>
    <w:link w:val="IntenseQuoteChar"/>
    <w:uiPriority w:val="30"/>
    <w:qFormat/>
    <w:rsid w:val="00564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E6D"/>
    <w:rPr>
      <w:i/>
      <w:iCs/>
      <w:color w:val="0F4761" w:themeColor="accent1" w:themeShade="BF"/>
    </w:rPr>
  </w:style>
  <w:style w:type="character" w:styleId="IntenseReference">
    <w:name w:val="Intense Reference"/>
    <w:basedOn w:val="DefaultParagraphFont"/>
    <w:uiPriority w:val="32"/>
    <w:qFormat/>
    <w:rsid w:val="00564E6D"/>
    <w:rPr>
      <w:b/>
      <w:bCs/>
      <w:smallCaps/>
      <w:color w:val="0F4761" w:themeColor="accent1" w:themeShade="BF"/>
      <w:spacing w:val="5"/>
    </w:rPr>
  </w:style>
  <w:style w:type="table" w:styleId="TableGrid">
    <w:name w:val="Table Grid"/>
    <w:basedOn w:val="TableNormal"/>
    <w:uiPriority w:val="39"/>
    <w:rsid w:val="00564E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4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4E6D"/>
  </w:style>
  <w:style w:type="paragraph" w:styleId="Footer">
    <w:name w:val="footer"/>
    <w:basedOn w:val="Normal"/>
    <w:link w:val="FooterChar"/>
    <w:uiPriority w:val="99"/>
    <w:unhideWhenUsed/>
    <w:rsid w:val="00564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4E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288114">
      <w:bodyDiv w:val="1"/>
      <w:marLeft w:val="0"/>
      <w:marRight w:val="0"/>
      <w:marTop w:val="0"/>
      <w:marBottom w:val="0"/>
      <w:divBdr>
        <w:top w:val="none" w:sz="0" w:space="0" w:color="auto"/>
        <w:left w:val="none" w:sz="0" w:space="0" w:color="auto"/>
        <w:bottom w:val="none" w:sz="0" w:space="0" w:color="auto"/>
        <w:right w:val="none" w:sz="0" w:space="0" w:color="auto"/>
      </w:divBdr>
    </w:div>
    <w:div w:id="1191450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b1a63eb-eb09-471a-a005-37b07792a5b5}" enabled="0" method="" siteId="{bb1a63eb-eb09-471a-a005-37b07792a5b5}" removed="1"/>
</clbl:labelList>
</file>

<file path=docProps/app.xml><?xml version="1.0" encoding="utf-8"?>
<Properties xmlns="http://schemas.openxmlformats.org/officeDocument/2006/extended-properties" xmlns:vt="http://schemas.openxmlformats.org/officeDocument/2006/docPropsVTypes">
  <Template>Normal</Template>
  <TotalTime>35</TotalTime>
  <Pages>4</Pages>
  <Words>1526</Words>
  <Characters>8704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Adams, Bob (Bip.Monticello)</dc:creator>
  <cp:keywords/>
  <dc:description/>
  <cp:lastModifiedBy>Adams, Bob (Bip.Monticello)</cp:lastModifiedBy>
  <cp:revision>6</cp:revision>
  <dcterms:created xsi:type="dcterms:W3CDTF">2025-10-30T15:15:00Z</dcterms:created>
  <dcterms:modified xsi:type="dcterms:W3CDTF">2025-10-30T16:00:00Z</dcterms:modified>
</cp:coreProperties>
</file>