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CA5AD" w14:textId="77777777" w:rsidR="000D10DD" w:rsidRPr="000D10DD" w:rsidRDefault="000D10DD" w:rsidP="000D10DD">
      <w:pPr>
        <w:pStyle w:val="Heading1"/>
      </w:pPr>
      <w:r w:rsidRPr="000D10DD">
        <w:t>Introduction</w:t>
      </w:r>
    </w:p>
    <w:p w14:paraId="74AD2802" w14:textId="61DFDC98" w:rsidR="000D10DD" w:rsidRPr="000D10DD" w:rsidRDefault="000D10DD" w:rsidP="000D10DD">
      <w:pPr>
        <w:rPr>
          <w:rFonts w:ascii="Arial" w:hAnsi="Arial" w:cs="Arial"/>
        </w:rPr>
      </w:pPr>
      <w:r w:rsidRPr="000D10DD">
        <w:rPr>
          <w:rFonts w:ascii="Arial" w:hAnsi="Arial" w:cs="Arial"/>
        </w:rPr>
        <w:t xml:space="preserve">Embedded finance has evolved from a convenience feature to a strategic imperative. By embedding payments, lending, insurance, and even wealth management directly into digital ecosystems, businesses are redefining customer engagement and monetization models. </w:t>
      </w:r>
      <w:r w:rsidR="00306608">
        <w:rPr>
          <w:rFonts w:ascii="Arial" w:hAnsi="Arial" w:cs="Arial"/>
        </w:rPr>
        <w:t xml:space="preserve">We will </w:t>
      </w:r>
      <w:r>
        <w:rPr>
          <w:rFonts w:ascii="Arial" w:hAnsi="Arial" w:cs="Arial"/>
        </w:rPr>
        <w:t>take a look at</w:t>
      </w:r>
      <w:r w:rsidRPr="000D10DD">
        <w:rPr>
          <w:rFonts w:ascii="Arial" w:hAnsi="Arial" w:cs="Arial"/>
        </w:rPr>
        <w:t xml:space="preserve"> the current state of embedded finance in 2025 and project its trajectory through 2030</w:t>
      </w:r>
      <w:r w:rsidR="00306608">
        <w:rPr>
          <w:rFonts w:ascii="Arial" w:hAnsi="Arial" w:cs="Arial"/>
        </w:rPr>
        <w:t xml:space="preserve">. We will be </w:t>
      </w:r>
      <w:r w:rsidRPr="000D10DD">
        <w:rPr>
          <w:rFonts w:ascii="Arial" w:hAnsi="Arial" w:cs="Arial"/>
        </w:rPr>
        <w:t xml:space="preserve">focusing on structural shifts, regulatory developments, and technological enablers </w:t>
      </w:r>
      <w:r>
        <w:rPr>
          <w:rFonts w:ascii="Arial" w:hAnsi="Arial" w:cs="Arial"/>
        </w:rPr>
        <w:t xml:space="preserve">we will </w:t>
      </w:r>
      <w:r w:rsidRPr="000D10DD">
        <w:rPr>
          <w:rFonts w:ascii="Arial" w:hAnsi="Arial" w:cs="Arial"/>
        </w:rPr>
        <w:t>that will shape the next phase of growth</w:t>
      </w:r>
      <w:r w:rsidR="00306608">
        <w:rPr>
          <w:rFonts w:ascii="Arial" w:hAnsi="Arial" w:cs="Arial"/>
        </w:rPr>
        <w:t>.</w:t>
      </w:r>
    </w:p>
    <w:p w14:paraId="31E4C51F" w14:textId="0FDFA61B" w:rsidR="000D10DD" w:rsidRPr="000D10DD" w:rsidRDefault="000D10DD" w:rsidP="000D10DD">
      <w:pPr>
        <w:rPr>
          <w:rFonts w:ascii="Arial" w:hAnsi="Arial" w:cs="Arial"/>
          <w:b/>
          <w:bCs/>
        </w:rPr>
      </w:pPr>
      <w:r w:rsidRPr="000D10DD">
        <w:rPr>
          <w:rStyle w:val="Heading1Char"/>
        </w:rPr>
        <w:t>Current State (2025)</w:t>
      </w:r>
    </w:p>
    <w:p w14:paraId="306AFB6C" w14:textId="11F421F8" w:rsidR="000D10DD" w:rsidRPr="000D10DD" w:rsidRDefault="000D10DD" w:rsidP="000D10DD">
      <w:pPr>
        <w:rPr>
          <w:rFonts w:ascii="Arial" w:hAnsi="Arial" w:cs="Arial"/>
        </w:rPr>
      </w:pPr>
      <w:r w:rsidRPr="000D10DD">
        <w:rPr>
          <w:rStyle w:val="Heading1Char"/>
        </w:rPr>
        <w:drawing>
          <wp:anchor distT="0" distB="0" distL="114300" distR="114300" simplePos="0" relativeHeight="251659264" behindDoc="0" locked="0" layoutInCell="1" allowOverlap="1" wp14:anchorId="2FA7AF97" wp14:editId="5DF2406E">
            <wp:simplePos x="0" y="0"/>
            <wp:positionH relativeFrom="column">
              <wp:posOffset>0</wp:posOffset>
            </wp:positionH>
            <wp:positionV relativeFrom="paragraph">
              <wp:posOffset>10160</wp:posOffset>
            </wp:positionV>
            <wp:extent cx="2306320" cy="2265045"/>
            <wp:effectExtent l="0" t="0" r="17780" b="1905"/>
            <wp:wrapSquare wrapText="bothSides"/>
            <wp:docPr id="445987353" name="Chart 1">
              <a:extLst xmlns:a="http://schemas.openxmlformats.org/drawingml/2006/main">
                <a:ext uri="{FF2B5EF4-FFF2-40B4-BE49-F238E27FC236}">
                  <a16:creationId xmlns:a16="http://schemas.microsoft.com/office/drawing/2014/main" id="{0DB3DBA2-4539-748E-297B-6E428A5CE5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14:sizeRelH relativeFrom="margin">
              <wp14:pctWidth>0</wp14:pctWidth>
            </wp14:sizeRelH>
            <wp14:sizeRelV relativeFrom="margin">
              <wp14:pctHeight>0</wp14:pctHeight>
            </wp14:sizeRelV>
          </wp:anchor>
        </w:drawing>
      </w:r>
      <w:r w:rsidRPr="000D10DD">
        <w:rPr>
          <w:rFonts w:ascii="Arial" w:hAnsi="Arial" w:cs="Arial"/>
        </w:rPr>
        <w:t xml:space="preserve">The global embedded finance market is valued at </w:t>
      </w:r>
      <w:r w:rsidRPr="000D10DD">
        <w:rPr>
          <w:rFonts w:ascii="Arial" w:hAnsi="Arial" w:cs="Arial"/>
          <w:b/>
          <w:bCs/>
        </w:rPr>
        <w:t>$146 billion in 2025</w:t>
      </w:r>
      <w:r w:rsidRPr="000D10DD">
        <w:rPr>
          <w:rFonts w:ascii="Arial" w:hAnsi="Arial" w:cs="Arial"/>
        </w:rPr>
        <w:t xml:space="preserve">, with payments representing the largest segment at </w:t>
      </w:r>
      <w:r w:rsidRPr="000D10DD">
        <w:rPr>
          <w:rFonts w:ascii="Arial" w:hAnsi="Arial" w:cs="Arial"/>
          <w:b/>
          <w:bCs/>
        </w:rPr>
        <w:t>44% share</w:t>
      </w:r>
      <w:r w:rsidRPr="000D10DD">
        <w:rPr>
          <w:rFonts w:ascii="Arial" w:hAnsi="Arial" w:cs="Arial"/>
        </w:rPr>
        <w:t xml:space="preserve">, followed by lending at </w:t>
      </w:r>
      <w:r w:rsidRPr="000D10DD">
        <w:rPr>
          <w:rFonts w:ascii="Arial" w:hAnsi="Arial" w:cs="Arial"/>
          <w:b/>
          <w:bCs/>
        </w:rPr>
        <w:t>32%</w:t>
      </w:r>
      <w:r w:rsidRPr="000D10DD">
        <w:rPr>
          <w:rFonts w:ascii="Arial" w:hAnsi="Arial" w:cs="Arial"/>
        </w:rPr>
        <w:t xml:space="preserve"> and insurance at </w:t>
      </w:r>
      <w:r w:rsidRPr="000D10DD">
        <w:rPr>
          <w:rFonts w:ascii="Arial" w:hAnsi="Arial" w:cs="Arial"/>
          <w:b/>
          <w:bCs/>
        </w:rPr>
        <w:t>24%</w:t>
      </w:r>
      <w:r w:rsidRPr="000D10DD">
        <w:rPr>
          <w:rFonts w:ascii="Arial" w:hAnsi="Arial" w:cs="Arial"/>
        </w:rPr>
        <w:t xml:space="preserve"> (</w:t>
      </w:r>
      <w:r w:rsidRPr="000D10DD">
        <w:rPr>
          <w:rFonts w:ascii="Arial" w:hAnsi="Arial" w:cs="Arial"/>
          <w:i/>
          <w:iCs/>
        </w:rPr>
        <w:t>Mordor Intelligence</w:t>
      </w:r>
      <w:r w:rsidRPr="000D10DD">
        <w:rPr>
          <w:rFonts w:ascii="Arial" w:hAnsi="Arial" w:cs="Arial"/>
        </w:rPr>
        <w:t xml:space="preserve">). North America commands approximately </w:t>
      </w:r>
      <w:r w:rsidRPr="000D10DD">
        <w:rPr>
          <w:rFonts w:ascii="Arial" w:hAnsi="Arial" w:cs="Arial"/>
          <w:b/>
          <w:bCs/>
        </w:rPr>
        <w:t>39% of global adoption</w:t>
      </w:r>
      <w:r w:rsidRPr="000D10DD">
        <w:rPr>
          <w:rFonts w:ascii="Arial" w:hAnsi="Arial" w:cs="Arial"/>
        </w:rPr>
        <w:t xml:space="preserve">, while Asia-Pacific is the fastest-growing region with projected CAGR of </w:t>
      </w:r>
      <w:r w:rsidRPr="000D10DD">
        <w:rPr>
          <w:rFonts w:ascii="Arial" w:hAnsi="Arial" w:cs="Arial"/>
          <w:b/>
          <w:bCs/>
        </w:rPr>
        <w:t>26.4% through 2030</w:t>
      </w:r>
      <w:r w:rsidRPr="000D10DD">
        <w:rPr>
          <w:rFonts w:ascii="Arial" w:hAnsi="Arial" w:cs="Arial"/>
        </w:rPr>
        <w:t xml:space="preserve"> (</w:t>
      </w:r>
      <w:r w:rsidRPr="000D10DD">
        <w:rPr>
          <w:rFonts w:ascii="Arial" w:hAnsi="Arial" w:cs="Arial"/>
          <w:i/>
          <w:iCs/>
        </w:rPr>
        <w:t>Mordor Intelligence</w:t>
      </w:r>
      <w:r w:rsidRPr="000D10DD">
        <w:rPr>
          <w:rFonts w:ascii="Arial" w:hAnsi="Arial" w:cs="Arial"/>
        </w:rPr>
        <w:t xml:space="preserve">). At the same time, the entire global industry is expected to rise to </w:t>
      </w:r>
      <w:r w:rsidRPr="000D10DD">
        <w:rPr>
          <w:rFonts w:ascii="Arial" w:hAnsi="Arial" w:cs="Arial"/>
          <w:b/>
          <w:bCs/>
        </w:rPr>
        <w:t>$690 billion by 2030</w:t>
      </w:r>
      <w:r w:rsidRPr="000D10DD">
        <w:rPr>
          <w:rFonts w:ascii="Arial" w:hAnsi="Arial" w:cs="Arial"/>
        </w:rPr>
        <w:t xml:space="preserve"> (</w:t>
      </w:r>
      <w:r w:rsidRPr="000D10DD">
        <w:rPr>
          <w:rFonts w:ascii="Arial" w:hAnsi="Arial" w:cs="Arial"/>
          <w:i/>
          <w:iCs/>
        </w:rPr>
        <w:t>Mordor Intelligence</w:t>
      </w:r>
      <w:r w:rsidRPr="000D10DD">
        <w:rPr>
          <w:rFonts w:ascii="Arial" w:hAnsi="Arial" w:cs="Arial"/>
        </w:rPr>
        <w:t>).</w:t>
      </w:r>
    </w:p>
    <w:p w14:paraId="133C2AD0" w14:textId="3ECF818F" w:rsidR="000D10DD" w:rsidRPr="000D10DD" w:rsidRDefault="000D10DD" w:rsidP="000D10DD">
      <w:pPr>
        <w:rPr>
          <w:rFonts w:ascii="Arial" w:hAnsi="Arial" w:cs="Arial"/>
        </w:rPr>
      </w:pPr>
      <w:r w:rsidRPr="000D10DD">
        <w:rPr>
          <w:rFonts w:ascii="Arial" w:eastAsiaTheme="majorEastAsia" w:hAnsi="Arial" w:cs="Arial"/>
          <w:color w:val="0F4761" w:themeColor="accent1" w:themeShade="BF"/>
          <w:sz w:val="40"/>
          <w:szCs w:val="40"/>
        </w:rPr>
        <w:drawing>
          <wp:anchor distT="0" distB="0" distL="114300" distR="114300" simplePos="0" relativeHeight="251661312" behindDoc="0" locked="0" layoutInCell="1" allowOverlap="1" wp14:anchorId="719B80DB" wp14:editId="3F4470F7">
            <wp:simplePos x="0" y="0"/>
            <wp:positionH relativeFrom="column">
              <wp:posOffset>3289963</wp:posOffset>
            </wp:positionH>
            <wp:positionV relativeFrom="paragraph">
              <wp:posOffset>830580</wp:posOffset>
            </wp:positionV>
            <wp:extent cx="2640330" cy="1736090"/>
            <wp:effectExtent l="0" t="0" r="7620" b="16510"/>
            <wp:wrapSquare wrapText="bothSides"/>
            <wp:docPr id="1685773186" name="Chart 1">
              <a:extLst xmlns:a="http://schemas.openxmlformats.org/drawingml/2006/main">
                <a:ext uri="{FF2B5EF4-FFF2-40B4-BE49-F238E27FC236}">
                  <a16:creationId xmlns:a16="http://schemas.microsoft.com/office/drawing/2014/main" id="{AF68E15A-4938-DC1B-B7C8-F1AE76364F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anchor>
        </w:drawing>
      </w:r>
      <w:r w:rsidRPr="000D10DD">
        <w:rPr>
          <w:rFonts w:ascii="Arial" w:hAnsi="Arial" w:cs="Arial"/>
        </w:rPr>
        <w:t xml:space="preserve">Retail and e-commerce dominate with </w:t>
      </w:r>
      <w:r w:rsidRPr="000D10DD">
        <w:rPr>
          <w:rFonts w:ascii="Arial" w:hAnsi="Arial" w:cs="Arial"/>
          <w:b/>
          <w:bCs/>
        </w:rPr>
        <w:t>30.5% share</w:t>
      </w:r>
      <w:r w:rsidRPr="000D10DD">
        <w:rPr>
          <w:rFonts w:ascii="Arial" w:hAnsi="Arial" w:cs="Arial"/>
        </w:rPr>
        <w:t xml:space="preserve">, while healthcare and pharmaceuticals are accelerating at </w:t>
      </w:r>
      <w:r w:rsidRPr="000D10DD">
        <w:rPr>
          <w:rFonts w:ascii="Arial" w:hAnsi="Arial" w:cs="Arial"/>
          <w:b/>
          <w:bCs/>
        </w:rPr>
        <w:t>23.1% CAGR</w:t>
      </w:r>
      <w:r w:rsidRPr="000D10DD">
        <w:rPr>
          <w:rFonts w:ascii="Arial" w:hAnsi="Arial" w:cs="Arial"/>
        </w:rPr>
        <w:t xml:space="preserve"> (</w:t>
      </w:r>
      <w:r w:rsidRPr="000D10DD">
        <w:rPr>
          <w:rFonts w:ascii="Arial" w:hAnsi="Arial" w:cs="Arial"/>
          <w:i/>
          <w:iCs/>
        </w:rPr>
        <w:t>Mordor Intelligence</w:t>
      </w:r>
      <w:r w:rsidRPr="000D10DD">
        <w:rPr>
          <w:rFonts w:ascii="Arial" w:hAnsi="Arial" w:cs="Arial"/>
        </w:rPr>
        <w:t xml:space="preserve">). Globally, transaction volumes tied to embedded finance are projected to surpass </w:t>
      </w:r>
      <w:r w:rsidRPr="000D10DD">
        <w:rPr>
          <w:rFonts w:ascii="Arial" w:hAnsi="Arial" w:cs="Arial"/>
          <w:b/>
          <w:bCs/>
        </w:rPr>
        <w:t>$7 trillion by 2030</w:t>
      </w:r>
      <w:r w:rsidRPr="000D10DD">
        <w:rPr>
          <w:rFonts w:ascii="Arial" w:hAnsi="Arial" w:cs="Arial"/>
        </w:rPr>
        <w:t>, underscoring its integration into mainstream financial flows (</w:t>
      </w:r>
      <w:r w:rsidRPr="000D10DD">
        <w:rPr>
          <w:rFonts w:ascii="Arial" w:hAnsi="Arial" w:cs="Arial"/>
          <w:i/>
          <w:iCs/>
        </w:rPr>
        <w:t>World Economic Forum</w:t>
      </w:r>
      <w:r w:rsidRPr="000D10DD">
        <w:rPr>
          <w:rFonts w:ascii="Arial" w:hAnsi="Arial" w:cs="Arial"/>
        </w:rPr>
        <w:t>).</w:t>
      </w:r>
    </w:p>
    <w:p w14:paraId="06433978" w14:textId="77777777" w:rsidR="000D10DD" w:rsidRPr="000D10DD" w:rsidRDefault="000D10DD" w:rsidP="000D10DD">
      <w:pPr>
        <w:rPr>
          <w:rFonts w:ascii="Arial" w:hAnsi="Arial" w:cs="Arial"/>
        </w:rPr>
      </w:pPr>
      <w:r w:rsidRPr="000D10DD">
        <w:rPr>
          <w:rFonts w:ascii="Arial" w:hAnsi="Arial" w:cs="Arial"/>
          <w:b/>
          <w:bCs/>
        </w:rPr>
        <w:t>Key use cases include:</w:t>
      </w:r>
    </w:p>
    <w:p w14:paraId="5C006425" w14:textId="13E63998" w:rsidR="000D10DD" w:rsidRPr="000D10DD" w:rsidRDefault="000D10DD" w:rsidP="000D10DD">
      <w:pPr>
        <w:numPr>
          <w:ilvl w:val="0"/>
          <w:numId w:val="1"/>
        </w:numPr>
        <w:rPr>
          <w:rFonts w:ascii="Arial" w:hAnsi="Arial" w:cs="Arial"/>
        </w:rPr>
      </w:pPr>
      <w:r w:rsidRPr="000D10DD">
        <w:rPr>
          <w:rFonts w:ascii="Arial" w:hAnsi="Arial" w:cs="Arial"/>
          <w:b/>
          <w:bCs/>
        </w:rPr>
        <w:t>Embedded Payments:</w:t>
      </w:r>
      <w:r w:rsidRPr="000D10DD">
        <w:rPr>
          <w:rFonts w:ascii="Arial" w:hAnsi="Arial" w:cs="Arial"/>
        </w:rPr>
        <w:t xml:space="preserve"> Now standard in retail and e-commerce, </w:t>
      </w:r>
      <w:r w:rsidR="00306608">
        <w:rPr>
          <w:rFonts w:ascii="Arial" w:hAnsi="Arial" w:cs="Arial"/>
        </w:rPr>
        <w:t>and e</w:t>
      </w:r>
      <w:r w:rsidRPr="000D10DD">
        <w:rPr>
          <w:rFonts w:ascii="Arial" w:hAnsi="Arial" w:cs="Arial"/>
        </w:rPr>
        <w:t>xpanding into healthcare, education, and B2B transactions (</w:t>
      </w:r>
      <w:r w:rsidRPr="000D10DD">
        <w:rPr>
          <w:rFonts w:ascii="Arial" w:hAnsi="Arial" w:cs="Arial"/>
          <w:i/>
          <w:iCs/>
        </w:rPr>
        <w:t>Global Market Insights</w:t>
      </w:r>
      <w:r w:rsidRPr="000D10DD">
        <w:rPr>
          <w:rFonts w:ascii="Arial" w:hAnsi="Arial" w:cs="Arial"/>
        </w:rPr>
        <w:t>).</w:t>
      </w:r>
    </w:p>
    <w:p w14:paraId="160EB816" w14:textId="77777777" w:rsidR="000D10DD" w:rsidRPr="000D10DD" w:rsidRDefault="000D10DD" w:rsidP="000D10DD">
      <w:pPr>
        <w:numPr>
          <w:ilvl w:val="0"/>
          <w:numId w:val="1"/>
        </w:numPr>
        <w:rPr>
          <w:rFonts w:ascii="Arial" w:hAnsi="Arial" w:cs="Arial"/>
        </w:rPr>
      </w:pPr>
      <w:r w:rsidRPr="000D10DD">
        <w:rPr>
          <w:rFonts w:ascii="Arial" w:hAnsi="Arial" w:cs="Arial"/>
          <w:b/>
          <w:bCs/>
        </w:rPr>
        <w:t>Embedded Lending:</w:t>
      </w:r>
      <w:r w:rsidRPr="000D10DD">
        <w:rPr>
          <w:rFonts w:ascii="Arial" w:hAnsi="Arial" w:cs="Arial"/>
        </w:rPr>
        <w:t xml:space="preserve"> Platforms like Shopify and Toast offer merchant financing and working capital tools, leveraging real-time data for underwriting (</w:t>
      </w:r>
      <w:r w:rsidRPr="000D10DD">
        <w:rPr>
          <w:rFonts w:ascii="Arial" w:hAnsi="Arial" w:cs="Arial"/>
          <w:i/>
          <w:iCs/>
        </w:rPr>
        <w:t>Coherent Market Insights</w:t>
      </w:r>
      <w:r w:rsidRPr="000D10DD">
        <w:rPr>
          <w:rFonts w:ascii="Arial" w:hAnsi="Arial" w:cs="Arial"/>
        </w:rPr>
        <w:t>).</w:t>
      </w:r>
    </w:p>
    <w:p w14:paraId="4DB8D2E6" w14:textId="77777777" w:rsidR="000D10DD" w:rsidRPr="000D10DD" w:rsidRDefault="000D10DD" w:rsidP="000D10DD">
      <w:pPr>
        <w:numPr>
          <w:ilvl w:val="0"/>
          <w:numId w:val="1"/>
        </w:numPr>
        <w:rPr>
          <w:rFonts w:ascii="Arial" w:hAnsi="Arial" w:cs="Arial"/>
        </w:rPr>
      </w:pPr>
      <w:r w:rsidRPr="000D10DD">
        <w:rPr>
          <w:rFonts w:ascii="Arial" w:hAnsi="Arial" w:cs="Arial"/>
          <w:b/>
          <w:bCs/>
        </w:rPr>
        <w:lastRenderedPageBreak/>
        <w:t>Insurance:</w:t>
      </w:r>
      <w:r w:rsidRPr="000D10DD">
        <w:rPr>
          <w:rFonts w:ascii="Arial" w:hAnsi="Arial" w:cs="Arial"/>
        </w:rPr>
        <w:t xml:space="preserve"> Gig platforms and travel apps embed contextual coverage, reducing friction for end-users (</w:t>
      </w:r>
      <w:r w:rsidRPr="000D10DD">
        <w:rPr>
          <w:rFonts w:ascii="Arial" w:hAnsi="Arial" w:cs="Arial"/>
          <w:i/>
          <w:iCs/>
        </w:rPr>
        <w:t>The Business Research Company</w:t>
      </w:r>
      <w:r w:rsidRPr="000D10DD">
        <w:rPr>
          <w:rFonts w:ascii="Arial" w:hAnsi="Arial" w:cs="Arial"/>
        </w:rPr>
        <w:t>).</w:t>
      </w:r>
    </w:p>
    <w:p w14:paraId="26CA16C4" w14:textId="50AD883D" w:rsidR="000D10DD" w:rsidRPr="000D10DD" w:rsidRDefault="000D10DD" w:rsidP="000D10DD">
      <w:pPr>
        <w:rPr>
          <w:rFonts w:ascii="Arial" w:hAnsi="Arial" w:cs="Arial"/>
        </w:rPr>
      </w:pPr>
      <w:r w:rsidRPr="000D10DD">
        <w:rPr>
          <w:rFonts w:ascii="Arial" w:hAnsi="Arial" w:cs="Arial"/>
        </w:rPr>
        <w:t>Infrastructure is increasingly API-driven. Banking-as-a-Service (BaaS) providers such as Unit, Synctera, and Solaris enable rapid deployment of compliant financial products, while orchestration platforms standardize workflows and compliance (</w:t>
      </w:r>
      <w:r w:rsidRPr="000D10DD">
        <w:rPr>
          <w:rFonts w:ascii="Arial" w:hAnsi="Arial" w:cs="Arial"/>
          <w:i/>
          <w:iCs/>
        </w:rPr>
        <w:t>Anadea</w:t>
      </w:r>
      <w:r w:rsidRPr="000D10DD">
        <w:rPr>
          <w:rFonts w:ascii="Arial" w:hAnsi="Arial" w:cs="Arial"/>
        </w:rPr>
        <w:t>).</w:t>
      </w:r>
    </w:p>
    <w:p w14:paraId="31D81494" w14:textId="77777777" w:rsidR="000D10DD" w:rsidRPr="000D10DD" w:rsidRDefault="000D10DD" w:rsidP="000D10DD">
      <w:pPr>
        <w:rPr>
          <w:rStyle w:val="Heading1Char"/>
        </w:rPr>
      </w:pPr>
      <w:r w:rsidRPr="000D10DD">
        <w:rPr>
          <w:rStyle w:val="Heading1Char"/>
        </w:rPr>
        <w:t>Key Drivers</w:t>
      </w:r>
    </w:p>
    <w:p w14:paraId="499A2E28" w14:textId="77777777" w:rsidR="000D10DD" w:rsidRPr="000D10DD" w:rsidRDefault="000D10DD" w:rsidP="000D10DD">
      <w:pPr>
        <w:rPr>
          <w:rFonts w:ascii="Arial" w:hAnsi="Arial" w:cs="Arial"/>
        </w:rPr>
      </w:pPr>
      <w:r w:rsidRPr="000D10DD">
        <w:rPr>
          <w:rFonts w:ascii="Arial" w:hAnsi="Arial" w:cs="Arial"/>
        </w:rPr>
        <w:t>Several forces underpin the rapid growth of embedded finance:</w:t>
      </w:r>
    </w:p>
    <w:p w14:paraId="3AE99DCE" w14:textId="77777777" w:rsidR="000D10DD" w:rsidRPr="000D10DD" w:rsidRDefault="000D10DD" w:rsidP="000D10DD">
      <w:pPr>
        <w:numPr>
          <w:ilvl w:val="0"/>
          <w:numId w:val="2"/>
        </w:numPr>
        <w:rPr>
          <w:rFonts w:ascii="Arial" w:hAnsi="Arial" w:cs="Arial"/>
        </w:rPr>
      </w:pPr>
      <w:r w:rsidRPr="000D10DD">
        <w:rPr>
          <w:rFonts w:ascii="Arial" w:hAnsi="Arial" w:cs="Arial"/>
          <w:b/>
          <w:bCs/>
        </w:rPr>
        <w:t>Digitalization and Consumer Demand</w:t>
      </w:r>
      <w:r w:rsidRPr="000D10DD">
        <w:rPr>
          <w:rFonts w:ascii="Arial" w:hAnsi="Arial" w:cs="Arial"/>
        </w:rPr>
        <w:br/>
        <w:t xml:space="preserve">The rise of digital commerce and mobile-first ecosystems has created an expectation for frictionless financial experiences. In the U.S., card payments reached </w:t>
      </w:r>
      <w:r w:rsidRPr="000D10DD">
        <w:rPr>
          <w:rFonts w:ascii="Arial" w:hAnsi="Arial" w:cs="Arial"/>
          <w:b/>
          <w:bCs/>
        </w:rPr>
        <w:t>$9.76 trillion in 2023</w:t>
      </w:r>
      <w:r w:rsidRPr="000D10DD">
        <w:rPr>
          <w:rFonts w:ascii="Arial" w:hAnsi="Arial" w:cs="Arial"/>
        </w:rPr>
        <w:t>, with mobile wallets and contactless payments accelerating adoption (</w:t>
      </w:r>
      <w:r w:rsidRPr="000D10DD">
        <w:rPr>
          <w:rFonts w:ascii="Arial" w:hAnsi="Arial" w:cs="Arial"/>
          <w:i/>
          <w:iCs/>
        </w:rPr>
        <w:t>Global Market Insights</w:t>
      </w:r>
      <w:r w:rsidRPr="000D10DD">
        <w:rPr>
          <w:rFonts w:ascii="Arial" w:hAnsi="Arial" w:cs="Arial"/>
        </w:rPr>
        <w:t>).</w:t>
      </w:r>
    </w:p>
    <w:p w14:paraId="2F57C98B" w14:textId="77777777" w:rsidR="000D10DD" w:rsidRPr="000D10DD" w:rsidRDefault="000D10DD" w:rsidP="000D10DD">
      <w:pPr>
        <w:numPr>
          <w:ilvl w:val="0"/>
          <w:numId w:val="2"/>
        </w:numPr>
        <w:rPr>
          <w:rFonts w:ascii="Arial" w:hAnsi="Arial" w:cs="Arial"/>
        </w:rPr>
      </w:pPr>
      <w:r w:rsidRPr="000D10DD">
        <w:rPr>
          <w:rFonts w:ascii="Arial" w:hAnsi="Arial" w:cs="Arial"/>
          <w:b/>
          <w:bCs/>
        </w:rPr>
        <w:t>API-First Architecture</w:t>
      </w:r>
      <w:r w:rsidRPr="000D10DD">
        <w:rPr>
          <w:rFonts w:ascii="Arial" w:hAnsi="Arial" w:cs="Arial"/>
        </w:rPr>
        <w:br/>
        <w:t>APIs have democratized access to financial services, enabling non-financial platforms to integrate payments, lending, and insurance without building banking infrastructure. API-first design supports modularity, scalability, and compliance, reducing integration timelines from months to days (</w:t>
      </w:r>
      <w:r w:rsidRPr="000D10DD">
        <w:rPr>
          <w:rFonts w:ascii="Arial" w:hAnsi="Arial" w:cs="Arial"/>
          <w:i/>
          <w:iCs/>
        </w:rPr>
        <w:t>ITMAGINATION</w:t>
      </w:r>
      <w:r w:rsidRPr="000D10DD">
        <w:rPr>
          <w:rFonts w:ascii="Arial" w:hAnsi="Arial" w:cs="Arial"/>
        </w:rPr>
        <w:t>).</w:t>
      </w:r>
    </w:p>
    <w:p w14:paraId="55DBADF0" w14:textId="77777777" w:rsidR="000D10DD" w:rsidRPr="000D10DD" w:rsidRDefault="000D10DD" w:rsidP="000D10DD">
      <w:pPr>
        <w:numPr>
          <w:ilvl w:val="0"/>
          <w:numId w:val="2"/>
        </w:numPr>
        <w:rPr>
          <w:rFonts w:ascii="Arial" w:hAnsi="Arial" w:cs="Arial"/>
        </w:rPr>
      </w:pPr>
      <w:r w:rsidRPr="000D10DD">
        <w:rPr>
          <w:rFonts w:ascii="Arial" w:hAnsi="Arial" w:cs="Arial"/>
          <w:b/>
          <w:bCs/>
        </w:rPr>
        <w:t>Data-Driven Underwriting</w:t>
      </w:r>
      <w:r w:rsidRPr="000D10DD">
        <w:rPr>
          <w:rFonts w:ascii="Arial" w:hAnsi="Arial" w:cs="Arial"/>
        </w:rPr>
        <w:br/>
        <w:t xml:space="preserve">AI and real-time data streams are transforming credit risk assessment. Underwriting times have dropped from days to minutes, leveraging transaction-level data, open banking feeds, and behavioral analytics. Platforms like Liberis report </w:t>
      </w:r>
      <w:r w:rsidRPr="000D10DD">
        <w:rPr>
          <w:rFonts w:ascii="Arial" w:hAnsi="Arial" w:cs="Arial"/>
          <w:b/>
          <w:bCs/>
        </w:rPr>
        <w:t>50% reduction in manual decision time using AI-driven underwriting agents</w:t>
      </w:r>
      <w:r w:rsidRPr="000D10DD">
        <w:rPr>
          <w:rFonts w:ascii="Arial" w:hAnsi="Arial" w:cs="Arial"/>
        </w:rPr>
        <w:t xml:space="preserve"> (</w:t>
      </w:r>
      <w:r w:rsidRPr="000D10DD">
        <w:rPr>
          <w:rFonts w:ascii="Arial" w:hAnsi="Arial" w:cs="Arial"/>
          <w:i/>
          <w:iCs/>
        </w:rPr>
        <w:t>Liberis</w:t>
      </w:r>
      <w:r w:rsidRPr="000D10DD">
        <w:rPr>
          <w:rFonts w:ascii="Arial" w:hAnsi="Arial" w:cs="Arial"/>
        </w:rPr>
        <w:t>).</w:t>
      </w:r>
    </w:p>
    <w:p w14:paraId="67ACC539" w14:textId="77777777" w:rsidR="000D10DD" w:rsidRPr="000D10DD" w:rsidRDefault="000D10DD" w:rsidP="000D10DD">
      <w:pPr>
        <w:numPr>
          <w:ilvl w:val="0"/>
          <w:numId w:val="2"/>
        </w:numPr>
        <w:rPr>
          <w:rFonts w:ascii="Arial" w:hAnsi="Arial" w:cs="Arial"/>
        </w:rPr>
      </w:pPr>
      <w:r w:rsidRPr="000D10DD">
        <w:rPr>
          <w:rFonts w:ascii="Arial" w:hAnsi="Arial" w:cs="Arial"/>
          <w:b/>
          <w:bCs/>
        </w:rPr>
        <w:t>Banking-as-a-Service Expansion</w:t>
      </w:r>
      <w:r w:rsidRPr="000D10DD">
        <w:rPr>
          <w:rFonts w:ascii="Arial" w:hAnsi="Arial" w:cs="Arial"/>
        </w:rPr>
        <w:br/>
        <w:t>BaaS platforms provide ready-to-use infrastructure, compliance frameworks, and APIs, lowering entry barriers for non-financial companies. Partnerships between banks and SaaS platforms are proliferating, enabling contextual finance in sectors like healthcare and logistics (</w:t>
      </w:r>
      <w:r w:rsidRPr="000D10DD">
        <w:rPr>
          <w:rFonts w:ascii="Arial" w:hAnsi="Arial" w:cs="Arial"/>
          <w:i/>
          <w:iCs/>
        </w:rPr>
        <w:t>Research and Markets</w:t>
      </w:r>
      <w:r w:rsidRPr="000D10DD">
        <w:rPr>
          <w:rFonts w:ascii="Arial" w:hAnsi="Arial" w:cs="Arial"/>
        </w:rPr>
        <w:t>).</w:t>
      </w:r>
    </w:p>
    <w:p w14:paraId="6A171144" w14:textId="77777777" w:rsidR="000D10DD" w:rsidRPr="000D10DD" w:rsidRDefault="000D10DD" w:rsidP="000D10DD">
      <w:pPr>
        <w:numPr>
          <w:ilvl w:val="0"/>
          <w:numId w:val="2"/>
        </w:numPr>
        <w:rPr>
          <w:rFonts w:ascii="Arial" w:hAnsi="Arial" w:cs="Arial"/>
        </w:rPr>
      </w:pPr>
      <w:r w:rsidRPr="000D10DD">
        <w:rPr>
          <w:rFonts w:ascii="Arial" w:hAnsi="Arial" w:cs="Arial"/>
          <w:b/>
          <w:bCs/>
        </w:rPr>
        <w:t>Regulatory Clarity</w:t>
      </w:r>
      <w:r w:rsidRPr="000D10DD">
        <w:rPr>
          <w:rFonts w:ascii="Arial" w:hAnsi="Arial" w:cs="Arial"/>
        </w:rPr>
        <w:br/>
        <w:t>Emerging frameworks such as PSD2 in Europe and Section 1033 in the U.S. standardize data sharing and consumer protection. Regulatory scrutiny is increasing, with enforcement actions targeting sponsor banks and fintech partnerships, driving demand for robust compliance and orchestration layers (</w:t>
      </w:r>
      <w:r w:rsidRPr="000D10DD">
        <w:rPr>
          <w:rFonts w:ascii="Arial" w:hAnsi="Arial" w:cs="Arial"/>
          <w:i/>
          <w:iCs/>
        </w:rPr>
        <w:t>Treasury Prime</w:t>
      </w:r>
      <w:r w:rsidRPr="000D10DD">
        <w:rPr>
          <w:rFonts w:ascii="Arial" w:hAnsi="Arial" w:cs="Arial"/>
        </w:rPr>
        <w:t>).</w:t>
      </w:r>
    </w:p>
    <w:p w14:paraId="11FE5DAF" w14:textId="78925B75" w:rsidR="000D10DD" w:rsidRPr="000D10DD" w:rsidRDefault="000D10DD" w:rsidP="000D10DD">
      <w:pPr>
        <w:rPr>
          <w:rFonts w:ascii="Arial" w:hAnsi="Arial" w:cs="Arial"/>
        </w:rPr>
      </w:pPr>
    </w:p>
    <w:p w14:paraId="665CBF57" w14:textId="77777777" w:rsidR="000D10DD" w:rsidRPr="000D10DD" w:rsidRDefault="000D10DD" w:rsidP="000D10DD">
      <w:pPr>
        <w:rPr>
          <w:rStyle w:val="Heading1Char"/>
        </w:rPr>
      </w:pPr>
      <w:r w:rsidRPr="000D10DD">
        <w:rPr>
          <w:rStyle w:val="Heading1Char"/>
        </w:rPr>
        <w:lastRenderedPageBreak/>
        <w:t>Outlook to 2030</w:t>
      </w:r>
    </w:p>
    <w:p w14:paraId="25D56086" w14:textId="023C3625" w:rsidR="000D10DD" w:rsidRPr="000D10DD" w:rsidRDefault="000D10DD" w:rsidP="000D10DD">
      <w:pPr>
        <w:rPr>
          <w:rFonts w:ascii="Arial" w:hAnsi="Arial" w:cs="Arial"/>
        </w:rPr>
      </w:pPr>
      <w:r w:rsidRPr="000D10DD">
        <w:rPr>
          <w:rFonts w:ascii="Arial" w:hAnsi="Arial" w:cs="Arial"/>
          <w:noProof/>
        </w:rPr>
        <w:drawing>
          <wp:anchor distT="0" distB="0" distL="114300" distR="114300" simplePos="0" relativeHeight="251663360" behindDoc="0" locked="0" layoutInCell="1" allowOverlap="1" wp14:anchorId="718C2F83" wp14:editId="0DEC2FA9">
            <wp:simplePos x="0" y="0"/>
            <wp:positionH relativeFrom="column">
              <wp:posOffset>3084195</wp:posOffset>
            </wp:positionH>
            <wp:positionV relativeFrom="paragraph">
              <wp:posOffset>71120</wp:posOffset>
            </wp:positionV>
            <wp:extent cx="2601595" cy="2346960"/>
            <wp:effectExtent l="0" t="0" r="8255" b="15240"/>
            <wp:wrapSquare wrapText="bothSides"/>
            <wp:docPr id="611244343" name="Chart 1">
              <a:extLst xmlns:a="http://schemas.openxmlformats.org/drawingml/2006/main">
                <a:ext uri="{FF2B5EF4-FFF2-40B4-BE49-F238E27FC236}">
                  <a16:creationId xmlns:a16="http://schemas.microsoft.com/office/drawing/2014/main" id="{AEB3D9CC-1C13-3F14-A30C-08A3F41F80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r w:rsidRPr="000D10DD">
        <w:rPr>
          <w:rFonts w:ascii="Arial" w:hAnsi="Arial" w:cs="Arial"/>
        </w:rPr>
        <w:t xml:space="preserve">The next five years will mark a transition from experimentation to ubiquity. In the U.S., the market stands at </w:t>
      </w:r>
      <w:r w:rsidRPr="000D10DD">
        <w:rPr>
          <w:rFonts w:ascii="Arial" w:hAnsi="Arial" w:cs="Arial"/>
          <w:b/>
          <w:bCs/>
        </w:rPr>
        <w:t>$41.3 billion in 2025</w:t>
      </w:r>
      <w:r w:rsidRPr="000D10DD">
        <w:rPr>
          <w:rFonts w:ascii="Arial" w:hAnsi="Arial" w:cs="Arial"/>
        </w:rPr>
        <w:t xml:space="preserve">, expected to reach </w:t>
      </w:r>
      <w:r w:rsidRPr="000D10DD">
        <w:rPr>
          <w:rFonts w:ascii="Arial" w:hAnsi="Arial" w:cs="Arial"/>
          <w:b/>
          <w:bCs/>
        </w:rPr>
        <w:t>$115.9 billion by 2030</w:t>
      </w:r>
      <w:r w:rsidRPr="000D10DD">
        <w:rPr>
          <w:rFonts w:ascii="Arial" w:hAnsi="Arial" w:cs="Arial"/>
        </w:rPr>
        <w:t xml:space="preserve">, reflecting a </w:t>
      </w:r>
      <w:r w:rsidRPr="000D10DD">
        <w:rPr>
          <w:rFonts w:ascii="Arial" w:hAnsi="Arial" w:cs="Arial"/>
          <w:b/>
          <w:bCs/>
        </w:rPr>
        <w:t>22.9% CAGR</w:t>
      </w:r>
      <w:r w:rsidRPr="000D10DD">
        <w:rPr>
          <w:rFonts w:ascii="Arial" w:hAnsi="Arial" w:cs="Arial"/>
        </w:rPr>
        <w:t xml:space="preserve"> (</w:t>
      </w:r>
      <w:r w:rsidRPr="000D10DD">
        <w:rPr>
          <w:rFonts w:ascii="Arial" w:hAnsi="Arial" w:cs="Arial"/>
          <w:i/>
          <w:iCs/>
        </w:rPr>
        <w:t>Mordor Intelligence</w:t>
      </w:r>
      <w:r w:rsidRPr="000D10DD">
        <w:rPr>
          <w:rFonts w:ascii="Arial" w:hAnsi="Arial" w:cs="Arial"/>
        </w:rPr>
        <w:t>). Real-time payments will become standard, AI-driven personalization will dominate credit and insurance offerings, and cross-border enablement will accelerate through multi-currency embedded solutions. Regulatory frameworks will tighten, favoring platforms with strong governance and audit capabilities (</w:t>
      </w:r>
      <w:r w:rsidRPr="000D10DD">
        <w:rPr>
          <w:rFonts w:ascii="Arial" w:hAnsi="Arial" w:cs="Arial"/>
          <w:i/>
          <w:iCs/>
        </w:rPr>
        <w:t>FinTech Futures</w:t>
      </w:r>
      <w:r w:rsidRPr="000D10DD">
        <w:rPr>
          <w:rFonts w:ascii="Arial" w:hAnsi="Arial" w:cs="Arial"/>
        </w:rPr>
        <w:t>).</w:t>
      </w:r>
    </w:p>
    <w:p w14:paraId="05E4CB00" w14:textId="77777777" w:rsidR="000D10DD" w:rsidRPr="000D10DD" w:rsidRDefault="000D10DD" w:rsidP="000D10DD">
      <w:pPr>
        <w:rPr>
          <w:rFonts w:ascii="Arial" w:hAnsi="Arial" w:cs="Arial"/>
          <w:b/>
          <w:bCs/>
        </w:rPr>
      </w:pPr>
      <w:r w:rsidRPr="000D10DD">
        <w:rPr>
          <w:rFonts w:ascii="Arial" w:hAnsi="Arial" w:cs="Arial"/>
          <w:b/>
          <w:bCs/>
        </w:rPr>
        <w:t>Strategic Insights and Imperatives</w:t>
      </w:r>
    </w:p>
    <w:p w14:paraId="354C7C11" w14:textId="3F22E9A8" w:rsidR="000D10DD" w:rsidRPr="000D10DD" w:rsidRDefault="000D10DD" w:rsidP="000D10DD">
      <w:pPr>
        <w:rPr>
          <w:rFonts w:ascii="Arial" w:hAnsi="Arial" w:cs="Arial"/>
        </w:rPr>
      </w:pPr>
      <w:r w:rsidRPr="000D10DD">
        <w:rPr>
          <w:rFonts w:ascii="Arial" w:hAnsi="Arial" w:cs="Arial"/>
        </w:rPr>
        <w:t xml:space="preserve">Embedded finance is no longer a peripheral innovation; it is a structural reconfiguration of financial intermediation. By 2030, the distinction between “financial” and “non-financial” entities will be increasingly porous, as platforms evolve into multi-layered ecosystems orchestrating payments, credit, and risk transfer at the point of need. This convergence is not </w:t>
      </w:r>
      <w:r w:rsidR="00306608">
        <w:rPr>
          <w:rFonts w:ascii="Arial" w:hAnsi="Arial" w:cs="Arial"/>
        </w:rPr>
        <w:t>just</w:t>
      </w:r>
      <w:r w:rsidRPr="000D10DD">
        <w:rPr>
          <w:rFonts w:ascii="Arial" w:hAnsi="Arial" w:cs="Arial"/>
        </w:rPr>
        <w:t xml:space="preserve"> technological</w:t>
      </w:r>
      <w:r w:rsidR="00306608">
        <w:rPr>
          <w:rFonts w:ascii="Arial" w:hAnsi="Arial" w:cs="Arial"/>
        </w:rPr>
        <w:t xml:space="preserve">, but </w:t>
      </w:r>
      <w:r w:rsidRPr="000D10DD">
        <w:rPr>
          <w:rFonts w:ascii="Arial" w:hAnsi="Arial" w:cs="Arial"/>
        </w:rPr>
        <w:t>is economic and behavioral, driven by the principle of contextual liquidity: financial services delivered precisely where and when economic activity occurs.</w:t>
      </w:r>
    </w:p>
    <w:p w14:paraId="52407370" w14:textId="77777777" w:rsidR="000D10DD" w:rsidRPr="000D10DD" w:rsidRDefault="000D10DD" w:rsidP="000D10DD">
      <w:pPr>
        <w:rPr>
          <w:rFonts w:ascii="Arial" w:hAnsi="Arial" w:cs="Arial"/>
        </w:rPr>
      </w:pPr>
      <w:r w:rsidRPr="000D10DD">
        <w:rPr>
          <w:rFonts w:ascii="Arial" w:hAnsi="Arial" w:cs="Arial"/>
          <w:b/>
          <w:bCs/>
        </w:rPr>
        <w:t>Three strategic imperatives emerge:</w:t>
      </w:r>
    </w:p>
    <w:p w14:paraId="0D9972AC" w14:textId="77777777" w:rsidR="000D10DD" w:rsidRPr="000D10DD" w:rsidRDefault="000D10DD" w:rsidP="000D10DD">
      <w:pPr>
        <w:numPr>
          <w:ilvl w:val="0"/>
          <w:numId w:val="3"/>
        </w:numPr>
        <w:rPr>
          <w:rFonts w:ascii="Arial" w:hAnsi="Arial" w:cs="Arial"/>
        </w:rPr>
      </w:pPr>
      <w:r w:rsidRPr="000D10DD">
        <w:rPr>
          <w:rFonts w:ascii="Arial" w:hAnsi="Arial" w:cs="Arial"/>
          <w:b/>
          <w:bCs/>
        </w:rPr>
        <w:t>Platformization of Finance</w:t>
      </w:r>
      <w:r w:rsidRPr="000D10DD">
        <w:rPr>
          <w:rFonts w:ascii="Arial" w:hAnsi="Arial" w:cs="Arial"/>
        </w:rPr>
        <w:br/>
        <w:t>The gravitational center of financial services is shifting from balance-sheet institutions to distribution-centric platforms. Banks that fail to reposition as infrastructure providers, offering compliance, liquidity, and risk management as modular services, will cede relevance to orchestration layers embedded in commerce, SaaS, and mobility ecosystems.</w:t>
      </w:r>
    </w:p>
    <w:p w14:paraId="52D0E1F0" w14:textId="77777777" w:rsidR="000D10DD" w:rsidRPr="000D10DD" w:rsidRDefault="000D10DD" w:rsidP="000D10DD">
      <w:pPr>
        <w:numPr>
          <w:ilvl w:val="0"/>
          <w:numId w:val="3"/>
        </w:numPr>
        <w:rPr>
          <w:rFonts w:ascii="Arial" w:hAnsi="Arial" w:cs="Arial"/>
        </w:rPr>
      </w:pPr>
      <w:r w:rsidRPr="000D10DD">
        <w:rPr>
          <w:rFonts w:ascii="Arial" w:hAnsi="Arial" w:cs="Arial"/>
          <w:b/>
          <w:bCs/>
        </w:rPr>
        <w:t>Data as Collateral</w:t>
      </w:r>
      <w:r w:rsidRPr="000D10DD">
        <w:rPr>
          <w:rFonts w:ascii="Arial" w:hAnsi="Arial" w:cs="Arial"/>
        </w:rPr>
        <w:br/>
        <w:t>Underwriting paradigms are being rewritten. Transactional and behavioral data are becoming the new collateral, enabling dynamic credit provisioning and hyper-personalized risk pricing. Firms that master real-time data monetization will unlock asymmetric advantages in credit and insurance markets.</w:t>
      </w:r>
    </w:p>
    <w:p w14:paraId="035E109B" w14:textId="77777777" w:rsidR="00306608" w:rsidRDefault="00306608">
      <w:pPr>
        <w:rPr>
          <w:rFonts w:ascii="Arial" w:hAnsi="Arial" w:cs="Arial"/>
          <w:b/>
          <w:bCs/>
        </w:rPr>
      </w:pPr>
      <w:r>
        <w:rPr>
          <w:rFonts w:ascii="Arial" w:hAnsi="Arial" w:cs="Arial"/>
          <w:b/>
          <w:bCs/>
        </w:rPr>
        <w:br w:type="page"/>
      </w:r>
    </w:p>
    <w:p w14:paraId="32788988" w14:textId="208AAEBB" w:rsidR="000D10DD" w:rsidRPr="000D10DD" w:rsidRDefault="000D10DD" w:rsidP="000D10DD">
      <w:pPr>
        <w:numPr>
          <w:ilvl w:val="0"/>
          <w:numId w:val="3"/>
        </w:numPr>
        <w:rPr>
          <w:rFonts w:ascii="Arial" w:hAnsi="Arial" w:cs="Arial"/>
        </w:rPr>
      </w:pPr>
      <w:r w:rsidRPr="000D10DD">
        <w:rPr>
          <w:rFonts w:ascii="Arial" w:hAnsi="Arial" w:cs="Arial"/>
          <w:b/>
          <w:bCs/>
        </w:rPr>
        <w:lastRenderedPageBreak/>
        <w:t>Regulatory Arbitrage and Standardization</w:t>
      </w:r>
      <w:r w:rsidRPr="000D10DD">
        <w:rPr>
          <w:rFonts w:ascii="Arial" w:hAnsi="Arial" w:cs="Arial"/>
        </w:rPr>
        <w:br/>
        <w:t>The regulatory trajectory points toward harmonization of API standards and heightened scrutiny of sponsor-bank relationships. Compliance will evolve from a defensive posture to a competitive differentiator. Institutions that embed regtech capabilities into their operating model will scale faster and at lower marginal cost.</w:t>
      </w:r>
    </w:p>
    <w:p w14:paraId="390F69EE" w14:textId="1D4CB2E3" w:rsidR="000D10DD" w:rsidRPr="000D10DD" w:rsidRDefault="000D10DD" w:rsidP="000D10DD">
      <w:pPr>
        <w:rPr>
          <w:rFonts w:ascii="Arial" w:hAnsi="Arial" w:cs="Arial"/>
        </w:rPr>
      </w:pPr>
      <w:r w:rsidRPr="000D10DD">
        <w:rPr>
          <w:rFonts w:ascii="Arial" w:hAnsi="Arial" w:cs="Arial"/>
        </w:rPr>
        <w:t>The embedded finance economy is not a linear extension of fintech</w:t>
      </w:r>
      <w:r w:rsidR="00306608">
        <w:rPr>
          <w:rFonts w:ascii="Arial" w:hAnsi="Arial" w:cs="Arial"/>
        </w:rPr>
        <w:t xml:space="preserve">, </w:t>
      </w:r>
      <w:r w:rsidRPr="000D10DD">
        <w:rPr>
          <w:rFonts w:ascii="Arial" w:hAnsi="Arial" w:cs="Arial"/>
        </w:rPr>
        <w:t>it is a systemic shift toward embedded value chains, where financial services are invisible yet omnipresent. For clients, the strategic question is not whether to participate, but how to architect capabilities that are composable, compliant, and cognitively intelligent. Those who operationalize these principles will define the next decade of financial innovation.</w:t>
      </w:r>
    </w:p>
    <w:p w14:paraId="1F5FAD93" w14:textId="77777777" w:rsidR="000D10DD" w:rsidRPr="000D10DD" w:rsidRDefault="000D10DD" w:rsidP="000D10DD">
      <w:pPr>
        <w:rPr>
          <w:rStyle w:val="Heading1Char"/>
        </w:rPr>
      </w:pPr>
      <w:r w:rsidRPr="000D10DD">
        <w:rPr>
          <w:rStyle w:val="Heading1Char"/>
        </w:rPr>
        <w:t>Closing Perspective: The Future Is Embedded</w:t>
      </w:r>
    </w:p>
    <w:p w14:paraId="34929946" w14:textId="53DFB503" w:rsidR="000D10DD" w:rsidRPr="000D10DD" w:rsidRDefault="000D10DD" w:rsidP="000D10DD">
      <w:pPr>
        <w:rPr>
          <w:rFonts w:ascii="Arial" w:hAnsi="Arial" w:cs="Arial"/>
        </w:rPr>
      </w:pPr>
      <w:r w:rsidRPr="000D10DD">
        <w:rPr>
          <w:rFonts w:ascii="Arial" w:hAnsi="Arial" w:cs="Arial"/>
        </w:rPr>
        <w:t>The trajectory of embedded finance</w:t>
      </w:r>
      <w:r w:rsidR="00306608">
        <w:rPr>
          <w:rFonts w:ascii="Arial" w:hAnsi="Arial" w:cs="Arial"/>
        </w:rPr>
        <w:t xml:space="preserve"> will not be </w:t>
      </w:r>
      <w:r w:rsidRPr="000D10DD">
        <w:rPr>
          <w:rFonts w:ascii="Arial" w:hAnsi="Arial" w:cs="Arial"/>
        </w:rPr>
        <w:t>incremental. What began as a convenience feature has matured into a structural paradigm that redefines how economic value is created, distributed, and consumed. By 2030, financial services will be so deeply integrated into digital ecosystems that they will become functionally invisible yet economically indispensable.</w:t>
      </w:r>
    </w:p>
    <w:p w14:paraId="770EE718" w14:textId="77777777" w:rsidR="000D10DD" w:rsidRPr="000D10DD" w:rsidRDefault="000D10DD" w:rsidP="000D10DD">
      <w:pPr>
        <w:rPr>
          <w:rFonts w:ascii="Arial" w:hAnsi="Arial" w:cs="Arial"/>
        </w:rPr>
      </w:pPr>
      <w:r w:rsidRPr="000D10DD">
        <w:rPr>
          <w:rFonts w:ascii="Arial" w:hAnsi="Arial" w:cs="Arial"/>
        </w:rPr>
        <w:t>For industry leaders, the mandate is clear: adapt or be abstracted. Platforms that master contextual liquidity, leverage data as collateral, and operationalize composable financial architectures will dominate the next decade. Compliance will cease to be a constraint and instead emerge as a strategic moat, while orchestration platforms will become the connective tissue of global commerce.</w:t>
      </w:r>
    </w:p>
    <w:p w14:paraId="3C7B75AB" w14:textId="61214EEA" w:rsidR="000D10DD" w:rsidRPr="000D10DD" w:rsidRDefault="000D10DD" w:rsidP="000D10DD">
      <w:pPr>
        <w:rPr>
          <w:rFonts w:ascii="Arial" w:hAnsi="Arial" w:cs="Arial"/>
        </w:rPr>
      </w:pPr>
      <w:r w:rsidRPr="000D10DD">
        <w:rPr>
          <w:rFonts w:ascii="Arial" w:hAnsi="Arial" w:cs="Arial"/>
        </w:rPr>
        <w:t>The embedded finance economy rewards foresight, not inertia. Those who invest now in API-first infrastructure, real-time intelligence, and regulatory resilience will set the rules of engagement. The question is no longer if embedded finance will reshape the industry, but how quickly</w:t>
      </w:r>
      <w:r w:rsidR="00306608">
        <w:rPr>
          <w:rFonts w:ascii="Arial" w:hAnsi="Arial" w:cs="Arial"/>
        </w:rPr>
        <w:t xml:space="preserve"> key players can position themselves to lead this new order</w:t>
      </w:r>
      <w:r w:rsidRPr="000D10DD">
        <w:rPr>
          <w:rFonts w:ascii="Arial" w:hAnsi="Arial" w:cs="Arial"/>
        </w:rPr>
        <w:t>.</w:t>
      </w:r>
    </w:p>
    <w:p w14:paraId="2371CEA2" w14:textId="77777777" w:rsidR="000D10DD" w:rsidRDefault="000D10DD">
      <w:pPr>
        <w:rPr>
          <w:rFonts w:ascii="Arial" w:hAnsi="Arial" w:cs="Arial"/>
          <w:b/>
          <w:bCs/>
        </w:rPr>
      </w:pPr>
      <w:r>
        <w:rPr>
          <w:rFonts w:ascii="Arial" w:hAnsi="Arial" w:cs="Arial"/>
          <w:b/>
          <w:bCs/>
        </w:rPr>
        <w:br w:type="page"/>
      </w:r>
    </w:p>
    <w:p w14:paraId="675E02D3" w14:textId="3FAE7957" w:rsidR="000D10DD" w:rsidRPr="000D10DD" w:rsidRDefault="000D10DD" w:rsidP="000D10DD">
      <w:pPr>
        <w:rPr>
          <w:rFonts w:ascii="Arial" w:hAnsi="Arial" w:cs="Arial"/>
          <w:b/>
          <w:bCs/>
        </w:rPr>
      </w:pPr>
      <w:r w:rsidRPr="000D10DD">
        <w:rPr>
          <w:rFonts w:ascii="Arial" w:hAnsi="Arial" w:cs="Arial"/>
          <w:b/>
          <w:bCs/>
        </w:rPr>
        <w:lastRenderedPageBreak/>
        <w:t>Works Cited</w:t>
      </w:r>
    </w:p>
    <w:p w14:paraId="1C9F5376" w14:textId="77777777" w:rsidR="000D10DD" w:rsidRPr="000D10DD" w:rsidRDefault="000D10DD" w:rsidP="000D10DD">
      <w:pPr>
        <w:numPr>
          <w:ilvl w:val="0"/>
          <w:numId w:val="4"/>
        </w:numPr>
        <w:rPr>
          <w:rFonts w:ascii="Arial" w:hAnsi="Arial" w:cs="Arial"/>
        </w:rPr>
      </w:pPr>
      <w:r w:rsidRPr="000D10DD">
        <w:rPr>
          <w:rFonts w:ascii="Arial" w:hAnsi="Arial" w:cs="Arial"/>
        </w:rPr>
        <w:t xml:space="preserve">Bain &amp; Company. </w:t>
      </w:r>
      <w:r w:rsidRPr="000D10DD">
        <w:rPr>
          <w:rFonts w:ascii="Arial" w:hAnsi="Arial" w:cs="Arial"/>
          <w:i/>
          <w:iCs/>
        </w:rPr>
        <w:t>Embedded Finance Report: Thriving in the New Value Chain.</w:t>
      </w:r>
      <w:r w:rsidRPr="000D10DD">
        <w:rPr>
          <w:rFonts w:ascii="Arial" w:hAnsi="Arial" w:cs="Arial"/>
        </w:rPr>
        <w:t xml:space="preserve"> Bain &amp; Company, 2025. </w:t>
      </w:r>
      <w:hyperlink r:id="rId8" w:tgtFrame="_blank" w:history="1">
        <w:r w:rsidRPr="000D10DD">
          <w:rPr>
            <w:rStyle w:val="Hyperlink"/>
            <w:rFonts w:ascii="Arial" w:hAnsi="Arial" w:cs="Arial"/>
          </w:rPr>
          <w:t>https://www.bain.com/insights/embedded-finance/</w:t>
        </w:r>
      </w:hyperlink>
      <w:r w:rsidRPr="000D10DD">
        <w:rPr>
          <w:rFonts w:ascii="Arial" w:hAnsi="Arial" w:cs="Arial"/>
        </w:rPr>
        <w:t>.</w:t>
      </w:r>
    </w:p>
    <w:p w14:paraId="2751A48B" w14:textId="77777777" w:rsidR="000D10DD" w:rsidRPr="000D10DD" w:rsidRDefault="000D10DD" w:rsidP="000D10DD">
      <w:pPr>
        <w:numPr>
          <w:ilvl w:val="0"/>
          <w:numId w:val="4"/>
        </w:numPr>
        <w:rPr>
          <w:rFonts w:ascii="Arial" w:hAnsi="Arial" w:cs="Arial"/>
        </w:rPr>
      </w:pPr>
      <w:r w:rsidRPr="000D10DD">
        <w:rPr>
          <w:rFonts w:ascii="Arial" w:hAnsi="Arial" w:cs="Arial"/>
        </w:rPr>
        <w:t xml:space="preserve">Coherent Market Insights. </w:t>
      </w:r>
      <w:r w:rsidRPr="000D10DD">
        <w:rPr>
          <w:rFonts w:ascii="Arial" w:hAnsi="Arial" w:cs="Arial"/>
          <w:i/>
          <w:iCs/>
        </w:rPr>
        <w:t>Embedded Lending Market Trends, Share &amp; Forecast, 2025-2032.</w:t>
      </w:r>
      <w:r w:rsidRPr="000D10DD">
        <w:rPr>
          <w:rFonts w:ascii="Arial" w:hAnsi="Arial" w:cs="Arial"/>
        </w:rPr>
        <w:t xml:space="preserve"> Coherent Market Insights, 2025. </w:t>
      </w:r>
      <w:hyperlink r:id="rId9" w:tgtFrame="_blank" w:history="1">
        <w:r w:rsidRPr="000D10DD">
          <w:rPr>
            <w:rStyle w:val="Hyperlink"/>
            <w:rFonts w:ascii="Arial" w:hAnsi="Arial" w:cs="Arial"/>
          </w:rPr>
          <w:t>https://www.coherentmarketinsights.com/industry-reports/embedded-lending-market</w:t>
        </w:r>
      </w:hyperlink>
      <w:r w:rsidRPr="000D10DD">
        <w:rPr>
          <w:rFonts w:ascii="Arial" w:hAnsi="Arial" w:cs="Arial"/>
        </w:rPr>
        <w:t>.</w:t>
      </w:r>
    </w:p>
    <w:p w14:paraId="022237B3" w14:textId="77777777" w:rsidR="000D10DD" w:rsidRPr="000D10DD" w:rsidRDefault="000D10DD" w:rsidP="000D10DD">
      <w:pPr>
        <w:numPr>
          <w:ilvl w:val="0"/>
          <w:numId w:val="4"/>
        </w:numPr>
        <w:rPr>
          <w:rFonts w:ascii="Arial" w:hAnsi="Arial" w:cs="Arial"/>
        </w:rPr>
      </w:pPr>
      <w:r w:rsidRPr="000D10DD">
        <w:rPr>
          <w:rFonts w:ascii="Arial" w:hAnsi="Arial" w:cs="Arial"/>
        </w:rPr>
        <w:t xml:space="preserve">Global Market Insights. </w:t>
      </w:r>
      <w:r w:rsidRPr="000D10DD">
        <w:rPr>
          <w:rFonts w:ascii="Arial" w:hAnsi="Arial" w:cs="Arial"/>
          <w:i/>
          <w:iCs/>
        </w:rPr>
        <w:t>Embedded Finance Market Size, Growth Analysis 2025-2034.</w:t>
      </w:r>
      <w:r w:rsidRPr="000D10DD">
        <w:rPr>
          <w:rFonts w:ascii="Arial" w:hAnsi="Arial" w:cs="Arial"/>
        </w:rPr>
        <w:t xml:space="preserve"> Global Market Insights, 2025. </w:t>
      </w:r>
      <w:hyperlink r:id="rId10" w:tgtFrame="_blank" w:history="1">
        <w:r w:rsidRPr="000D10DD">
          <w:rPr>
            <w:rStyle w:val="Hyperlink"/>
            <w:rFonts w:ascii="Arial" w:hAnsi="Arial" w:cs="Arial"/>
          </w:rPr>
          <w:t>https://www.gminsights.com/industry-analysis/embedded-finance-market</w:t>
        </w:r>
      </w:hyperlink>
      <w:r w:rsidRPr="000D10DD">
        <w:rPr>
          <w:rFonts w:ascii="Arial" w:hAnsi="Arial" w:cs="Arial"/>
        </w:rPr>
        <w:t>.</w:t>
      </w:r>
    </w:p>
    <w:p w14:paraId="75BF8146" w14:textId="77777777" w:rsidR="000D10DD" w:rsidRPr="000D10DD" w:rsidRDefault="000D10DD" w:rsidP="000D10DD">
      <w:pPr>
        <w:numPr>
          <w:ilvl w:val="0"/>
          <w:numId w:val="4"/>
        </w:numPr>
        <w:rPr>
          <w:rFonts w:ascii="Arial" w:hAnsi="Arial" w:cs="Arial"/>
        </w:rPr>
      </w:pPr>
      <w:r w:rsidRPr="000D10DD">
        <w:rPr>
          <w:rFonts w:ascii="Arial" w:hAnsi="Arial" w:cs="Arial"/>
        </w:rPr>
        <w:t xml:space="preserve">ITMAGINATION. </w:t>
      </w:r>
      <w:r w:rsidRPr="000D10DD">
        <w:rPr>
          <w:rFonts w:ascii="Arial" w:hAnsi="Arial" w:cs="Arial"/>
          <w:i/>
          <w:iCs/>
        </w:rPr>
        <w:t>Embedded Finance Architecture and Integration: An In-Depth Guide.</w:t>
      </w:r>
      <w:r w:rsidRPr="000D10DD">
        <w:rPr>
          <w:rFonts w:ascii="Arial" w:hAnsi="Arial" w:cs="Arial"/>
        </w:rPr>
        <w:t xml:space="preserve"> ITMAGINATION, 2025. </w:t>
      </w:r>
      <w:hyperlink r:id="rId11" w:tgtFrame="_blank" w:history="1">
        <w:r w:rsidRPr="000D10DD">
          <w:rPr>
            <w:rStyle w:val="Hyperlink"/>
            <w:rFonts w:ascii="Arial" w:hAnsi="Arial" w:cs="Arial"/>
          </w:rPr>
          <w:t>https://www.itmagination.com/blog/embedded-finance-architecture-and-integration-in-depth-guide</w:t>
        </w:r>
      </w:hyperlink>
      <w:r w:rsidRPr="000D10DD">
        <w:rPr>
          <w:rFonts w:ascii="Arial" w:hAnsi="Arial" w:cs="Arial"/>
        </w:rPr>
        <w:t>.</w:t>
      </w:r>
    </w:p>
    <w:p w14:paraId="4ECF63ED" w14:textId="77777777" w:rsidR="000D10DD" w:rsidRPr="000D10DD" w:rsidRDefault="000D10DD" w:rsidP="000D10DD">
      <w:pPr>
        <w:numPr>
          <w:ilvl w:val="0"/>
          <w:numId w:val="4"/>
        </w:numPr>
        <w:rPr>
          <w:rFonts w:ascii="Arial" w:hAnsi="Arial" w:cs="Arial"/>
          <w:lang w:val="it-IT"/>
        </w:rPr>
      </w:pPr>
      <w:r w:rsidRPr="000D10DD">
        <w:rPr>
          <w:rFonts w:ascii="Arial" w:hAnsi="Arial" w:cs="Arial"/>
        </w:rPr>
        <w:t xml:space="preserve">Liberis. </w:t>
      </w:r>
      <w:r w:rsidRPr="000D10DD">
        <w:rPr>
          <w:rFonts w:ascii="Arial" w:hAnsi="Arial" w:cs="Arial"/>
          <w:i/>
          <w:iCs/>
        </w:rPr>
        <w:t>Liberis Launches Ada, an AI Agent for Smarter Underwriting.</w:t>
      </w:r>
      <w:r w:rsidRPr="000D10DD">
        <w:rPr>
          <w:rFonts w:ascii="Arial" w:hAnsi="Arial" w:cs="Arial"/>
        </w:rPr>
        <w:t xml:space="preserve"> </w:t>
      </w:r>
      <w:r w:rsidRPr="000D10DD">
        <w:rPr>
          <w:rFonts w:ascii="Arial" w:hAnsi="Arial" w:cs="Arial"/>
          <w:lang w:val="it-IT"/>
        </w:rPr>
        <w:t xml:space="preserve">Liberis, 2025. </w:t>
      </w:r>
      <w:hyperlink r:id="rId12" w:tgtFrame="_blank" w:history="1">
        <w:r w:rsidRPr="000D10DD">
          <w:rPr>
            <w:rStyle w:val="Hyperlink"/>
            <w:rFonts w:ascii="Arial" w:hAnsi="Arial" w:cs="Arial"/>
            <w:lang w:val="it-IT"/>
          </w:rPr>
          <w:t>https://www.liberis.com/articles/liberis-launches-ada-an-ai-underwriting-agent-to-transform-embedded-finance-decis</w:t>
        </w:r>
      </w:hyperlink>
      <w:r w:rsidRPr="000D10DD">
        <w:rPr>
          <w:rFonts w:ascii="Arial" w:hAnsi="Arial" w:cs="Arial"/>
          <w:lang w:val="it-IT"/>
        </w:rPr>
        <w:t>.</w:t>
      </w:r>
    </w:p>
    <w:p w14:paraId="0539517E" w14:textId="77777777" w:rsidR="000D10DD" w:rsidRPr="000D10DD" w:rsidRDefault="000D10DD" w:rsidP="000D10DD">
      <w:pPr>
        <w:numPr>
          <w:ilvl w:val="0"/>
          <w:numId w:val="4"/>
        </w:numPr>
        <w:rPr>
          <w:rFonts w:ascii="Arial" w:hAnsi="Arial" w:cs="Arial"/>
          <w:lang w:val="it-IT"/>
        </w:rPr>
      </w:pPr>
      <w:r w:rsidRPr="000D10DD">
        <w:rPr>
          <w:rFonts w:ascii="Arial" w:hAnsi="Arial" w:cs="Arial"/>
        </w:rPr>
        <w:t xml:space="preserve">Mordor Intelligence. </w:t>
      </w:r>
      <w:r w:rsidRPr="000D10DD">
        <w:rPr>
          <w:rFonts w:ascii="Arial" w:hAnsi="Arial" w:cs="Arial"/>
          <w:i/>
          <w:iCs/>
        </w:rPr>
        <w:t>Embedded Finance Market Size, Growth Trends &amp; Forecast, 2030.</w:t>
      </w:r>
      <w:r w:rsidRPr="000D10DD">
        <w:rPr>
          <w:rFonts w:ascii="Arial" w:hAnsi="Arial" w:cs="Arial"/>
        </w:rPr>
        <w:t xml:space="preserve"> </w:t>
      </w:r>
      <w:r w:rsidRPr="000D10DD">
        <w:rPr>
          <w:rFonts w:ascii="Arial" w:hAnsi="Arial" w:cs="Arial"/>
          <w:lang w:val="it-IT"/>
        </w:rPr>
        <w:t xml:space="preserve">Mordor Intelligence, 2025. </w:t>
      </w:r>
      <w:hyperlink r:id="rId13" w:tgtFrame="_blank" w:history="1">
        <w:r w:rsidRPr="000D10DD">
          <w:rPr>
            <w:rStyle w:val="Hyperlink"/>
            <w:rFonts w:ascii="Arial" w:hAnsi="Arial" w:cs="Arial"/>
            <w:lang w:val="it-IT"/>
          </w:rPr>
          <w:t>https://www.mordorintelligence.com/industry-reports/embedded-finance-market</w:t>
        </w:r>
      </w:hyperlink>
      <w:r w:rsidRPr="000D10DD">
        <w:rPr>
          <w:rFonts w:ascii="Arial" w:hAnsi="Arial" w:cs="Arial"/>
          <w:lang w:val="it-IT"/>
        </w:rPr>
        <w:t>.</w:t>
      </w:r>
    </w:p>
    <w:p w14:paraId="02F812D0" w14:textId="77777777" w:rsidR="000D10DD" w:rsidRPr="000D10DD" w:rsidRDefault="000D10DD" w:rsidP="000D10DD">
      <w:pPr>
        <w:numPr>
          <w:ilvl w:val="0"/>
          <w:numId w:val="4"/>
        </w:numPr>
        <w:rPr>
          <w:rFonts w:ascii="Arial" w:hAnsi="Arial" w:cs="Arial"/>
        </w:rPr>
      </w:pPr>
      <w:r w:rsidRPr="000D10DD">
        <w:rPr>
          <w:rFonts w:ascii="Arial" w:hAnsi="Arial" w:cs="Arial"/>
        </w:rPr>
        <w:t xml:space="preserve">Research and Markets. </w:t>
      </w:r>
      <w:r w:rsidRPr="000D10DD">
        <w:rPr>
          <w:rFonts w:ascii="Arial" w:hAnsi="Arial" w:cs="Arial"/>
          <w:i/>
          <w:iCs/>
        </w:rPr>
        <w:t>Embedded Finance Market Forecasts Report 2025-2030.</w:t>
      </w:r>
      <w:r w:rsidRPr="000D10DD">
        <w:rPr>
          <w:rFonts w:ascii="Arial" w:hAnsi="Arial" w:cs="Arial"/>
        </w:rPr>
        <w:t xml:space="preserve"> Research and Markets, 2025. https://www.researchandmarkets.com.</w:t>
      </w:r>
    </w:p>
    <w:p w14:paraId="01F66658" w14:textId="77777777" w:rsidR="000D10DD" w:rsidRPr="000D10DD" w:rsidRDefault="000D10DD" w:rsidP="000D10DD">
      <w:pPr>
        <w:numPr>
          <w:ilvl w:val="0"/>
          <w:numId w:val="4"/>
        </w:numPr>
        <w:rPr>
          <w:rFonts w:ascii="Arial" w:hAnsi="Arial" w:cs="Arial"/>
        </w:rPr>
      </w:pPr>
      <w:r w:rsidRPr="000D10DD">
        <w:rPr>
          <w:rFonts w:ascii="Arial" w:hAnsi="Arial" w:cs="Arial"/>
        </w:rPr>
        <w:t xml:space="preserve">The Business Research Company. </w:t>
      </w:r>
      <w:r w:rsidRPr="000D10DD">
        <w:rPr>
          <w:rFonts w:ascii="Arial" w:hAnsi="Arial" w:cs="Arial"/>
          <w:i/>
          <w:iCs/>
        </w:rPr>
        <w:t>Embedded Insurance Market Size And Growth Report 2025-2034.</w:t>
      </w:r>
      <w:r w:rsidRPr="000D10DD">
        <w:rPr>
          <w:rFonts w:ascii="Arial" w:hAnsi="Arial" w:cs="Arial"/>
        </w:rPr>
        <w:t xml:space="preserve"> TBRC, 2025. https://www.thebusinessresearchcompany.com/report/embedded-insurance-global-market-report.</w:t>
      </w:r>
    </w:p>
    <w:p w14:paraId="64C0FAF6" w14:textId="77777777" w:rsidR="000D10DD" w:rsidRPr="000D10DD" w:rsidRDefault="000D10DD" w:rsidP="000D10DD">
      <w:pPr>
        <w:numPr>
          <w:ilvl w:val="0"/>
          <w:numId w:val="4"/>
        </w:numPr>
        <w:rPr>
          <w:rFonts w:ascii="Arial" w:hAnsi="Arial" w:cs="Arial"/>
        </w:rPr>
      </w:pPr>
      <w:r w:rsidRPr="000D10DD">
        <w:rPr>
          <w:rFonts w:ascii="Arial" w:hAnsi="Arial" w:cs="Arial"/>
        </w:rPr>
        <w:t xml:space="preserve">Treasury Prime. </w:t>
      </w:r>
      <w:r w:rsidRPr="000D10DD">
        <w:rPr>
          <w:rFonts w:ascii="Arial" w:hAnsi="Arial" w:cs="Arial"/>
          <w:i/>
          <w:iCs/>
        </w:rPr>
        <w:t>Regulatory Compliance in Embedded Finance.</w:t>
      </w:r>
      <w:r w:rsidRPr="000D10DD">
        <w:rPr>
          <w:rFonts w:ascii="Arial" w:hAnsi="Arial" w:cs="Arial"/>
        </w:rPr>
        <w:t xml:space="preserve"> Treasury Prime, 2025. https://www.treasuryprime.com.</w:t>
      </w:r>
    </w:p>
    <w:p w14:paraId="5A689AA9" w14:textId="77777777" w:rsidR="000D10DD" w:rsidRPr="000D10DD" w:rsidRDefault="000D10DD" w:rsidP="000D10DD">
      <w:pPr>
        <w:numPr>
          <w:ilvl w:val="0"/>
          <w:numId w:val="4"/>
        </w:numPr>
        <w:rPr>
          <w:rFonts w:ascii="Arial" w:hAnsi="Arial" w:cs="Arial"/>
        </w:rPr>
      </w:pPr>
      <w:r w:rsidRPr="000D10DD">
        <w:rPr>
          <w:rFonts w:ascii="Arial" w:hAnsi="Arial" w:cs="Arial"/>
        </w:rPr>
        <w:t xml:space="preserve">World Economic Forum. </w:t>
      </w:r>
      <w:r w:rsidRPr="000D10DD">
        <w:rPr>
          <w:rFonts w:ascii="Arial" w:hAnsi="Arial" w:cs="Arial"/>
          <w:i/>
          <w:iCs/>
        </w:rPr>
        <w:t>Embedded Finance is Set to Have a Major Impact Worldwide.</w:t>
      </w:r>
      <w:r w:rsidRPr="000D10DD">
        <w:rPr>
          <w:rFonts w:ascii="Arial" w:hAnsi="Arial" w:cs="Arial"/>
        </w:rPr>
        <w:t xml:space="preserve"> WEF, 2025. </w:t>
      </w:r>
      <w:hyperlink r:id="rId14" w:tgtFrame="_blank" w:history="1">
        <w:r w:rsidRPr="000D10DD">
          <w:rPr>
            <w:rStyle w:val="Hyperlink"/>
            <w:rFonts w:ascii="Arial" w:hAnsi="Arial" w:cs="Arial"/>
          </w:rPr>
          <w:t>https://www.weforum.org/stories/2025/04/embedded-finance-disruptive-force-financial-institutions/</w:t>
        </w:r>
      </w:hyperlink>
      <w:r w:rsidRPr="000D10DD">
        <w:rPr>
          <w:rFonts w:ascii="Arial" w:hAnsi="Arial" w:cs="Arial"/>
        </w:rPr>
        <w:t>.</w:t>
      </w:r>
    </w:p>
    <w:p w14:paraId="7A021BC9" w14:textId="77777777" w:rsidR="000D10DD" w:rsidRPr="000D10DD" w:rsidRDefault="000D10DD" w:rsidP="000D10DD">
      <w:pPr>
        <w:numPr>
          <w:ilvl w:val="0"/>
          <w:numId w:val="4"/>
        </w:numPr>
        <w:rPr>
          <w:rFonts w:ascii="Arial" w:hAnsi="Arial" w:cs="Arial"/>
        </w:rPr>
      </w:pPr>
      <w:r w:rsidRPr="000D10DD">
        <w:rPr>
          <w:rFonts w:ascii="Arial" w:hAnsi="Arial" w:cs="Arial"/>
        </w:rPr>
        <w:t xml:space="preserve">FinTech Futures. </w:t>
      </w:r>
      <w:r w:rsidRPr="000D10DD">
        <w:rPr>
          <w:rFonts w:ascii="Arial" w:hAnsi="Arial" w:cs="Arial"/>
          <w:i/>
          <w:iCs/>
        </w:rPr>
        <w:t>Embedded Finance Outlook 2030.</w:t>
      </w:r>
      <w:r w:rsidRPr="000D10DD">
        <w:rPr>
          <w:rFonts w:ascii="Arial" w:hAnsi="Arial" w:cs="Arial"/>
        </w:rPr>
        <w:t xml:space="preserve"> FinTech Futures, 2025. https://www.fintechfutures.com.</w:t>
      </w:r>
    </w:p>
    <w:p w14:paraId="39C958C0" w14:textId="77B28A2D" w:rsidR="000D10DD" w:rsidRPr="000D10DD" w:rsidRDefault="000D10DD" w:rsidP="000D10DD">
      <w:pPr>
        <w:numPr>
          <w:ilvl w:val="0"/>
          <w:numId w:val="4"/>
        </w:numPr>
        <w:rPr>
          <w:rFonts w:ascii="Arial" w:hAnsi="Arial" w:cs="Arial"/>
        </w:rPr>
      </w:pPr>
      <w:r w:rsidRPr="000D10DD">
        <w:rPr>
          <w:rFonts w:ascii="Arial" w:hAnsi="Arial" w:cs="Arial"/>
        </w:rPr>
        <w:t xml:space="preserve">Anadea. </w:t>
      </w:r>
      <w:r w:rsidRPr="000D10DD">
        <w:rPr>
          <w:rFonts w:ascii="Arial" w:hAnsi="Arial" w:cs="Arial"/>
          <w:i/>
          <w:iCs/>
        </w:rPr>
        <w:t>The Rise of Embedded Finance and BaaS: API-first Approach.</w:t>
      </w:r>
      <w:r w:rsidRPr="000D10DD">
        <w:rPr>
          <w:rFonts w:ascii="Arial" w:hAnsi="Arial" w:cs="Arial"/>
        </w:rPr>
        <w:t xml:space="preserve"> Anadea, 2025. </w:t>
      </w:r>
      <w:hyperlink r:id="rId15" w:tgtFrame="_blank" w:history="1">
        <w:r w:rsidRPr="000D10DD">
          <w:rPr>
            <w:rStyle w:val="Hyperlink"/>
            <w:rFonts w:ascii="Arial" w:hAnsi="Arial" w:cs="Arial"/>
          </w:rPr>
          <w:t>https://anadea.info/blog/embedded-finance-baas-api-first/</w:t>
        </w:r>
      </w:hyperlink>
      <w:r w:rsidRPr="000D10DD">
        <w:rPr>
          <w:rFonts w:ascii="Arial" w:hAnsi="Arial" w:cs="Arial"/>
        </w:rPr>
        <w:t>.</w:t>
      </w:r>
    </w:p>
    <w:sectPr w:rsidR="000D10DD" w:rsidRPr="000D10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A5119"/>
    <w:multiLevelType w:val="multilevel"/>
    <w:tmpl w:val="D0B0A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E66C53"/>
    <w:multiLevelType w:val="multilevel"/>
    <w:tmpl w:val="1B527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2557D0"/>
    <w:multiLevelType w:val="multilevel"/>
    <w:tmpl w:val="1D68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44795E"/>
    <w:multiLevelType w:val="multilevel"/>
    <w:tmpl w:val="9D04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266557">
    <w:abstractNumId w:val="3"/>
  </w:num>
  <w:num w:numId="2" w16cid:durableId="1620844138">
    <w:abstractNumId w:val="1"/>
  </w:num>
  <w:num w:numId="3" w16cid:durableId="2024747185">
    <w:abstractNumId w:val="0"/>
  </w:num>
  <w:num w:numId="4" w16cid:durableId="428817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0DD"/>
    <w:rsid w:val="000D10DD"/>
    <w:rsid w:val="00306608"/>
    <w:rsid w:val="00DB6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47D46"/>
  <w15:chartTrackingRefBased/>
  <w15:docId w15:val="{B3E267DA-5E00-4BFE-8632-D3E16ED87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0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0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0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0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0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0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0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0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0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0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0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0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0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0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0DD"/>
    <w:rPr>
      <w:rFonts w:eastAsiaTheme="majorEastAsia" w:cstheme="majorBidi"/>
      <w:color w:val="272727" w:themeColor="text1" w:themeTint="D8"/>
    </w:rPr>
  </w:style>
  <w:style w:type="paragraph" w:styleId="Title">
    <w:name w:val="Title"/>
    <w:basedOn w:val="Normal"/>
    <w:next w:val="Normal"/>
    <w:link w:val="TitleChar"/>
    <w:uiPriority w:val="10"/>
    <w:qFormat/>
    <w:rsid w:val="000D1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0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0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0DD"/>
    <w:pPr>
      <w:spacing w:before="160"/>
      <w:jc w:val="center"/>
    </w:pPr>
    <w:rPr>
      <w:i/>
      <w:iCs/>
      <w:color w:val="404040" w:themeColor="text1" w:themeTint="BF"/>
    </w:rPr>
  </w:style>
  <w:style w:type="character" w:customStyle="1" w:styleId="QuoteChar">
    <w:name w:val="Quote Char"/>
    <w:basedOn w:val="DefaultParagraphFont"/>
    <w:link w:val="Quote"/>
    <w:uiPriority w:val="29"/>
    <w:rsid w:val="000D10DD"/>
    <w:rPr>
      <w:i/>
      <w:iCs/>
      <w:color w:val="404040" w:themeColor="text1" w:themeTint="BF"/>
    </w:rPr>
  </w:style>
  <w:style w:type="paragraph" w:styleId="ListParagraph">
    <w:name w:val="List Paragraph"/>
    <w:basedOn w:val="Normal"/>
    <w:uiPriority w:val="34"/>
    <w:qFormat/>
    <w:rsid w:val="000D10DD"/>
    <w:pPr>
      <w:ind w:left="720"/>
      <w:contextualSpacing/>
    </w:pPr>
  </w:style>
  <w:style w:type="character" w:styleId="IntenseEmphasis">
    <w:name w:val="Intense Emphasis"/>
    <w:basedOn w:val="DefaultParagraphFont"/>
    <w:uiPriority w:val="21"/>
    <w:qFormat/>
    <w:rsid w:val="000D10DD"/>
    <w:rPr>
      <w:i/>
      <w:iCs/>
      <w:color w:val="0F4761" w:themeColor="accent1" w:themeShade="BF"/>
    </w:rPr>
  </w:style>
  <w:style w:type="paragraph" w:styleId="IntenseQuote">
    <w:name w:val="Intense Quote"/>
    <w:basedOn w:val="Normal"/>
    <w:next w:val="Normal"/>
    <w:link w:val="IntenseQuoteChar"/>
    <w:uiPriority w:val="30"/>
    <w:qFormat/>
    <w:rsid w:val="000D10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0DD"/>
    <w:rPr>
      <w:i/>
      <w:iCs/>
      <w:color w:val="0F4761" w:themeColor="accent1" w:themeShade="BF"/>
    </w:rPr>
  </w:style>
  <w:style w:type="character" w:styleId="IntenseReference">
    <w:name w:val="Intense Reference"/>
    <w:basedOn w:val="DefaultParagraphFont"/>
    <w:uiPriority w:val="32"/>
    <w:qFormat/>
    <w:rsid w:val="000D10DD"/>
    <w:rPr>
      <w:b/>
      <w:bCs/>
      <w:smallCaps/>
      <w:color w:val="0F4761" w:themeColor="accent1" w:themeShade="BF"/>
      <w:spacing w:val="5"/>
    </w:rPr>
  </w:style>
  <w:style w:type="character" w:styleId="Hyperlink">
    <w:name w:val="Hyperlink"/>
    <w:basedOn w:val="DefaultParagraphFont"/>
    <w:uiPriority w:val="99"/>
    <w:unhideWhenUsed/>
    <w:rsid w:val="000D10DD"/>
    <w:rPr>
      <w:color w:val="467886" w:themeColor="hyperlink"/>
      <w:u w:val="single"/>
    </w:rPr>
  </w:style>
  <w:style w:type="character" w:styleId="UnresolvedMention">
    <w:name w:val="Unresolved Mention"/>
    <w:basedOn w:val="DefaultParagraphFont"/>
    <w:uiPriority w:val="99"/>
    <w:semiHidden/>
    <w:unhideWhenUsed/>
    <w:rsid w:val="000D10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73297">
      <w:bodyDiv w:val="1"/>
      <w:marLeft w:val="0"/>
      <w:marRight w:val="0"/>
      <w:marTop w:val="0"/>
      <w:marBottom w:val="0"/>
      <w:divBdr>
        <w:top w:val="none" w:sz="0" w:space="0" w:color="auto"/>
        <w:left w:val="none" w:sz="0" w:space="0" w:color="auto"/>
        <w:bottom w:val="none" w:sz="0" w:space="0" w:color="auto"/>
        <w:right w:val="none" w:sz="0" w:space="0" w:color="auto"/>
      </w:divBdr>
    </w:div>
    <w:div w:id="1440223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in.com/insights/embedded-finance/" TargetMode="External"/><Relationship Id="rId13" Type="http://schemas.openxmlformats.org/officeDocument/2006/relationships/hyperlink" Target="https://www.mordorintelligence.com/industry-reports/embedded-finance-market" TargetMode="Externa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hyperlink" Target="https://www.liberis.com/articles/liberis-launches-ada-an-ai-underwriting-agent-to-transform-embedded-finance-deci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hyperlink" Target="https://www.itmagination.com/blog/embedded-finance-architecture-and-integration-in-depth-guide" TargetMode="External"/><Relationship Id="rId5" Type="http://schemas.openxmlformats.org/officeDocument/2006/relationships/chart" Target="charts/chart1.xml"/><Relationship Id="rId15" Type="http://schemas.openxmlformats.org/officeDocument/2006/relationships/hyperlink" Target="https://anadea.info/blog/embedded-finance-baas-api-first/" TargetMode="External"/><Relationship Id="rId10" Type="http://schemas.openxmlformats.org/officeDocument/2006/relationships/hyperlink" Target="https://www.gminsights.com/industry-analysis/embedded-finance-market" TargetMode="External"/><Relationship Id="rId4" Type="http://schemas.openxmlformats.org/officeDocument/2006/relationships/webSettings" Target="webSettings.xml"/><Relationship Id="rId9" Type="http://schemas.openxmlformats.org/officeDocument/2006/relationships/hyperlink" Target="https://www.coherentmarketinsights.com/industry-reports/embedded-lending-market" TargetMode="External"/><Relationship Id="rId14" Type="http://schemas.openxmlformats.org/officeDocument/2006/relationships/hyperlink" Target="https://www.weforum.org/stories/2025/04/embedded-finance-disruptive-force-financial-institutions/"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NewellJames(BipMonti\Desktop\Action%20Note%20TrackerV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NewellJames(BipMonti\Desktop\Action%20Note%20TrackerV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NewellJames(BipMonti\Desktop\Action%20Note%20TrackerV2.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t>Current Vs. Projected Global Market Size (USD Billion)</a:t>
            </a:r>
          </a:p>
        </c:rich>
      </c:tx>
      <c:layout>
        <c:manualLayout>
          <c:xMode val="edge"/>
          <c:yMode val="edge"/>
          <c:x val="0.1089942697797371"/>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'Meeting tracker'!$D$122</c:f>
              <c:strCache>
                <c:ptCount val="1"/>
                <c:pt idx="0">
                  <c:v>Global Market Size (USD Billion)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'Meeting tracker'!$C$123:$C$124</c:f>
              <c:numCache>
                <c:formatCode>General</c:formatCode>
                <c:ptCount val="2"/>
                <c:pt idx="0">
                  <c:v>2025</c:v>
                </c:pt>
                <c:pt idx="1">
                  <c:v>2030</c:v>
                </c:pt>
              </c:numCache>
            </c:numRef>
          </c:cat>
          <c:val>
            <c:numRef>
              <c:f>'Meeting tracker'!$D$123:$D$124</c:f>
              <c:numCache>
                <c:formatCode>General</c:formatCode>
                <c:ptCount val="2"/>
                <c:pt idx="0">
                  <c:v>146</c:v>
                </c:pt>
                <c:pt idx="1">
                  <c:v>690</c:v>
                </c:pt>
              </c:numCache>
            </c:numRef>
          </c:val>
          <c:extLst>
            <c:ext xmlns:c16="http://schemas.microsoft.com/office/drawing/2014/chart" uri="{C3380CC4-5D6E-409C-BE32-E72D297353CC}">
              <c16:uniqueId val="{00000000-A95F-4A7D-9967-B673CEA045D3}"/>
            </c:ext>
          </c:extLst>
        </c:ser>
        <c:dLbls>
          <c:showLegendKey val="0"/>
          <c:showVal val="0"/>
          <c:showCatName val="0"/>
          <c:showSerName val="0"/>
          <c:showPercent val="0"/>
          <c:showBubbleSize val="0"/>
        </c:dLbls>
        <c:gapWidth val="219"/>
        <c:overlap val="-27"/>
        <c:axId val="493478048"/>
        <c:axId val="493476128"/>
      </c:barChart>
      <c:catAx>
        <c:axId val="4934780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476128"/>
        <c:crosses val="autoZero"/>
        <c:auto val="1"/>
        <c:lblAlgn val="ctr"/>
        <c:lblOffset val="100"/>
        <c:noMultiLvlLbl val="0"/>
      </c:catAx>
      <c:valAx>
        <c:axId val="49347612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478048"/>
        <c:crosses val="autoZero"/>
        <c:crossBetween val="between"/>
      </c:valAx>
      <c:spPr>
        <a:noFill/>
        <a:ln w="25400">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Segment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'Meeting tracker'!$D$157</c:f>
              <c:strCache>
                <c:ptCount val="1"/>
                <c:pt idx="0">
                  <c:v>Share (%)</c:v>
                </c:pt>
              </c:strCache>
            </c:strRef>
          </c:tx>
          <c:spPr>
            <a:solidFill>
              <a:srgbClr val="C00000"/>
            </a:solidFill>
          </c:spPr>
          <c:dPt>
            <c:idx val="0"/>
            <c:bubble3D val="0"/>
            <c:spPr>
              <a:solidFill>
                <a:schemeClr val="tx2"/>
              </a:solidFill>
              <a:ln>
                <a:noFill/>
              </a:ln>
              <a:effectLst/>
            </c:spPr>
            <c:extLst>
              <c:ext xmlns:c16="http://schemas.microsoft.com/office/drawing/2014/chart" uri="{C3380CC4-5D6E-409C-BE32-E72D297353CC}">
                <c16:uniqueId val="{00000001-6979-4BEC-B4C7-88A03941BA7F}"/>
              </c:ext>
            </c:extLst>
          </c:dPt>
          <c:dPt>
            <c:idx val="1"/>
            <c:bubble3D val="0"/>
            <c:spPr>
              <a:solidFill>
                <a:srgbClr val="C00000"/>
              </a:solidFill>
              <a:ln>
                <a:noFill/>
              </a:ln>
              <a:effectLst/>
            </c:spPr>
            <c:extLst>
              <c:ext xmlns:c16="http://schemas.microsoft.com/office/drawing/2014/chart" uri="{C3380CC4-5D6E-409C-BE32-E72D297353CC}">
                <c16:uniqueId val="{00000003-6979-4BEC-B4C7-88A03941BA7F}"/>
              </c:ext>
            </c:extLst>
          </c:dPt>
          <c:dPt>
            <c:idx val="2"/>
            <c:bubble3D val="0"/>
            <c:spPr>
              <a:solidFill>
                <a:schemeClr val="tx2">
                  <a:lumMod val="10000"/>
                  <a:lumOff val="90000"/>
                </a:schemeClr>
              </a:solidFill>
              <a:ln>
                <a:noFill/>
              </a:ln>
              <a:effectLst/>
            </c:spPr>
            <c:extLst>
              <c:ext xmlns:c16="http://schemas.microsoft.com/office/drawing/2014/chart" uri="{C3380CC4-5D6E-409C-BE32-E72D297353CC}">
                <c16:uniqueId val="{00000005-6979-4BEC-B4C7-88A03941BA7F}"/>
              </c:ext>
            </c:extLst>
          </c:dPt>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1-6979-4BEC-B4C7-88A03941BA7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'Meeting tracker'!$C$158:$C$160</c:f>
              <c:strCache>
                <c:ptCount val="3"/>
                <c:pt idx="0">
                  <c:v>Payments</c:v>
                </c:pt>
                <c:pt idx="1">
                  <c:v>Lending</c:v>
                </c:pt>
                <c:pt idx="2">
                  <c:v>Insurance</c:v>
                </c:pt>
              </c:strCache>
            </c:strRef>
          </c:cat>
          <c:val>
            <c:numRef>
              <c:f>'Meeting tracker'!$D$158:$D$160</c:f>
              <c:numCache>
                <c:formatCode>General</c:formatCode>
                <c:ptCount val="3"/>
                <c:pt idx="0">
                  <c:v>44</c:v>
                </c:pt>
                <c:pt idx="1">
                  <c:v>32</c:v>
                </c:pt>
                <c:pt idx="2">
                  <c:v>24</c:v>
                </c:pt>
              </c:numCache>
            </c:numRef>
          </c:val>
          <c:extLst>
            <c:ext xmlns:c16="http://schemas.microsoft.com/office/drawing/2014/chart" uri="{C3380CC4-5D6E-409C-BE32-E72D297353CC}">
              <c16:uniqueId val="{00000006-6979-4BEC-B4C7-88A03941BA7F}"/>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en-US" sz="1200"/>
              <a:t>Projected U.S Market VS Global Projected Market </a:t>
            </a:r>
            <a:endParaRPr lang="en-US" sz="1200" baseline="0"/>
          </a:p>
          <a:p>
            <a:pPr>
              <a:defRPr sz="1000"/>
            </a:pPr>
            <a:r>
              <a:rPr lang="en-US" sz="1200"/>
              <a:t> (USD Billion)</a:t>
            </a:r>
          </a:p>
        </c:rich>
      </c:tx>
      <c:layout>
        <c:manualLayout>
          <c:xMode val="edge"/>
          <c:yMode val="edge"/>
          <c:x val="0.11843914823549451"/>
          <c:y val="0"/>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3.653762311387615E-2"/>
          <c:y val="0.17171296296296296"/>
          <c:w val="0.87709681409576568"/>
          <c:h val="0.72125801983085447"/>
        </c:manualLayout>
      </c:layout>
      <c:barChart>
        <c:barDir val="col"/>
        <c:grouping val="clustered"/>
        <c:varyColors val="0"/>
        <c:ser>
          <c:idx val="0"/>
          <c:order val="0"/>
          <c:tx>
            <c:strRef>
              <c:f>'Meeting tracker'!$D$137</c:f>
              <c:strCache>
                <c:ptCount val="1"/>
                <c:pt idx="0">
                  <c:v>Market Size (USD Billion)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'Meeting tracker'!$C$138:$C$139</c:f>
              <c:numCache>
                <c:formatCode>General</c:formatCode>
                <c:ptCount val="2"/>
                <c:pt idx="0">
                  <c:v>2025</c:v>
                </c:pt>
                <c:pt idx="1">
                  <c:v>2030</c:v>
                </c:pt>
              </c:numCache>
            </c:numRef>
          </c:cat>
          <c:val>
            <c:numRef>
              <c:f>'Meeting tracker'!$D$138:$D$139</c:f>
              <c:numCache>
                <c:formatCode>General</c:formatCode>
                <c:ptCount val="2"/>
                <c:pt idx="0">
                  <c:v>43</c:v>
                </c:pt>
                <c:pt idx="1">
                  <c:v>115.9</c:v>
                </c:pt>
              </c:numCache>
            </c:numRef>
          </c:val>
          <c:extLst>
            <c:ext xmlns:c16="http://schemas.microsoft.com/office/drawing/2014/chart" uri="{C3380CC4-5D6E-409C-BE32-E72D297353CC}">
              <c16:uniqueId val="{00000000-C546-494F-A1F1-5CEF15065FAE}"/>
            </c:ext>
          </c:extLst>
        </c:ser>
        <c:dLbls>
          <c:showLegendKey val="0"/>
          <c:showVal val="0"/>
          <c:showCatName val="0"/>
          <c:showSerName val="0"/>
          <c:showPercent val="0"/>
          <c:showBubbleSize val="0"/>
        </c:dLbls>
        <c:gapWidth val="219"/>
        <c:overlap val="-27"/>
        <c:axId val="210494832"/>
        <c:axId val="210502032"/>
      </c:barChart>
      <c:catAx>
        <c:axId val="210494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502032"/>
        <c:crosses val="autoZero"/>
        <c:auto val="1"/>
        <c:lblAlgn val="ctr"/>
        <c:lblOffset val="100"/>
        <c:noMultiLvlLbl val="0"/>
      </c:catAx>
      <c:valAx>
        <c:axId val="210502032"/>
        <c:scaling>
          <c:orientation val="minMax"/>
        </c:scaling>
        <c:delete val="1"/>
        <c:axPos val="l"/>
        <c:numFmt formatCode="General" sourceLinked="1"/>
        <c:majorTickMark val="none"/>
        <c:minorTickMark val="none"/>
        <c:tickLblPos val="nextTo"/>
        <c:crossAx val="2104948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1565</Words>
  <Characters>8926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Newell, James (Bip.Monticello)</dc:creator>
  <cp:keywords/>
  <dc:description/>
  <cp:lastModifiedBy>Newell, James (Bip.Monticello)</cp:lastModifiedBy>
  <cp:revision>1</cp:revision>
  <dcterms:created xsi:type="dcterms:W3CDTF">2025-11-19T14:17:00Z</dcterms:created>
  <dcterms:modified xsi:type="dcterms:W3CDTF">2025-11-19T14:36:00Z</dcterms:modified>
</cp:coreProperties>
</file>