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FF871" w14:textId="3C54EA07" w:rsidR="007539E3" w:rsidRDefault="007539E3" w:rsidP="00BD4EAE">
      <w:pPr>
        <w:rPr>
          <w:b/>
          <w:bCs/>
        </w:rPr>
      </w:pPr>
      <w:r>
        <w:rPr>
          <w:b/>
          <w:bCs/>
        </w:rPr>
        <w:t>Timeline Citations:</w:t>
      </w:r>
    </w:p>
    <w:p w14:paraId="36EEF970" w14:textId="43DA6410" w:rsidR="00BD4EAE" w:rsidRPr="00BD4EAE" w:rsidRDefault="00A54B17" w:rsidP="00BD4EAE">
      <w:pPr>
        <w:rPr>
          <w:b/>
          <w:bCs/>
        </w:rPr>
      </w:pPr>
      <w:r>
        <w:rPr>
          <w:b/>
          <w:bCs/>
        </w:rPr>
        <w:t xml:space="preserve">Swimlane 1: </w:t>
      </w:r>
      <w:r w:rsidR="00BD4EAE" w:rsidRPr="00BD4EAE">
        <w:rPr>
          <w:b/>
          <w:bCs/>
        </w:rPr>
        <w:t xml:space="preserve">Regulatory &amp; Infrastructure Backbone </w:t>
      </w:r>
    </w:p>
    <w:p w14:paraId="08E3FF07" w14:textId="77777777" w:rsidR="00BD4EAE" w:rsidRPr="00BD4EAE" w:rsidRDefault="00BD4EAE" w:rsidP="00BD4EAE">
      <w:pPr>
        <w:numPr>
          <w:ilvl w:val="0"/>
          <w:numId w:val="1"/>
        </w:numPr>
      </w:pPr>
      <w:r w:rsidRPr="00BD4EAE">
        <w:rPr>
          <w:b/>
          <w:bCs/>
        </w:rPr>
        <w:t>09</w:t>
      </w:r>
      <w:r w:rsidRPr="00BD4EAE">
        <w:rPr>
          <w:rFonts w:ascii="Arial" w:hAnsi="Arial" w:cs="Arial"/>
          <w:b/>
          <w:bCs/>
        </w:rPr>
        <w:t> </w:t>
      </w:r>
      <w:r w:rsidRPr="00BD4EAE">
        <w:rPr>
          <w:b/>
          <w:bCs/>
        </w:rPr>
        <w:t>Jan</w:t>
      </w:r>
      <w:r w:rsidRPr="00BD4EAE">
        <w:rPr>
          <w:rFonts w:ascii="Arial" w:hAnsi="Arial" w:cs="Arial"/>
          <w:b/>
          <w:bCs/>
        </w:rPr>
        <w:t> </w:t>
      </w:r>
      <w:r w:rsidRPr="00BD4EAE">
        <w:rPr>
          <w:b/>
          <w:bCs/>
        </w:rPr>
        <w:t xml:space="preserve">2025 </w:t>
      </w:r>
      <w:r w:rsidRPr="00BD4EAE">
        <w:rPr>
          <w:rFonts w:ascii="Aptos" w:hAnsi="Aptos" w:cs="Aptos"/>
          <w:b/>
          <w:bCs/>
        </w:rPr>
        <w:t>–</w:t>
      </w:r>
      <w:r w:rsidRPr="00BD4EAE">
        <w:rPr>
          <w:b/>
          <w:bCs/>
        </w:rPr>
        <w:t xml:space="preserve"> EU Instant Payments Regulation starts:</w:t>
      </w:r>
      <w:r w:rsidRPr="00BD4EAE">
        <w:t xml:space="preserve"> Euro</w:t>
      </w:r>
      <w:r w:rsidRPr="00BD4EAE">
        <w:noBreakHyphen/>
        <w:t>area banks must offer instant credit transfers under 10 seconds</w:t>
      </w:r>
      <w:hyperlink r:id="rId5" w:anchor=":~:text=Regulation%20,and%209%20October%202025%20respectively" w:tgtFrame="_blank" w:history="1">
        <w:r w:rsidRPr="00BD4EAE">
          <w:rPr>
            <w:rStyle w:val="Hyperlink"/>
          </w:rPr>
          <w:t>europeanpaymentscouncil.eu</w:t>
        </w:r>
      </w:hyperlink>
      <w:r w:rsidRPr="00BD4EAE">
        <w:t>.</w:t>
      </w:r>
    </w:p>
    <w:p w14:paraId="2DBB7201" w14:textId="77777777" w:rsidR="00BD4EAE" w:rsidRPr="00BD4EAE" w:rsidRDefault="00BD4EAE" w:rsidP="00BD4EAE">
      <w:pPr>
        <w:numPr>
          <w:ilvl w:val="0"/>
          <w:numId w:val="1"/>
        </w:numPr>
      </w:pPr>
      <w:r w:rsidRPr="00BD4EAE">
        <w:rPr>
          <w:b/>
          <w:bCs/>
        </w:rPr>
        <w:t>09</w:t>
      </w:r>
      <w:r w:rsidRPr="00BD4EAE">
        <w:rPr>
          <w:rFonts w:ascii="Arial" w:hAnsi="Arial" w:cs="Arial"/>
          <w:b/>
          <w:bCs/>
        </w:rPr>
        <w:t> </w:t>
      </w:r>
      <w:r w:rsidRPr="00BD4EAE">
        <w:rPr>
          <w:b/>
          <w:bCs/>
        </w:rPr>
        <w:t>Oct</w:t>
      </w:r>
      <w:r w:rsidRPr="00BD4EAE">
        <w:rPr>
          <w:rFonts w:ascii="Arial" w:hAnsi="Arial" w:cs="Arial"/>
          <w:b/>
          <w:bCs/>
        </w:rPr>
        <w:t> </w:t>
      </w:r>
      <w:r w:rsidRPr="00BD4EAE">
        <w:rPr>
          <w:b/>
          <w:bCs/>
        </w:rPr>
        <w:t xml:space="preserve">2025 </w:t>
      </w:r>
      <w:r w:rsidRPr="00BD4EAE">
        <w:rPr>
          <w:rFonts w:ascii="Aptos" w:hAnsi="Aptos" w:cs="Aptos"/>
          <w:b/>
          <w:bCs/>
        </w:rPr>
        <w:t>–</w:t>
      </w:r>
      <w:r w:rsidRPr="00BD4EAE">
        <w:rPr>
          <w:b/>
          <w:bCs/>
        </w:rPr>
        <w:t xml:space="preserve"> IPR fully implemented:</w:t>
      </w:r>
      <w:r w:rsidRPr="00BD4EAE">
        <w:t xml:space="preserve"> Obligations extend to payment institutions and non</w:t>
      </w:r>
      <w:r w:rsidRPr="00BD4EAE">
        <w:noBreakHyphen/>
        <w:t>euro PSPs</w:t>
      </w:r>
      <w:hyperlink r:id="rId6" w:anchor=":~:text=Regulation%20,and%209%20October%202025%20respectively" w:tgtFrame="_blank" w:history="1">
        <w:r w:rsidRPr="00BD4EAE">
          <w:rPr>
            <w:rStyle w:val="Hyperlink"/>
          </w:rPr>
          <w:t>europeanpaymentscouncil.eu</w:t>
        </w:r>
      </w:hyperlink>
      <w:r w:rsidRPr="00BD4EAE">
        <w:t>.</w:t>
      </w:r>
    </w:p>
    <w:p w14:paraId="0B116EA0" w14:textId="77777777" w:rsidR="00BD4EAE" w:rsidRPr="00BD4EAE" w:rsidRDefault="00BD4EAE" w:rsidP="00BD4EAE">
      <w:pPr>
        <w:numPr>
          <w:ilvl w:val="0"/>
          <w:numId w:val="1"/>
        </w:numPr>
      </w:pPr>
      <w:r w:rsidRPr="00BD4EAE">
        <w:rPr>
          <w:b/>
          <w:bCs/>
        </w:rPr>
        <w:t>Nov</w:t>
      </w:r>
      <w:r w:rsidRPr="00BD4EAE">
        <w:rPr>
          <w:rFonts w:ascii="Arial" w:hAnsi="Arial" w:cs="Arial"/>
          <w:b/>
          <w:bCs/>
        </w:rPr>
        <w:t> </w:t>
      </w:r>
      <w:r w:rsidRPr="00BD4EAE">
        <w:rPr>
          <w:b/>
          <w:bCs/>
        </w:rPr>
        <w:t xml:space="preserve">2025 </w:t>
      </w:r>
      <w:r w:rsidRPr="00BD4EAE">
        <w:rPr>
          <w:rFonts w:ascii="Aptos" w:hAnsi="Aptos" w:cs="Aptos"/>
          <w:b/>
          <w:bCs/>
        </w:rPr>
        <w:t>–</w:t>
      </w:r>
      <w:r w:rsidRPr="00BD4EAE">
        <w:rPr>
          <w:b/>
          <w:bCs/>
        </w:rPr>
        <w:t xml:space="preserve"> ISO</w:t>
      </w:r>
      <w:r w:rsidRPr="00BD4EAE">
        <w:rPr>
          <w:rFonts w:ascii="Arial" w:hAnsi="Arial" w:cs="Arial"/>
          <w:b/>
          <w:bCs/>
        </w:rPr>
        <w:t> </w:t>
      </w:r>
      <w:r w:rsidRPr="00BD4EAE">
        <w:rPr>
          <w:b/>
          <w:bCs/>
        </w:rPr>
        <w:t>20022 migration deadline:</w:t>
      </w:r>
      <w:r w:rsidRPr="00BD4EAE">
        <w:t xml:space="preserve"> Cross</w:t>
      </w:r>
      <w:r w:rsidRPr="00BD4EAE">
        <w:noBreakHyphen/>
        <w:t>border and high</w:t>
      </w:r>
      <w:r w:rsidRPr="00BD4EAE">
        <w:noBreakHyphen/>
        <w:t>value payment systems must switch to ISO</w:t>
      </w:r>
      <w:r w:rsidRPr="00BD4EAE">
        <w:rPr>
          <w:rFonts w:ascii="Arial" w:hAnsi="Arial" w:cs="Arial"/>
        </w:rPr>
        <w:t> </w:t>
      </w:r>
      <w:r w:rsidRPr="00BD4EAE">
        <w:t>20022.</w:t>
      </w:r>
    </w:p>
    <w:p w14:paraId="36CDB6EF" w14:textId="77777777" w:rsidR="00BD4EAE" w:rsidRPr="00BD4EAE" w:rsidRDefault="00BD4EAE" w:rsidP="00BD4EAE">
      <w:pPr>
        <w:numPr>
          <w:ilvl w:val="0"/>
          <w:numId w:val="1"/>
        </w:numPr>
      </w:pPr>
      <w:r w:rsidRPr="00BD4EAE">
        <w:rPr>
          <w:b/>
          <w:bCs/>
        </w:rPr>
        <w:t>01</w:t>
      </w:r>
      <w:r w:rsidRPr="00BD4EAE">
        <w:rPr>
          <w:rFonts w:ascii="Arial" w:hAnsi="Arial" w:cs="Arial"/>
          <w:b/>
          <w:bCs/>
        </w:rPr>
        <w:t> </w:t>
      </w:r>
      <w:r w:rsidRPr="00BD4EAE">
        <w:rPr>
          <w:b/>
          <w:bCs/>
        </w:rPr>
        <w:t>Apr</w:t>
      </w:r>
      <w:r w:rsidRPr="00BD4EAE">
        <w:rPr>
          <w:rFonts w:ascii="Arial" w:hAnsi="Arial" w:cs="Arial"/>
          <w:b/>
          <w:bCs/>
        </w:rPr>
        <w:t> </w:t>
      </w:r>
      <w:r w:rsidRPr="00BD4EAE">
        <w:rPr>
          <w:b/>
          <w:bCs/>
        </w:rPr>
        <w:t xml:space="preserve">2026 </w:t>
      </w:r>
      <w:r w:rsidRPr="00BD4EAE">
        <w:rPr>
          <w:rFonts w:ascii="Aptos" w:hAnsi="Aptos" w:cs="Aptos"/>
          <w:b/>
          <w:bCs/>
        </w:rPr>
        <w:t>–</w:t>
      </w:r>
      <w:r w:rsidRPr="00BD4EAE">
        <w:rPr>
          <w:b/>
          <w:bCs/>
        </w:rPr>
        <w:t xml:space="preserve"> Section</w:t>
      </w:r>
      <w:r w:rsidRPr="00BD4EAE">
        <w:rPr>
          <w:rFonts w:ascii="Arial" w:hAnsi="Arial" w:cs="Arial"/>
          <w:b/>
          <w:bCs/>
        </w:rPr>
        <w:t> </w:t>
      </w:r>
      <w:r w:rsidRPr="00BD4EAE">
        <w:rPr>
          <w:b/>
          <w:bCs/>
        </w:rPr>
        <w:t>1033 Tier</w:t>
      </w:r>
      <w:r w:rsidRPr="00BD4EAE">
        <w:rPr>
          <w:rFonts w:ascii="Aptos" w:hAnsi="Aptos" w:cs="Aptos"/>
          <w:b/>
          <w:bCs/>
        </w:rPr>
        <w:t> </w:t>
      </w:r>
      <w:r w:rsidRPr="00BD4EAE">
        <w:rPr>
          <w:b/>
          <w:bCs/>
        </w:rPr>
        <w:t>1 compliance:</w:t>
      </w:r>
      <w:r w:rsidRPr="00BD4EAE">
        <w:t xml:space="preserve"> Large U.S. banks (≥$250</w:t>
      </w:r>
      <w:r w:rsidRPr="00BD4EAE">
        <w:rPr>
          <w:rFonts w:ascii="Arial" w:hAnsi="Arial" w:cs="Arial"/>
        </w:rPr>
        <w:t> </w:t>
      </w:r>
      <w:r w:rsidRPr="00BD4EAE">
        <w:t>bn assets) must enable consumer</w:t>
      </w:r>
      <w:r w:rsidRPr="00BD4EAE">
        <w:noBreakHyphen/>
        <w:t>data sharing</w:t>
      </w:r>
      <w:hyperlink r:id="rId7" w:anchor=":~:text=%28b%29%20Initial%20compliance%20dates,of%20this%20part%20beginning%20on" w:tgtFrame="_blank" w:history="1">
        <w:r w:rsidRPr="00BD4EAE">
          <w:rPr>
            <w:rStyle w:val="Hyperlink"/>
          </w:rPr>
          <w:t>consumerfinance.gov</w:t>
        </w:r>
      </w:hyperlink>
      <w:r w:rsidRPr="00BD4EAE">
        <w:t>.</w:t>
      </w:r>
    </w:p>
    <w:p w14:paraId="0CEFBB41" w14:textId="77777777" w:rsidR="00BD4EAE" w:rsidRPr="00BD4EAE" w:rsidRDefault="00BD4EAE" w:rsidP="00BD4EAE">
      <w:pPr>
        <w:numPr>
          <w:ilvl w:val="0"/>
          <w:numId w:val="1"/>
        </w:numPr>
      </w:pPr>
      <w:r w:rsidRPr="00BD4EAE">
        <w:rPr>
          <w:b/>
          <w:bCs/>
        </w:rPr>
        <w:t>01</w:t>
      </w:r>
      <w:r w:rsidRPr="00BD4EAE">
        <w:rPr>
          <w:rFonts w:ascii="Arial" w:hAnsi="Arial" w:cs="Arial"/>
          <w:b/>
          <w:bCs/>
        </w:rPr>
        <w:t> </w:t>
      </w:r>
      <w:r w:rsidRPr="00BD4EAE">
        <w:rPr>
          <w:b/>
          <w:bCs/>
        </w:rPr>
        <w:t>Apr</w:t>
      </w:r>
      <w:r w:rsidRPr="00BD4EAE">
        <w:rPr>
          <w:rFonts w:ascii="Arial" w:hAnsi="Arial" w:cs="Arial"/>
          <w:b/>
          <w:bCs/>
        </w:rPr>
        <w:t> </w:t>
      </w:r>
      <w:r w:rsidRPr="00BD4EAE">
        <w:rPr>
          <w:b/>
          <w:bCs/>
        </w:rPr>
        <w:t xml:space="preserve">2027 </w:t>
      </w:r>
      <w:r w:rsidRPr="00BD4EAE">
        <w:rPr>
          <w:rFonts w:ascii="Aptos" w:hAnsi="Aptos" w:cs="Aptos"/>
          <w:b/>
          <w:bCs/>
        </w:rPr>
        <w:t>–</w:t>
      </w:r>
      <w:r w:rsidRPr="00BD4EAE">
        <w:rPr>
          <w:b/>
          <w:bCs/>
        </w:rPr>
        <w:t xml:space="preserve"> Section</w:t>
      </w:r>
      <w:r w:rsidRPr="00BD4EAE">
        <w:rPr>
          <w:rFonts w:ascii="Arial" w:hAnsi="Arial" w:cs="Arial"/>
          <w:b/>
          <w:bCs/>
        </w:rPr>
        <w:t> </w:t>
      </w:r>
      <w:r w:rsidRPr="00BD4EAE">
        <w:rPr>
          <w:b/>
          <w:bCs/>
        </w:rPr>
        <w:t>1033 Tier</w:t>
      </w:r>
      <w:r w:rsidRPr="00BD4EAE">
        <w:rPr>
          <w:rFonts w:ascii="Aptos" w:hAnsi="Aptos" w:cs="Aptos"/>
          <w:b/>
          <w:bCs/>
        </w:rPr>
        <w:t> </w:t>
      </w:r>
      <w:r w:rsidRPr="00BD4EAE">
        <w:rPr>
          <w:b/>
          <w:bCs/>
        </w:rPr>
        <w:t>2 compliance:</w:t>
      </w:r>
      <w:r w:rsidRPr="00BD4EAE">
        <w:t xml:space="preserve"> Mid</w:t>
      </w:r>
      <w:r w:rsidRPr="00BD4EAE">
        <w:noBreakHyphen/>
        <w:t>sized institutions (≥$10</w:t>
      </w:r>
      <w:r w:rsidRPr="00BD4EAE">
        <w:rPr>
          <w:rFonts w:ascii="Arial" w:hAnsi="Arial" w:cs="Arial"/>
        </w:rPr>
        <w:t> </w:t>
      </w:r>
      <w:r w:rsidRPr="00BD4EAE">
        <w:t>bn) come under open</w:t>
      </w:r>
      <w:r w:rsidRPr="00BD4EAE">
        <w:noBreakHyphen/>
        <w:t>banking rules</w:t>
      </w:r>
      <w:hyperlink r:id="rId8" w:anchor=":~:text=%28b%29%20Initial%20compliance%20dates,of%20this%20part%20beginning%20on" w:tgtFrame="_blank" w:history="1">
        <w:r w:rsidRPr="00BD4EAE">
          <w:rPr>
            <w:rStyle w:val="Hyperlink"/>
          </w:rPr>
          <w:t>consumerfinance.gov</w:t>
        </w:r>
      </w:hyperlink>
      <w:r w:rsidRPr="00BD4EAE">
        <w:t>.</w:t>
      </w:r>
    </w:p>
    <w:p w14:paraId="63EF6A94" w14:textId="77777777" w:rsidR="00BD4EAE" w:rsidRPr="00BD4EAE" w:rsidRDefault="00BD4EAE" w:rsidP="00BD4EAE">
      <w:pPr>
        <w:numPr>
          <w:ilvl w:val="0"/>
          <w:numId w:val="1"/>
        </w:numPr>
      </w:pPr>
      <w:r w:rsidRPr="00BD4EAE">
        <w:rPr>
          <w:b/>
          <w:bCs/>
        </w:rPr>
        <w:t>01</w:t>
      </w:r>
      <w:r w:rsidRPr="00BD4EAE">
        <w:rPr>
          <w:rFonts w:ascii="Arial" w:hAnsi="Arial" w:cs="Arial"/>
          <w:b/>
          <w:bCs/>
        </w:rPr>
        <w:t> </w:t>
      </w:r>
      <w:r w:rsidRPr="00BD4EAE">
        <w:rPr>
          <w:b/>
          <w:bCs/>
        </w:rPr>
        <w:t>Apr</w:t>
      </w:r>
      <w:r w:rsidRPr="00BD4EAE">
        <w:rPr>
          <w:rFonts w:ascii="Arial" w:hAnsi="Arial" w:cs="Arial"/>
          <w:b/>
          <w:bCs/>
        </w:rPr>
        <w:t> </w:t>
      </w:r>
      <w:r w:rsidRPr="00BD4EAE">
        <w:rPr>
          <w:b/>
          <w:bCs/>
        </w:rPr>
        <w:t xml:space="preserve">2028, 2029 &amp; 2030 </w:t>
      </w:r>
      <w:r w:rsidRPr="00BD4EAE">
        <w:rPr>
          <w:rFonts w:ascii="Aptos" w:hAnsi="Aptos" w:cs="Aptos"/>
          <w:b/>
          <w:bCs/>
        </w:rPr>
        <w:t>–</w:t>
      </w:r>
      <w:r w:rsidRPr="00BD4EAE">
        <w:rPr>
          <w:b/>
          <w:bCs/>
        </w:rPr>
        <w:t xml:space="preserve"> Additional Section</w:t>
      </w:r>
      <w:r w:rsidRPr="00BD4EAE">
        <w:rPr>
          <w:rFonts w:ascii="Arial" w:hAnsi="Arial" w:cs="Arial"/>
          <w:b/>
          <w:bCs/>
        </w:rPr>
        <w:t> </w:t>
      </w:r>
      <w:r w:rsidRPr="00BD4EAE">
        <w:rPr>
          <w:b/>
          <w:bCs/>
        </w:rPr>
        <w:t>1033 waves:</w:t>
      </w:r>
      <w:r w:rsidRPr="00BD4EAE">
        <w:t xml:space="preserve"> Smaller banks (≥$3</w:t>
      </w:r>
      <w:r w:rsidRPr="00BD4EAE">
        <w:rPr>
          <w:rFonts w:ascii="Arial" w:hAnsi="Arial" w:cs="Arial"/>
        </w:rPr>
        <w:t> </w:t>
      </w:r>
      <w:r w:rsidRPr="00BD4EAE">
        <w:t>bn in</w:t>
      </w:r>
      <w:r w:rsidRPr="00BD4EAE">
        <w:rPr>
          <w:rFonts w:ascii="Aptos" w:hAnsi="Aptos" w:cs="Aptos"/>
        </w:rPr>
        <w:t> </w:t>
      </w:r>
      <w:r w:rsidRPr="00BD4EAE">
        <w:t xml:space="preserve">2028, </w:t>
      </w:r>
      <w:r w:rsidRPr="00BD4EAE">
        <w:rPr>
          <w:rFonts w:ascii="Aptos" w:hAnsi="Aptos" w:cs="Aptos"/>
        </w:rPr>
        <w:t>≥</w:t>
      </w:r>
      <w:r w:rsidRPr="00BD4EAE">
        <w:t>$1.5</w:t>
      </w:r>
      <w:r w:rsidRPr="00BD4EAE">
        <w:rPr>
          <w:rFonts w:ascii="Arial" w:hAnsi="Arial" w:cs="Arial"/>
        </w:rPr>
        <w:t> </w:t>
      </w:r>
      <w:r w:rsidRPr="00BD4EAE">
        <w:t>bn in</w:t>
      </w:r>
      <w:r w:rsidRPr="00BD4EAE">
        <w:rPr>
          <w:rFonts w:ascii="Aptos" w:hAnsi="Aptos" w:cs="Aptos"/>
        </w:rPr>
        <w:t> </w:t>
      </w:r>
      <w:r w:rsidRPr="00BD4EAE">
        <w:t xml:space="preserve">2029, </w:t>
      </w:r>
      <w:r w:rsidRPr="00BD4EAE">
        <w:rPr>
          <w:rFonts w:ascii="Aptos" w:hAnsi="Aptos" w:cs="Aptos"/>
        </w:rPr>
        <w:t>≥</w:t>
      </w:r>
      <w:r w:rsidRPr="00BD4EAE">
        <w:t>$850</w:t>
      </w:r>
      <w:r w:rsidRPr="00BD4EAE">
        <w:rPr>
          <w:rFonts w:ascii="Arial" w:hAnsi="Arial" w:cs="Arial"/>
        </w:rPr>
        <w:t> </w:t>
      </w:r>
      <w:r w:rsidRPr="00BD4EAE">
        <w:t>m in</w:t>
      </w:r>
      <w:r w:rsidRPr="00BD4EAE">
        <w:rPr>
          <w:rFonts w:ascii="Aptos" w:hAnsi="Aptos" w:cs="Aptos"/>
        </w:rPr>
        <w:t> </w:t>
      </w:r>
      <w:r w:rsidRPr="00BD4EAE">
        <w:t>2030) must comply</w:t>
      </w:r>
      <w:hyperlink r:id="rId9" w:anchor=":~:text=%28b%29%20Initial%20compliance%20dates,of%20this%20part%20beginning%20on" w:tgtFrame="_blank" w:history="1">
        <w:r w:rsidRPr="00BD4EAE">
          <w:rPr>
            <w:rStyle w:val="Hyperlink"/>
          </w:rPr>
          <w:t>consumerfinance.gov</w:t>
        </w:r>
      </w:hyperlink>
      <w:r w:rsidRPr="00BD4EAE">
        <w:t>.</w:t>
      </w:r>
    </w:p>
    <w:p w14:paraId="72D891EB" w14:textId="77777777" w:rsidR="00BD4EAE" w:rsidRPr="00BD4EAE" w:rsidRDefault="00BD4EAE" w:rsidP="00BD4EAE">
      <w:pPr>
        <w:numPr>
          <w:ilvl w:val="0"/>
          <w:numId w:val="1"/>
        </w:numPr>
      </w:pPr>
      <w:r w:rsidRPr="00BD4EAE">
        <w:rPr>
          <w:b/>
          <w:bCs/>
        </w:rPr>
        <w:t>2026–2027 (target) – PSD3 &amp; Payment Services Regulation adoption:</w:t>
      </w:r>
      <w:r w:rsidRPr="00BD4EAE">
        <w:t xml:space="preserve"> EU legislation is expected to update payment</w:t>
      </w:r>
      <w:r w:rsidRPr="00BD4EAE">
        <w:noBreakHyphen/>
        <w:t>services licensing and data</w:t>
      </w:r>
      <w:r w:rsidRPr="00BD4EAE">
        <w:noBreakHyphen/>
        <w:t>access rules (no firm date yet).</w:t>
      </w:r>
    </w:p>
    <w:p w14:paraId="7962E29F" w14:textId="0AEB78A6" w:rsidR="00BD4EAE" w:rsidRPr="00BD4EAE" w:rsidRDefault="00A54B17" w:rsidP="00BD4EAE">
      <w:pPr>
        <w:rPr>
          <w:b/>
          <w:bCs/>
        </w:rPr>
      </w:pPr>
      <w:r>
        <w:rPr>
          <w:b/>
          <w:bCs/>
        </w:rPr>
        <w:t xml:space="preserve">Swimlane 2: </w:t>
      </w:r>
      <w:r w:rsidR="00BD4EAE" w:rsidRPr="00BD4EAE">
        <w:rPr>
          <w:b/>
          <w:bCs/>
        </w:rPr>
        <w:t>Cross</w:t>
      </w:r>
      <w:r w:rsidR="00BD4EAE" w:rsidRPr="00BD4EAE">
        <w:rPr>
          <w:b/>
          <w:bCs/>
        </w:rPr>
        <w:noBreakHyphen/>
        <w:t xml:space="preserve">Border Payments </w:t>
      </w:r>
    </w:p>
    <w:p w14:paraId="619CF083" w14:textId="77777777" w:rsidR="00BD4EAE" w:rsidRPr="00BD4EAE" w:rsidRDefault="00BD4EAE" w:rsidP="00BD4EAE">
      <w:pPr>
        <w:numPr>
          <w:ilvl w:val="0"/>
          <w:numId w:val="2"/>
        </w:numPr>
      </w:pPr>
      <w:r w:rsidRPr="00BD4EAE">
        <w:rPr>
          <w:b/>
          <w:bCs/>
        </w:rPr>
        <w:t>18</w:t>
      </w:r>
      <w:r w:rsidRPr="00BD4EAE">
        <w:rPr>
          <w:rFonts w:ascii="Arial" w:hAnsi="Arial" w:cs="Arial"/>
          <w:b/>
          <w:bCs/>
        </w:rPr>
        <w:t> </w:t>
      </w:r>
      <w:r w:rsidRPr="00BD4EAE">
        <w:rPr>
          <w:b/>
          <w:bCs/>
        </w:rPr>
        <w:t>Jun</w:t>
      </w:r>
      <w:r w:rsidRPr="00BD4EAE">
        <w:rPr>
          <w:rFonts w:ascii="Arial" w:hAnsi="Arial" w:cs="Arial"/>
          <w:b/>
          <w:bCs/>
        </w:rPr>
        <w:t> </w:t>
      </w:r>
      <w:r w:rsidRPr="00BD4EAE">
        <w:rPr>
          <w:b/>
          <w:bCs/>
        </w:rPr>
        <w:t xml:space="preserve">2025 </w:t>
      </w:r>
      <w:r w:rsidRPr="00BD4EAE">
        <w:rPr>
          <w:rFonts w:ascii="Aptos" w:hAnsi="Aptos" w:cs="Aptos"/>
          <w:b/>
          <w:bCs/>
        </w:rPr>
        <w:t>–</w:t>
      </w:r>
      <w:r w:rsidRPr="00BD4EAE">
        <w:rPr>
          <w:b/>
          <w:bCs/>
        </w:rPr>
        <w:t xml:space="preserve"> FATF Recommendation</w:t>
      </w:r>
      <w:r w:rsidRPr="00BD4EAE">
        <w:rPr>
          <w:rFonts w:ascii="Aptos" w:hAnsi="Aptos" w:cs="Aptos"/>
          <w:b/>
          <w:bCs/>
        </w:rPr>
        <w:t> </w:t>
      </w:r>
      <w:r w:rsidRPr="00BD4EAE">
        <w:rPr>
          <w:b/>
          <w:bCs/>
        </w:rPr>
        <w:t>16 update:</w:t>
      </w:r>
      <w:r w:rsidRPr="00BD4EAE">
        <w:t xml:space="preserve"> New “Travel Rule” guidance mandates standardized payer/payee data on cross</w:t>
      </w:r>
      <w:r w:rsidRPr="00BD4EAE">
        <w:noBreakHyphen/>
        <w:t>border payments</w:t>
      </w:r>
      <w:hyperlink r:id="rId10" w:anchor=":~:text=18%20June%202025" w:tgtFrame="_blank" w:history="1">
        <w:r w:rsidRPr="00BD4EAE">
          <w:rPr>
            <w:rStyle w:val="Hyperlink"/>
          </w:rPr>
          <w:t>fatf-gafi.org</w:t>
        </w:r>
      </w:hyperlink>
      <w:r w:rsidRPr="00BD4EAE">
        <w:t>.</w:t>
      </w:r>
    </w:p>
    <w:p w14:paraId="5CC3AA14" w14:textId="77777777" w:rsidR="00BD4EAE" w:rsidRPr="00BD4EAE" w:rsidRDefault="00BD4EAE" w:rsidP="00BD4EAE">
      <w:pPr>
        <w:numPr>
          <w:ilvl w:val="0"/>
          <w:numId w:val="2"/>
        </w:numPr>
      </w:pPr>
      <w:r w:rsidRPr="00BD4EAE">
        <w:rPr>
          <w:b/>
          <w:bCs/>
        </w:rPr>
        <w:t>25</w:t>
      </w:r>
      <w:r w:rsidRPr="00BD4EAE">
        <w:rPr>
          <w:rFonts w:ascii="Arial" w:hAnsi="Arial" w:cs="Arial"/>
          <w:b/>
          <w:bCs/>
        </w:rPr>
        <w:t> </w:t>
      </w:r>
      <w:r w:rsidRPr="00BD4EAE">
        <w:rPr>
          <w:b/>
          <w:bCs/>
        </w:rPr>
        <w:t>Sep</w:t>
      </w:r>
      <w:r w:rsidRPr="00BD4EAE">
        <w:rPr>
          <w:rFonts w:ascii="Arial" w:hAnsi="Arial" w:cs="Arial"/>
          <w:b/>
          <w:bCs/>
        </w:rPr>
        <w:t> </w:t>
      </w:r>
      <w:r w:rsidRPr="00BD4EAE">
        <w:rPr>
          <w:b/>
          <w:bCs/>
        </w:rPr>
        <w:t xml:space="preserve">2025 </w:t>
      </w:r>
      <w:r w:rsidRPr="00BD4EAE">
        <w:rPr>
          <w:rFonts w:ascii="Aptos" w:hAnsi="Aptos" w:cs="Aptos"/>
          <w:b/>
          <w:bCs/>
        </w:rPr>
        <w:t>–</w:t>
      </w:r>
      <w:r w:rsidRPr="00BD4EAE">
        <w:rPr>
          <w:b/>
          <w:bCs/>
        </w:rPr>
        <w:t xml:space="preserve"> SWIFT retail</w:t>
      </w:r>
      <w:r w:rsidRPr="00BD4EAE">
        <w:rPr>
          <w:b/>
          <w:bCs/>
        </w:rPr>
        <w:noBreakHyphen/>
        <w:t>network rule change:</w:t>
      </w:r>
      <w:r w:rsidRPr="00BD4EAE">
        <w:t xml:space="preserve"> Rules ensure full</w:t>
      </w:r>
      <w:r w:rsidRPr="00BD4EAE">
        <w:noBreakHyphen/>
        <w:t>value transfers, transparent fees and instant settlement; over 30 banks commit to early adoption</w:t>
      </w:r>
      <w:hyperlink r:id="rId11" w:anchor=":~:text=25%20September%202025%20,min%20read" w:tgtFrame="_blank" w:history="1">
        <w:r w:rsidRPr="00BD4EAE">
          <w:rPr>
            <w:rStyle w:val="Hyperlink"/>
          </w:rPr>
          <w:t>swift.com</w:t>
        </w:r>
      </w:hyperlink>
      <w:r w:rsidRPr="00BD4EAE">
        <w:t>.</w:t>
      </w:r>
    </w:p>
    <w:p w14:paraId="5960AEF6" w14:textId="77777777" w:rsidR="00BD4EAE" w:rsidRPr="00BD4EAE" w:rsidRDefault="00BD4EAE" w:rsidP="00BD4EAE">
      <w:pPr>
        <w:numPr>
          <w:ilvl w:val="0"/>
          <w:numId w:val="2"/>
        </w:numPr>
      </w:pPr>
      <w:r w:rsidRPr="00BD4EAE">
        <w:rPr>
          <w:b/>
          <w:bCs/>
        </w:rPr>
        <w:t>09</w:t>
      </w:r>
      <w:r w:rsidRPr="00BD4EAE">
        <w:rPr>
          <w:rFonts w:ascii="Arial" w:hAnsi="Arial" w:cs="Arial"/>
          <w:b/>
          <w:bCs/>
        </w:rPr>
        <w:t> </w:t>
      </w:r>
      <w:r w:rsidRPr="00BD4EAE">
        <w:rPr>
          <w:b/>
          <w:bCs/>
        </w:rPr>
        <w:t>Oct</w:t>
      </w:r>
      <w:r w:rsidRPr="00BD4EAE">
        <w:rPr>
          <w:rFonts w:ascii="Arial" w:hAnsi="Arial" w:cs="Arial"/>
          <w:b/>
          <w:bCs/>
        </w:rPr>
        <w:t> </w:t>
      </w:r>
      <w:r w:rsidRPr="00BD4EAE">
        <w:rPr>
          <w:b/>
          <w:bCs/>
        </w:rPr>
        <w:t xml:space="preserve">2025 </w:t>
      </w:r>
      <w:r w:rsidRPr="00BD4EAE">
        <w:rPr>
          <w:rFonts w:ascii="Aptos" w:hAnsi="Aptos" w:cs="Aptos"/>
          <w:b/>
          <w:bCs/>
        </w:rPr>
        <w:t>–</w:t>
      </w:r>
      <w:r w:rsidRPr="00BD4EAE">
        <w:rPr>
          <w:b/>
          <w:bCs/>
        </w:rPr>
        <w:t xml:space="preserve"> FSB progress report:</w:t>
      </w:r>
      <w:r w:rsidRPr="00BD4EAE">
        <w:t xml:space="preserve"> The FSB notes most policy work is complete but warns that the 2027 G20 targets are unlikely to be met</w:t>
      </w:r>
      <w:hyperlink r:id="rId12" w:anchor=":~:text=G20%20Roadmap%20for%20Cross,Consolidated%20progress%20report%20for%202025" w:tgtFrame="_blank" w:history="1">
        <w:r w:rsidRPr="00BD4EAE">
          <w:rPr>
            <w:rStyle w:val="Hyperlink"/>
          </w:rPr>
          <w:t>fsb.org</w:t>
        </w:r>
      </w:hyperlink>
      <w:r w:rsidRPr="00BD4EAE">
        <w:t>.</w:t>
      </w:r>
    </w:p>
    <w:p w14:paraId="6D24EA35" w14:textId="77777777" w:rsidR="00BD4EAE" w:rsidRPr="00BD4EAE" w:rsidRDefault="00BD4EAE" w:rsidP="00BD4EAE">
      <w:pPr>
        <w:numPr>
          <w:ilvl w:val="0"/>
          <w:numId w:val="2"/>
        </w:numPr>
      </w:pPr>
      <w:r w:rsidRPr="00BD4EAE">
        <w:rPr>
          <w:b/>
          <w:bCs/>
        </w:rPr>
        <w:t>End</w:t>
      </w:r>
      <w:r w:rsidRPr="00BD4EAE">
        <w:rPr>
          <w:b/>
          <w:bCs/>
        </w:rPr>
        <w:noBreakHyphen/>
        <w:t>2027 – G20 quantitative targets:</w:t>
      </w:r>
      <w:r w:rsidRPr="00BD4EAE">
        <w:t xml:space="preserve"> Goals include ≤1 % average cost and 75 % of cross</w:t>
      </w:r>
      <w:r w:rsidRPr="00BD4EAE">
        <w:noBreakHyphen/>
        <w:t>border payments credited within one hour.</w:t>
      </w:r>
    </w:p>
    <w:p w14:paraId="3C39E119" w14:textId="77777777" w:rsidR="00BD4EAE" w:rsidRPr="00BD4EAE" w:rsidRDefault="00BD4EAE" w:rsidP="00BD4EAE">
      <w:pPr>
        <w:numPr>
          <w:ilvl w:val="0"/>
          <w:numId w:val="2"/>
        </w:numPr>
      </w:pPr>
      <w:r w:rsidRPr="00BD4EAE">
        <w:rPr>
          <w:b/>
          <w:bCs/>
        </w:rPr>
        <w:t>2030 – Extended G20 targets:</w:t>
      </w:r>
      <w:r w:rsidRPr="00BD4EAE">
        <w:t xml:space="preserve"> Goals tighten to ≤3 % global average cost and 100 % of payments credited within one hour.</w:t>
      </w:r>
    </w:p>
    <w:p w14:paraId="137D6103" w14:textId="1C2E2A29" w:rsidR="00BD4EAE" w:rsidRPr="00BD4EAE" w:rsidRDefault="00A54B17" w:rsidP="00BD4EAE">
      <w:pPr>
        <w:rPr>
          <w:b/>
          <w:bCs/>
        </w:rPr>
      </w:pPr>
      <w:r>
        <w:rPr>
          <w:b/>
          <w:bCs/>
        </w:rPr>
        <w:t xml:space="preserve">Swimlane 3: </w:t>
      </w:r>
      <w:r w:rsidR="00BD4EAE" w:rsidRPr="00BD4EAE">
        <w:rPr>
          <w:b/>
          <w:bCs/>
        </w:rPr>
        <w:t>Embedded Finance</w:t>
      </w:r>
    </w:p>
    <w:p w14:paraId="4BFF7D44" w14:textId="77777777" w:rsidR="00BD4EAE" w:rsidRPr="00BD4EAE" w:rsidRDefault="00BD4EAE" w:rsidP="00BD4EAE">
      <w:pPr>
        <w:numPr>
          <w:ilvl w:val="0"/>
          <w:numId w:val="3"/>
        </w:numPr>
      </w:pPr>
      <w:r w:rsidRPr="00BD4EAE">
        <w:rPr>
          <w:b/>
          <w:bCs/>
        </w:rPr>
        <w:lastRenderedPageBreak/>
        <w:t>01</w:t>
      </w:r>
      <w:r w:rsidRPr="00BD4EAE">
        <w:rPr>
          <w:rFonts w:ascii="Arial" w:hAnsi="Arial" w:cs="Arial"/>
          <w:b/>
          <w:bCs/>
        </w:rPr>
        <w:t> </w:t>
      </w:r>
      <w:r w:rsidRPr="00BD4EAE">
        <w:rPr>
          <w:b/>
          <w:bCs/>
        </w:rPr>
        <w:t>Apr</w:t>
      </w:r>
      <w:r w:rsidRPr="00BD4EAE">
        <w:rPr>
          <w:rFonts w:ascii="Arial" w:hAnsi="Arial" w:cs="Arial"/>
          <w:b/>
          <w:bCs/>
        </w:rPr>
        <w:t> </w:t>
      </w:r>
      <w:r w:rsidRPr="00BD4EAE">
        <w:rPr>
          <w:b/>
          <w:bCs/>
        </w:rPr>
        <w:t xml:space="preserve">2026 </w:t>
      </w:r>
      <w:r w:rsidRPr="00BD4EAE">
        <w:rPr>
          <w:rFonts w:ascii="Aptos" w:hAnsi="Aptos" w:cs="Aptos"/>
          <w:b/>
          <w:bCs/>
        </w:rPr>
        <w:t>–</w:t>
      </w:r>
      <w:r w:rsidRPr="00BD4EAE">
        <w:rPr>
          <w:b/>
          <w:bCs/>
        </w:rPr>
        <w:t xml:space="preserve"> Section</w:t>
      </w:r>
      <w:r w:rsidRPr="00BD4EAE">
        <w:rPr>
          <w:rFonts w:ascii="Arial" w:hAnsi="Arial" w:cs="Arial"/>
          <w:b/>
          <w:bCs/>
        </w:rPr>
        <w:t> </w:t>
      </w:r>
      <w:r w:rsidRPr="00BD4EAE">
        <w:rPr>
          <w:b/>
          <w:bCs/>
        </w:rPr>
        <w:t>1033 Tier</w:t>
      </w:r>
      <w:r w:rsidRPr="00BD4EAE">
        <w:rPr>
          <w:rFonts w:ascii="Aptos" w:hAnsi="Aptos" w:cs="Aptos"/>
          <w:b/>
          <w:bCs/>
        </w:rPr>
        <w:t> </w:t>
      </w:r>
      <w:r w:rsidRPr="00BD4EAE">
        <w:rPr>
          <w:b/>
          <w:bCs/>
        </w:rPr>
        <w:t>1 open</w:t>
      </w:r>
      <w:r w:rsidRPr="00BD4EAE">
        <w:rPr>
          <w:b/>
          <w:bCs/>
        </w:rPr>
        <w:noBreakHyphen/>
        <w:t>banking compliance:</w:t>
      </w:r>
      <w:r w:rsidRPr="00BD4EAE">
        <w:t xml:space="preserve"> Large providers must share consumer</w:t>
      </w:r>
      <w:r w:rsidRPr="00BD4EAE">
        <w:noBreakHyphen/>
        <w:t>permissioned data, enabling embedded</w:t>
      </w:r>
      <w:r w:rsidRPr="00BD4EAE">
        <w:noBreakHyphen/>
        <w:t>finance ecosystems</w:t>
      </w:r>
      <w:hyperlink r:id="rId13" w:anchor=":~:text=%28b%29%20Initial%20compliance%20dates,of%20this%20part%20beginning%20on" w:tgtFrame="_blank" w:history="1">
        <w:r w:rsidRPr="00BD4EAE">
          <w:rPr>
            <w:rStyle w:val="Hyperlink"/>
          </w:rPr>
          <w:t>consumerfinance.gov</w:t>
        </w:r>
      </w:hyperlink>
      <w:r w:rsidRPr="00BD4EAE">
        <w:t>.</w:t>
      </w:r>
    </w:p>
    <w:p w14:paraId="237576FE" w14:textId="77777777" w:rsidR="00BD4EAE" w:rsidRPr="00BD4EAE" w:rsidRDefault="00BD4EAE" w:rsidP="00BD4EAE">
      <w:pPr>
        <w:numPr>
          <w:ilvl w:val="0"/>
          <w:numId w:val="3"/>
        </w:numPr>
      </w:pPr>
      <w:r w:rsidRPr="00BD4EAE">
        <w:rPr>
          <w:b/>
          <w:bCs/>
        </w:rPr>
        <w:t>01</w:t>
      </w:r>
      <w:r w:rsidRPr="00BD4EAE">
        <w:rPr>
          <w:rFonts w:ascii="Arial" w:hAnsi="Arial" w:cs="Arial"/>
          <w:b/>
          <w:bCs/>
        </w:rPr>
        <w:t> </w:t>
      </w:r>
      <w:r w:rsidRPr="00BD4EAE">
        <w:rPr>
          <w:b/>
          <w:bCs/>
        </w:rPr>
        <w:t>Apr</w:t>
      </w:r>
      <w:r w:rsidRPr="00BD4EAE">
        <w:rPr>
          <w:rFonts w:ascii="Arial" w:hAnsi="Arial" w:cs="Arial"/>
          <w:b/>
          <w:bCs/>
        </w:rPr>
        <w:t> </w:t>
      </w:r>
      <w:r w:rsidRPr="00BD4EAE">
        <w:rPr>
          <w:b/>
          <w:bCs/>
        </w:rPr>
        <w:t xml:space="preserve">2027 </w:t>
      </w:r>
      <w:r w:rsidRPr="00BD4EAE">
        <w:rPr>
          <w:rFonts w:ascii="Aptos" w:hAnsi="Aptos" w:cs="Aptos"/>
          <w:b/>
          <w:bCs/>
        </w:rPr>
        <w:t>–</w:t>
      </w:r>
      <w:r w:rsidRPr="00BD4EAE">
        <w:rPr>
          <w:b/>
          <w:bCs/>
        </w:rPr>
        <w:t xml:space="preserve"> Section</w:t>
      </w:r>
      <w:r w:rsidRPr="00BD4EAE">
        <w:rPr>
          <w:rFonts w:ascii="Arial" w:hAnsi="Arial" w:cs="Arial"/>
          <w:b/>
          <w:bCs/>
        </w:rPr>
        <w:t> </w:t>
      </w:r>
      <w:r w:rsidRPr="00BD4EAE">
        <w:rPr>
          <w:b/>
          <w:bCs/>
        </w:rPr>
        <w:t>1033 Tier</w:t>
      </w:r>
      <w:r w:rsidRPr="00BD4EAE">
        <w:rPr>
          <w:rFonts w:ascii="Aptos" w:hAnsi="Aptos" w:cs="Aptos"/>
          <w:b/>
          <w:bCs/>
        </w:rPr>
        <w:t> </w:t>
      </w:r>
      <w:r w:rsidRPr="00BD4EAE">
        <w:rPr>
          <w:b/>
          <w:bCs/>
        </w:rPr>
        <w:t>2 compliance:</w:t>
      </w:r>
      <w:r w:rsidRPr="00BD4EAE">
        <w:t xml:space="preserve"> Mid</w:t>
      </w:r>
      <w:r w:rsidRPr="00BD4EAE">
        <w:noBreakHyphen/>
        <w:t>sized institutions join the open</w:t>
      </w:r>
      <w:r w:rsidRPr="00BD4EAE">
        <w:noBreakHyphen/>
        <w:t>banking framework</w:t>
      </w:r>
      <w:hyperlink r:id="rId14" w:anchor=":~:text=%28b%29%20Initial%20compliance%20dates,of%20this%20part%20beginning%20on" w:tgtFrame="_blank" w:history="1">
        <w:r w:rsidRPr="00BD4EAE">
          <w:rPr>
            <w:rStyle w:val="Hyperlink"/>
          </w:rPr>
          <w:t>consumerfinance.gov</w:t>
        </w:r>
      </w:hyperlink>
      <w:r w:rsidRPr="00BD4EAE">
        <w:t>.</w:t>
      </w:r>
    </w:p>
    <w:p w14:paraId="6C62A737" w14:textId="77777777" w:rsidR="00BD4EAE" w:rsidRPr="00BD4EAE" w:rsidRDefault="00BD4EAE" w:rsidP="00BD4EAE">
      <w:pPr>
        <w:numPr>
          <w:ilvl w:val="0"/>
          <w:numId w:val="3"/>
        </w:numPr>
      </w:pPr>
      <w:r w:rsidRPr="00BD4EAE">
        <w:rPr>
          <w:b/>
          <w:bCs/>
        </w:rPr>
        <w:t>01</w:t>
      </w:r>
      <w:r w:rsidRPr="00BD4EAE">
        <w:rPr>
          <w:rFonts w:ascii="Arial" w:hAnsi="Arial" w:cs="Arial"/>
          <w:b/>
          <w:bCs/>
        </w:rPr>
        <w:t> </w:t>
      </w:r>
      <w:r w:rsidRPr="00BD4EAE">
        <w:rPr>
          <w:b/>
          <w:bCs/>
        </w:rPr>
        <w:t>Apr</w:t>
      </w:r>
      <w:r w:rsidRPr="00BD4EAE">
        <w:rPr>
          <w:rFonts w:ascii="Arial" w:hAnsi="Arial" w:cs="Arial"/>
          <w:b/>
          <w:bCs/>
        </w:rPr>
        <w:t> </w:t>
      </w:r>
      <w:r w:rsidRPr="00BD4EAE">
        <w:rPr>
          <w:b/>
          <w:bCs/>
        </w:rPr>
        <w:t xml:space="preserve">2028, 2029 &amp; 2030 </w:t>
      </w:r>
      <w:r w:rsidRPr="00BD4EAE">
        <w:rPr>
          <w:rFonts w:ascii="Aptos" w:hAnsi="Aptos" w:cs="Aptos"/>
          <w:b/>
          <w:bCs/>
        </w:rPr>
        <w:t>–</w:t>
      </w:r>
      <w:r w:rsidRPr="00BD4EAE">
        <w:rPr>
          <w:b/>
          <w:bCs/>
        </w:rPr>
        <w:t xml:space="preserve"> Subsequent compliance waves:</w:t>
      </w:r>
      <w:r w:rsidRPr="00BD4EAE">
        <w:t xml:space="preserve"> Smaller banks enter the regime, expanding embedded</w:t>
      </w:r>
      <w:r w:rsidRPr="00BD4EAE">
        <w:noBreakHyphen/>
        <w:t>finance coverage</w:t>
      </w:r>
      <w:hyperlink r:id="rId15" w:anchor=":~:text=%28b%29%20Initial%20compliance%20dates,of%20this%20part%20beginning%20on" w:tgtFrame="_blank" w:history="1">
        <w:r w:rsidRPr="00BD4EAE">
          <w:rPr>
            <w:rStyle w:val="Hyperlink"/>
          </w:rPr>
          <w:t>consumerfinance.gov</w:t>
        </w:r>
      </w:hyperlink>
      <w:r w:rsidRPr="00BD4EAE">
        <w:t>.</w:t>
      </w:r>
    </w:p>
    <w:p w14:paraId="1FB5EAFC" w14:textId="77777777" w:rsidR="00BD4EAE" w:rsidRPr="00BD4EAE" w:rsidRDefault="00BD4EAE" w:rsidP="00BD4EAE">
      <w:pPr>
        <w:numPr>
          <w:ilvl w:val="0"/>
          <w:numId w:val="3"/>
        </w:numPr>
      </w:pPr>
      <w:r w:rsidRPr="00BD4EAE">
        <w:rPr>
          <w:b/>
          <w:bCs/>
        </w:rPr>
        <w:t>2026–2027 (expected) – PSD3/Payment Services Regulation adoption:</w:t>
      </w:r>
      <w:r w:rsidRPr="00BD4EAE">
        <w:t xml:space="preserve"> Upcoming EU legislation should modernize payment</w:t>
      </w:r>
      <w:r w:rsidRPr="00BD4EAE">
        <w:noBreakHyphen/>
        <w:t>services licensing and data sharing, creating new opportunities for embedded</w:t>
      </w:r>
      <w:r w:rsidRPr="00BD4EAE">
        <w:noBreakHyphen/>
        <w:t>finance providers.</w:t>
      </w:r>
    </w:p>
    <w:p w14:paraId="21047EB8" w14:textId="2B5E74C6" w:rsidR="00BD4EAE" w:rsidRPr="00BD4EAE" w:rsidRDefault="00A54B17" w:rsidP="00BD4EAE">
      <w:pPr>
        <w:rPr>
          <w:b/>
          <w:bCs/>
        </w:rPr>
      </w:pPr>
      <w:r>
        <w:rPr>
          <w:b/>
          <w:bCs/>
        </w:rPr>
        <w:t xml:space="preserve">Swimlane 4: </w:t>
      </w:r>
      <w:r w:rsidR="00BD4EAE" w:rsidRPr="00BD4EAE">
        <w:rPr>
          <w:b/>
          <w:bCs/>
        </w:rPr>
        <w:t xml:space="preserve">Digital Wallets &amp; Assets </w:t>
      </w:r>
    </w:p>
    <w:p w14:paraId="447E2306" w14:textId="77777777" w:rsidR="00BD4EAE" w:rsidRPr="00BD4EAE" w:rsidRDefault="00BD4EAE" w:rsidP="00BD4EAE">
      <w:pPr>
        <w:numPr>
          <w:ilvl w:val="0"/>
          <w:numId w:val="4"/>
        </w:numPr>
      </w:pPr>
      <w:r w:rsidRPr="00BD4EAE">
        <w:rPr>
          <w:b/>
          <w:bCs/>
        </w:rPr>
        <w:t>01</w:t>
      </w:r>
      <w:r w:rsidRPr="00BD4EAE">
        <w:rPr>
          <w:rFonts w:ascii="Arial" w:hAnsi="Arial" w:cs="Arial"/>
          <w:b/>
          <w:bCs/>
        </w:rPr>
        <w:t> </w:t>
      </w:r>
      <w:r w:rsidRPr="00BD4EAE">
        <w:rPr>
          <w:b/>
          <w:bCs/>
        </w:rPr>
        <w:t>May</w:t>
      </w:r>
      <w:r w:rsidRPr="00BD4EAE">
        <w:rPr>
          <w:rFonts w:ascii="Arial" w:hAnsi="Arial" w:cs="Arial"/>
          <w:b/>
          <w:bCs/>
        </w:rPr>
        <w:t> </w:t>
      </w:r>
      <w:r w:rsidRPr="00BD4EAE">
        <w:rPr>
          <w:b/>
          <w:bCs/>
        </w:rPr>
        <w:t xml:space="preserve">2025 </w:t>
      </w:r>
      <w:r w:rsidRPr="00BD4EAE">
        <w:rPr>
          <w:rFonts w:ascii="Aptos" w:hAnsi="Aptos" w:cs="Aptos"/>
          <w:b/>
          <w:bCs/>
        </w:rPr>
        <w:t>–</w:t>
      </w:r>
      <w:r w:rsidRPr="00BD4EAE">
        <w:rPr>
          <w:b/>
          <w:bCs/>
        </w:rPr>
        <w:t xml:space="preserve"> GENIUS Act introduced:</w:t>
      </w:r>
      <w:r w:rsidRPr="00BD4EAE">
        <w:t xml:space="preserve"> U.S. bill proposes a federal framework for payment stablecoins, requiring “permitted issuers,” reserves and Bank Secrecy Act oversight</w:t>
      </w:r>
      <w:hyperlink r:id="rId16" w:anchor=":~:text=Guiding%20and%20Establishing%20National%20Innovation,Act%20or%20the%20GENIUS%20Act" w:tgtFrame="_blank" w:history="1">
        <w:r w:rsidRPr="00BD4EAE">
          <w:rPr>
            <w:rStyle w:val="Hyperlink"/>
          </w:rPr>
          <w:t>congress.gov</w:t>
        </w:r>
      </w:hyperlink>
      <w:r w:rsidRPr="00BD4EAE">
        <w:t>.</w:t>
      </w:r>
    </w:p>
    <w:p w14:paraId="36127047" w14:textId="77777777" w:rsidR="00BD4EAE" w:rsidRPr="00BD4EAE" w:rsidRDefault="00BD4EAE" w:rsidP="00BD4EAE">
      <w:pPr>
        <w:numPr>
          <w:ilvl w:val="0"/>
          <w:numId w:val="4"/>
        </w:numPr>
      </w:pPr>
      <w:r w:rsidRPr="00BD4EAE">
        <w:rPr>
          <w:b/>
          <w:bCs/>
        </w:rPr>
        <w:t>Mid</w:t>
      </w:r>
      <w:r w:rsidRPr="00BD4EAE">
        <w:rPr>
          <w:b/>
          <w:bCs/>
        </w:rPr>
        <w:noBreakHyphen/>
        <w:t>2027 – Digital euro pilot:</w:t>
      </w:r>
      <w:r w:rsidRPr="00BD4EAE">
        <w:t xml:space="preserve"> The ECB plans to test the digital euro with selected participants</w:t>
      </w:r>
      <w:hyperlink r:id="rId17" w:anchor=":~:text=during%202029,prepare%20for%20a%20potential%20issuance" w:tgtFrame="_blank" w:history="1">
        <w:r w:rsidRPr="00BD4EAE">
          <w:rPr>
            <w:rStyle w:val="Hyperlink"/>
          </w:rPr>
          <w:t>ecb.europa.eu</w:t>
        </w:r>
      </w:hyperlink>
      <w:r w:rsidRPr="00BD4EAE">
        <w:t>.</w:t>
      </w:r>
    </w:p>
    <w:p w14:paraId="7C6A1820" w14:textId="77777777" w:rsidR="00BD4EAE" w:rsidRPr="00BD4EAE" w:rsidRDefault="00BD4EAE" w:rsidP="00BD4EAE">
      <w:pPr>
        <w:numPr>
          <w:ilvl w:val="0"/>
          <w:numId w:val="4"/>
        </w:numPr>
      </w:pPr>
      <w:r w:rsidRPr="00BD4EAE">
        <w:rPr>
          <w:b/>
          <w:bCs/>
        </w:rPr>
        <w:t>2029 – Digital euro issuance:</w:t>
      </w:r>
      <w:r w:rsidRPr="00BD4EAE">
        <w:t xml:space="preserve"> Subject to legislation, the eurozone could see its first digital</w:t>
      </w:r>
      <w:r w:rsidRPr="00BD4EAE">
        <w:noBreakHyphen/>
        <w:t>currency issuance</w:t>
      </w:r>
      <w:hyperlink r:id="rId18" w:anchor=":~:text=during%202029,prepare%20for%20a%20potential%20issuance" w:tgtFrame="_blank" w:history="1">
        <w:r w:rsidRPr="00BD4EAE">
          <w:rPr>
            <w:rStyle w:val="Hyperlink"/>
          </w:rPr>
          <w:t>ecb.europa.eu</w:t>
        </w:r>
      </w:hyperlink>
      <w:r w:rsidRPr="00BD4EAE">
        <w:t>.</w:t>
      </w:r>
    </w:p>
    <w:p w14:paraId="0D2C76A5" w14:textId="77777777" w:rsidR="00BD4EAE" w:rsidRPr="00BD4EAE" w:rsidRDefault="00BD4EAE" w:rsidP="00BD4EAE">
      <w:pPr>
        <w:numPr>
          <w:ilvl w:val="0"/>
          <w:numId w:val="4"/>
        </w:numPr>
      </w:pPr>
      <w:r w:rsidRPr="00BD4EAE">
        <w:rPr>
          <w:b/>
          <w:bCs/>
        </w:rPr>
        <w:t>Dec</w:t>
      </w:r>
      <w:r w:rsidRPr="00BD4EAE">
        <w:rPr>
          <w:rFonts w:ascii="Arial" w:hAnsi="Arial" w:cs="Arial"/>
          <w:b/>
          <w:bCs/>
        </w:rPr>
        <w:t> </w:t>
      </w:r>
      <w:r w:rsidRPr="00BD4EAE">
        <w:rPr>
          <w:b/>
          <w:bCs/>
        </w:rPr>
        <w:t xml:space="preserve">2026 </w:t>
      </w:r>
      <w:r w:rsidRPr="00BD4EAE">
        <w:rPr>
          <w:rFonts w:ascii="Aptos" w:hAnsi="Aptos" w:cs="Aptos"/>
          <w:b/>
          <w:bCs/>
        </w:rPr>
        <w:t>–</w:t>
      </w:r>
      <w:r w:rsidRPr="00BD4EAE">
        <w:rPr>
          <w:b/>
          <w:bCs/>
        </w:rPr>
        <w:t xml:space="preserve"> EU digital</w:t>
      </w:r>
      <w:r w:rsidRPr="00BD4EAE">
        <w:rPr>
          <w:b/>
          <w:bCs/>
        </w:rPr>
        <w:noBreakHyphen/>
        <w:t>identity wallets provided:</w:t>
      </w:r>
      <w:r w:rsidRPr="00BD4EAE">
        <w:t xml:space="preserve"> Each member state must offer at least one EU Digital Identity wallet</w:t>
      </w:r>
      <w:hyperlink r:id="rId19" w:anchor=":~:text=by%20late%20December%202026.,28" w:tgtFrame="_blank" w:history="1">
        <w:r w:rsidRPr="00BD4EAE">
          <w:rPr>
            <w:rStyle w:val="Hyperlink"/>
          </w:rPr>
          <w:t>en.wikipedia.org</w:t>
        </w:r>
      </w:hyperlink>
      <w:r w:rsidRPr="00BD4EAE">
        <w:t>.</w:t>
      </w:r>
    </w:p>
    <w:p w14:paraId="7DD04485" w14:textId="77777777" w:rsidR="00BD4EAE" w:rsidRPr="00BD4EAE" w:rsidRDefault="00BD4EAE" w:rsidP="00BD4EAE">
      <w:pPr>
        <w:numPr>
          <w:ilvl w:val="0"/>
          <w:numId w:val="4"/>
        </w:numPr>
      </w:pPr>
      <w:r w:rsidRPr="00BD4EAE">
        <w:rPr>
          <w:b/>
          <w:bCs/>
        </w:rPr>
        <w:t>Dec</w:t>
      </w:r>
      <w:r w:rsidRPr="00BD4EAE">
        <w:rPr>
          <w:rFonts w:ascii="Arial" w:hAnsi="Arial" w:cs="Arial"/>
          <w:b/>
          <w:bCs/>
        </w:rPr>
        <w:t> </w:t>
      </w:r>
      <w:r w:rsidRPr="00BD4EAE">
        <w:rPr>
          <w:b/>
          <w:bCs/>
        </w:rPr>
        <w:t xml:space="preserve">2027 </w:t>
      </w:r>
      <w:r w:rsidRPr="00BD4EAE">
        <w:rPr>
          <w:rFonts w:ascii="Aptos" w:hAnsi="Aptos" w:cs="Aptos"/>
          <w:b/>
          <w:bCs/>
        </w:rPr>
        <w:t>–</w:t>
      </w:r>
      <w:r w:rsidRPr="00BD4EAE">
        <w:rPr>
          <w:b/>
          <w:bCs/>
        </w:rPr>
        <w:t xml:space="preserve"> Mandatory acceptance of EUDI wallets:</w:t>
      </w:r>
      <w:r w:rsidRPr="00BD4EAE">
        <w:t xml:space="preserve"> Large private</w:t>
      </w:r>
      <w:r w:rsidRPr="00BD4EAE">
        <w:noBreakHyphen/>
        <w:t>sector firms must accept EU digital</w:t>
      </w:r>
      <w:r w:rsidRPr="00BD4EAE">
        <w:noBreakHyphen/>
        <w:t>identity wallets for authentication and payments</w:t>
      </w:r>
      <w:hyperlink r:id="rId20" w:anchor=":~:text=by%20late%20December%202026.,28" w:tgtFrame="_blank" w:history="1">
        <w:r w:rsidRPr="00BD4EAE">
          <w:rPr>
            <w:rStyle w:val="Hyperlink"/>
          </w:rPr>
          <w:t>en.wikipedia.org</w:t>
        </w:r>
      </w:hyperlink>
      <w:r w:rsidRPr="00BD4EAE">
        <w:t>.</w:t>
      </w:r>
    </w:p>
    <w:p w14:paraId="39E1A571" w14:textId="77777777" w:rsidR="00BD4EAE" w:rsidRPr="00BD4EAE" w:rsidRDefault="00BD4EAE" w:rsidP="00BD4EAE">
      <w:pPr>
        <w:numPr>
          <w:ilvl w:val="0"/>
          <w:numId w:val="4"/>
        </w:numPr>
      </w:pPr>
      <w:r w:rsidRPr="00BD4EAE">
        <w:rPr>
          <w:b/>
          <w:bCs/>
        </w:rPr>
        <w:t>2030 – EU digital</w:t>
      </w:r>
      <w:r w:rsidRPr="00BD4EAE">
        <w:rPr>
          <w:b/>
          <w:bCs/>
        </w:rPr>
        <w:noBreakHyphen/>
        <w:t>ID adoption target:</w:t>
      </w:r>
      <w:r w:rsidRPr="00BD4EAE">
        <w:t xml:space="preserve"> At least 80 % of citizens should be using a digital</w:t>
      </w:r>
      <w:r w:rsidRPr="00BD4EAE">
        <w:noBreakHyphen/>
        <w:t>ID solution</w:t>
      </w:r>
      <w:hyperlink r:id="rId21" w:anchor=":~:text=by%20late%20December%202026.,28" w:tgtFrame="_blank" w:history="1">
        <w:r w:rsidRPr="00BD4EAE">
          <w:rPr>
            <w:rStyle w:val="Hyperlink"/>
          </w:rPr>
          <w:t>en.wikipedia.org</w:t>
        </w:r>
      </w:hyperlink>
      <w:r w:rsidRPr="00BD4EAE">
        <w:t>.</w:t>
      </w:r>
    </w:p>
    <w:p w14:paraId="2094B519" w14:textId="3EB4DF1A" w:rsidR="00BD4EAE" w:rsidRPr="00BD4EAE" w:rsidRDefault="00A54B17" w:rsidP="00BD4EAE">
      <w:pPr>
        <w:rPr>
          <w:b/>
          <w:bCs/>
        </w:rPr>
      </w:pPr>
      <w:r>
        <w:rPr>
          <w:b/>
          <w:bCs/>
        </w:rPr>
        <w:t xml:space="preserve">Swimlane 5: </w:t>
      </w:r>
      <w:r w:rsidR="00BD4EAE" w:rsidRPr="00BD4EAE">
        <w:rPr>
          <w:b/>
          <w:bCs/>
        </w:rPr>
        <w:t>Real</w:t>
      </w:r>
      <w:r w:rsidR="00BD4EAE" w:rsidRPr="00BD4EAE">
        <w:rPr>
          <w:b/>
          <w:bCs/>
        </w:rPr>
        <w:noBreakHyphen/>
        <w:t xml:space="preserve">Time &amp; A2A Payments </w:t>
      </w:r>
    </w:p>
    <w:p w14:paraId="03F439C8" w14:textId="77777777" w:rsidR="00BD4EAE" w:rsidRPr="00BD4EAE" w:rsidRDefault="00BD4EAE" w:rsidP="00BD4EAE">
      <w:pPr>
        <w:numPr>
          <w:ilvl w:val="0"/>
          <w:numId w:val="5"/>
        </w:numPr>
      </w:pPr>
      <w:r w:rsidRPr="00BD4EAE">
        <w:rPr>
          <w:b/>
          <w:bCs/>
        </w:rPr>
        <w:t>Mid</w:t>
      </w:r>
      <w:r w:rsidRPr="00BD4EAE">
        <w:rPr>
          <w:b/>
          <w:bCs/>
        </w:rPr>
        <w:noBreakHyphen/>
        <w:t>2025 – RTP adoption milestone:</w:t>
      </w:r>
      <w:r w:rsidRPr="00BD4EAE">
        <w:t xml:space="preserve"> More than 1,000 U.S. financial institutions—representing over 70 % of demand deposit accounts—are live on the RTP network.</w:t>
      </w:r>
    </w:p>
    <w:p w14:paraId="4B595BE3" w14:textId="77777777" w:rsidR="00BD4EAE" w:rsidRPr="00BD4EAE" w:rsidRDefault="00BD4EAE" w:rsidP="00BD4EAE">
      <w:pPr>
        <w:numPr>
          <w:ilvl w:val="0"/>
          <w:numId w:val="5"/>
        </w:numPr>
      </w:pPr>
      <w:r w:rsidRPr="00BD4EAE">
        <w:rPr>
          <w:b/>
          <w:bCs/>
        </w:rPr>
        <w:t>Late</w:t>
      </w:r>
      <w:r w:rsidRPr="00BD4EAE">
        <w:rPr>
          <w:rFonts w:ascii="Arial" w:hAnsi="Arial" w:cs="Arial"/>
          <w:b/>
          <w:bCs/>
        </w:rPr>
        <w:t> </w:t>
      </w:r>
      <w:r w:rsidRPr="00BD4EAE">
        <w:rPr>
          <w:b/>
          <w:bCs/>
        </w:rPr>
        <w:t xml:space="preserve">2025 </w:t>
      </w:r>
      <w:r w:rsidRPr="00BD4EAE">
        <w:rPr>
          <w:rFonts w:ascii="Aptos" w:hAnsi="Aptos" w:cs="Aptos"/>
          <w:b/>
          <w:bCs/>
        </w:rPr>
        <w:t>–</w:t>
      </w:r>
      <w:r w:rsidRPr="00BD4EAE">
        <w:rPr>
          <w:b/>
          <w:bCs/>
        </w:rPr>
        <w:t xml:space="preserve"> </w:t>
      </w:r>
      <w:proofErr w:type="spellStart"/>
      <w:r w:rsidRPr="00BD4EAE">
        <w:rPr>
          <w:b/>
          <w:bCs/>
        </w:rPr>
        <w:t>FedNow</w:t>
      </w:r>
      <w:proofErr w:type="spellEnd"/>
      <w:r w:rsidRPr="00BD4EAE">
        <w:rPr>
          <w:b/>
          <w:bCs/>
        </w:rPr>
        <w:t xml:space="preserve"> expansion:</w:t>
      </w:r>
      <w:r w:rsidRPr="00BD4EAE">
        <w:t xml:space="preserve"> </w:t>
      </w:r>
      <w:proofErr w:type="spellStart"/>
      <w:r w:rsidRPr="00BD4EAE">
        <w:t>FedNow</w:t>
      </w:r>
      <w:proofErr w:type="spellEnd"/>
      <w:r w:rsidRPr="00BD4EAE">
        <w:t xml:space="preserve"> surpasses 1,500 participating institutions across all 50 states, and the Fed raises its transaction limit to $10 million.</w:t>
      </w:r>
    </w:p>
    <w:p w14:paraId="3E26F014" w14:textId="77777777" w:rsidR="00BD4EAE" w:rsidRPr="00BD4EAE" w:rsidRDefault="00BD4EAE" w:rsidP="00BD4EAE">
      <w:pPr>
        <w:numPr>
          <w:ilvl w:val="0"/>
          <w:numId w:val="5"/>
        </w:numPr>
      </w:pPr>
      <w:r w:rsidRPr="00BD4EAE">
        <w:rPr>
          <w:b/>
          <w:bCs/>
        </w:rPr>
        <w:lastRenderedPageBreak/>
        <w:t>2026–2027 – Request</w:t>
      </w:r>
      <w:r w:rsidRPr="00BD4EAE">
        <w:rPr>
          <w:b/>
          <w:bCs/>
        </w:rPr>
        <w:noBreakHyphen/>
        <w:t>for</w:t>
      </w:r>
      <w:r w:rsidRPr="00BD4EAE">
        <w:rPr>
          <w:b/>
          <w:bCs/>
        </w:rPr>
        <w:noBreakHyphen/>
        <w:t>Pay and other overlay services:</w:t>
      </w:r>
      <w:r w:rsidRPr="00BD4EAE">
        <w:t xml:space="preserve"> Industry roadmaps call for wider deployment of Request</w:t>
      </w:r>
      <w:r w:rsidRPr="00BD4EAE">
        <w:noBreakHyphen/>
        <w:t>for</w:t>
      </w:r>
      <w:r w:rsidRPr="00BD4EAE">
        <w:noBreakHyphen/>
        <w:t xml:space="preserve">Pay functionality across RTP and </w:t>
      </w:r>
      <w:proofErr w:type="spellStart"/>
      <w:r w:rsidRPr="00BD4EAE">
        <w:t>FedNow</w:t>
      </w:r>
      <w:proofErr w:type="spellEnd"/>
      <w:r w:rsidRPr="00BD4EAE">
        <w:t>, enabling real</w:t>
      </w:r>
      <w:r w:rsidRPr="00BD4EAE">
        <w:noBreakHyphen/>
        <w:t>time invoicing and bill payments (dates vary by provider).</w:t>
      </w:r>
    </w:p>
    <w:p w14:paraId="2044CDD1" w14:textId="4E0FD822" w:rsidR="00BD4EAE" w:rsidRDefault="00BD4EAE"/>
    <w:p w14:paraId="3709DCAF" w14:textId="77777777" w:rsidR="00B15474" w:rsidRDefault="00B15474"/>
    <w:p w14:paraId="681C2DBD" w14:textId="12695BA6" w:rsidR="00B15474" w:rsidRDefault="00B15474">
      <w:r>
        <w:t>Connections to research papers:</w:t>
      </w:r>
    </w:p>
    <w:p w14:paraId="1B8B6FD4" w14:textId="123CCDEB" w:rsidR="00B15474" w:rsidRPr="00B15474" w:rsidRDefault="00B15474" w:rsidP="00B15474">
      <w:r w:rsidRPr="00B15474">
        <w:t>Many of the high</w:t>
      </w:r>
      <w:r w:rsidRPr="00B15474">
        <w:noBreakHyphen/>
        <w:t xml:space="preserve">impact events listed above are grounded in the themes and milestones highlighted in </w:t>
      </w:r>
      <w:r>
        <w:t>our</w:t>
      </w:r>
      <w:r w:rsidRPr="00B15474">
        <w:t xml:space="preserve"> four research papers:</w:t>
      </w:r>
    </w:p>
    <w:p w14:paraId="4F4DD0F6" w14:textId="77777777" w:rsidR="00B15474" w:rsidRPr="00B15474" w:rsidRDefault="00B15474" w:rsidP="00B15474">
      <w:pPr>
        <w:numPr>
          <w:ilvl w:val="0"/>
          <w:numId w:val="6"/>
        </w:numPr>
      </w:pPr>
      <w:r w:rsidRPr="00B15474">
        <w:rPr>
          <w:b/>
          <w:bCs/>
        </w:rPr>
        <w:t>Regulatory</w:t>
      </w:r>
      <w:r w:rsidRPr="00B15474">
        <w:rPr>
          <w:rFonts w:ascii="Arial" w:hAnsi="Arial" w:cs="Arial"/>
          <w:b/>
          <w:bCs/>
        </w:rPr>
        <w:t> </w:t>
      </w:r>
      <w:r w:rsidRPr="00B15474">
        <w:rPr>
          <w:b/>
          <w:bCs/>
        </w:rPr>
        <w:t>&amp;</w:t>
      </w:r>
      <w:r w:rsidRPr="00B15474">
        <w:rPr>
          <w:rFonts w:ascii="Arial" w:hAnsi="Arial" w:cs="Arial"/>
          <w:b/>
          <w:bCs/>
        </w:rPr>
        <w:t> </w:t>
      </w:r>
      <w:r w:rsidRPr="00B15474">
        <w:rPr>
          <w:b/>
          <w:bCs/>
        </w:rPr>
        <w:t xml:space="preserve">Infrastructure Backbone </w:t>
      </w:r>
      <w:r w:rsidRPr="00B15474">
        <w:rPr>
          <w:rFonts w:ascii="Aptos" w:hAnsi="Aptos" w:cs="Aptos"/>
          <w:b/>
          <w:bCs/>
        </w:rPr>
        <w:t>–</w:t>
      </w:r>
      <w:r w:rsidRPr="00B15474">
        <w:t xml:space="preserve"> The cross</w:t>
      </w:r>
      <w:r w:rsidRPr="00B15474">
        <w:noBreakHyphen/>
        <w:t>border report stresses the EU Instant Payments Regulation’s 10</w:t>
      </w:r>
      <w:r w:rsidRPr="00B15474">
        <w:noBreakHyphen/>
        <w:t>second requirement and the shift to ISO</w:t>
      </w:r>
      <w:r w:rsidRPr="00B15474">
        <w:rPr>
          <w:rFonts w:ascii="Arial" w:hAnsi="Arial" w:cs="Arial"/>
        </w:rPr>
        <w:t> </w:t>
      </w:r>
      <w:r w:rsidRPr="00B15474">
        <w:t>20022 messaging by late</w:t>
      </w:r>
      <w:r w:rsidRPr="00B15474">
        <w:rPr>
          <w:rFonts w:ascii="Aptos" w:hAnsi="Aptos" w:cs="Aptos"/>
        </w:rPr>
        <w:t> </w:t>
      </w:r>
      <w:r w:rsidRPr="00B15474">
        <w:t>2025; both appear as foundational milestones. The embedded</w:t>
      </w:r>
      <w:r w:rsidRPr="00B15474">
        <w:noBreakHyphen/>
        <w:t>finance white paper forecasts that U.S. open</w:t>
      </w:r>
      <w:r w:rsidRPr="00B15474">
        <w:noBreakHyphen/>
        <w:t>banking rules and the EU</w:t>
      </w:r>
      <w:r w:rsidRPr="00B15474">
        <w:rPr>
          <w:rFonts w:ascii="Aptos" w:hAnsi="Aptos" w:cs="Aptos"/>
        </w:rPr>
        <w:t>’</w:t>
      </w:r>
      <w:r w:rsidRPr="00B15474">
        <w:t>s forthcoming PSD3 will unlock embedded</w:t>
      </w:r>
      <w:r w:rsidRPr="00B15474">
        <w:noBreakHyphen/>
        <w:t>finance growth, which is why Section</w:t>
      </w:r>
      <w:r w:rsidRPr="00B15474">
        <w:rPr>
          <w:rFonts w:ascii="Arial" w:hAnsi="Arial" w:cs="Arial"/>
        </w:rPr>
        <w:t> </w:t>
      </w:r>
      <w:r w:rsidRPr="00B15474">
        <w:t>1033 compliance waves and PSD3 adoption sit here. The digital</w:t>
      </w:r>
      <w:r w:rsidRPr="00B15474">
        <w:noBreakHyphen/>
        <w:t>wallet report highlights the EU</w:t>
      </w:r>
      <w:r w:rsidRPr="00B15474">
        <w:rPr>
          <w:rFonts w:ascii="Aptos" w:hAnsi="Aptos" w:cs="Aptos"/>
        </w:rPr>
        <w:t>’</w:t>
      </w:r>
      <w:r w:rsidRPr="00B15474">
        <w:t>s digital identity initiative and digital</w:t>
      </w:r>
      <w:r w:rsidRPr="00B15474">
        <w:noBreakHyphen/>
        <w:t>euro road</w:t>
      </w:r>
      <w:r w:rsidRPr="00B15474">
        <w:noBreakHyphen/>
        <w:t>map</w:t>
      </w:r>
      <w:r w:rsidRPr="00B15474">
        <w:rPr>
          <w:rFonts w:ascii="Aptos" w:hAnsi="Aptos" w:cs="Aptos"/>
        </w:rPr>
        <w:t>—</w:t>
      </w:r>
      <w:r w:rsidRPr="00B15474">
        <w:t>both are cross</w:t>
      </w:r>
      <w:r w:rsidRPr="00B15474">
        <w:noBreakHyphen/>
        <w:t>cutting infrastructure projects, so they’re placed in this shared lane.</w:t>
      </w:r>
    </w:p>
    <w:p w14:paraId="77564900" w14:textId="77777777" w:rsidR="00B15474" w:rsidRPr="00B15474" w:rsidRDefault="00B15474" w:rsidP="00B15474">
      <w:pPr>
        <w:numPr>
          <w:ilvl w:val="0"/>
          <w:numId w:val="6"/>
        </w:numPr>
      </w:pPr>
      <w:r w:rsidRPr="00B15474">
        <w:rPr>
          <w:b/>
          <w:bCs/>
        </w:rPr>
        <w:t>Cross</w:t>
      </w:r>
      <w:r w:rsidRPr="00B15474">
        <w:rPr>
          <w:b/>
          <w:bCs/>
        </w:rPr>
        <w:noBreakHyphen/>
        <w:t>Border Payments –</w:t>
      </w:r>
      <w:r w:rsidRPr="00B15474">
        <w:t xml:space="preserve"> The “Great Bifurcation” draft </w:t>
      </w:r>
      <w:proofErr w:type="spellStart"/>
      <w:r w:rsidRPr="00B15474">
        <w:t>emphasises</w:t>
      </w:r>
      <w:proofErr w:type="spellEnd"/>
      <w:r w:rsidRPr="00B15474">
        <w:t xml:space="preserve"> G20 targets for reducing cost and increasing speed in the U.S.–EU corridor and notes that achieving them by 2027 will be challenging. Our timeline reflects those targets and the FSB’s caution that progress may slip past 2027. The paper also mentions the need for clearer rules and interoperability, which is why we include the FATF Recommendation 16 update and SWIFT’s network</w:t>
      </w:r>
      <w:r w:rsidRPr="00B15474">
        <w:noBreakHyphen/>
        <w:t>rule changes.</w:t>
      </w:r>
    </w:p>
    <w:p w14:paraId="443B8AD2" w14:textId="77777777" w:rsidR="00B15474" w:rsidRPr="00B15474" w:rsidRDefault="00B15474" w:rsidP="00B15474">
      <w:pPr>
        <w:numPr>
          <w:ilvl w:val="0"/>
          <w:numId w:val="6"/>
        </w:numPr>
      </w:pPr>
      <w:r w:rsidRPr="00B15474">
        <w:rPr>
          <w:b/>
          <w:bCs/>
        </w:rPr>
        <w:t>Embedded Finance –</w:t>
      </w:r>
      <w:r w:rsidRPr="00B15474">
        <w:t xml:space="preserve"> The embedded</w:t>
      </w:r>
      <w:r w:rsidRPr="00B15474">
        <w:noBreakHyphen/>
        <w:t>finance white paper points to open</w:t>
      </w:r>
      <w:r w:rsidRPr="00B15474">
        <w:noBreakHyphen/>
        <w:t>banking regulations (CFPB Section</w:t>
      </w:r>
      <w:r w:rsidRPr="00B15474">
        <w:rPr>
          <w:rFonts w:ascii="Arial" w:hAnsi="Arial" w:cs="Arial"/>
        </w:rPr>
        <w:t> </w:t>
      </w:r>
      <w:r w:rsidRPr="00B15474">
        <w:t>1033 in the U.S. and PSD3/PSR in Europe) as the primary catalysts for API</w:t>
      </w:r>
      <w:r w:rsidRPr="00B15474">
        <w:noBreakHyphen/>
        <w:t>driven finance. Our events focus precisely on the phased implementation of Section</w:t>
      </w:r>
      <w:r w:rsidRPr="00B15474">
        <w:rPr>
          <w:rFonts w:ascii="Arial" w:hAnsi="Arial" w:cs="Arial"/>
        </w:rPr>
        <w:t> </w:t>
      </w:r>
      <w:r w:rsidRPr="00B15474">
        <w:t xml:space="preserve">1033 and the expected adoption of PSD3. By doing so, the </w:t>
      </w:r>
      <w:proofErr w:type="spellStart"/>
      <w:r w:rsidRPr="00B15474">
        <w:t>swimlane</w:t>
      </w:r>
      <w:proofErr w:type="spellEnd"/>
      <w:r w:rsidRPr="00B15474">
        <w:t xml:space="preserve"> mirrors the report</w:t>
      </w:r>
      <w:r w:rsidRPr="00B15474">
        <w:rPr>
          <w:rFonts w:ascii="Aptos" w:hAnsi="Aptos" w:cs="Aptos"/>
        </w:rPr>
        <w:t>’</w:t>
      </w:r>
      <w:r w:rsidRPr="00B15474">
        <w:t>s prediction that regulatory clarity, rather than technological breakthroughs, will drive adoption.</w:t>
      </w:r>
    </w:p>
    <w:p w14:paraId="3B498403" w14:textId="77777777" w:rsidR="00B15474" w:rsidRPr="00B15474" w:rsidRDefault="00B15474" w:rsidP="00B15474">
      <w:pPr>
        <w:numPr>
          <w:ilvl w:val="0"/>
          <w:numId w:val="6"/>
        </w:numPr>
      </w:pPr>
      <w:r w:rsidRPr="00B15474">
        <w:rPr>
          <w:b/>
          <w:bCs/>
        </w:rPr>
        <w:t>Digital Wallets &amp; Assets –</w:t>
      </w:r>
      <w:r w:rsidRPr="00B15474">
        <w:t xml:space="preserve"> The digital</w:t>
      </w:r>
      <w:r w:rsidRPr="00B15474">
        <w:noBreakHyphen/>
        <w:t xml:space="preserve">wallets document projects continued wallet growth and the integration of digital assets, </w:t>
      </w:r>
      <w:proofErr w:type="spellStart"/>
      <w:r w:rsidRPr="00B15474">
        <w:t>emphasising</w:t>
      </w:r>
      <w:proofErr w:type="spellEnd"/>
      <w:r w:rsidRPr="00B15474">
        <w:t xml:space="preserve"> upcoming rules such as the GENIUS Act and </w:t>
      </w:r>
      <w:proofErr w:type="spellStart"/>
      <w:r w:rsidRPr="00B15474">
        <w:t>MiCA</w:t>
      </w:r>
      <w:proofErr w:type="spellEnd"/>
      <w:r w:rsidRPr="00B15474">
        <w:t>, the rollout of national digital</w:t>
      </w:r>
      <w:r w:rsidRPr="00B15474">
        <w:noBreakHyphen/>
        <w:t>ID wallets and the digital</w:t>
      </w:r>
      <w:r w:rsidRPr="00B15474">
        <w:noBreakHyphen/>
        <w:t>euro pilot/issuance</w:t>
      </w:r>
      <w:hyperlink r:id="rId22" w:anchor=":~:text=during%202029,prepare%20for%20a%20potential%20issuance" w:tgtFrame="_blank" w:history="1">
        <w:r w:rsidRPr="00B15474">
          <w:rPr>
            <w:rStyle w:val="Hyperlink"/>
          </w:rPr>
          <w:t>ecb.europa.eu</w:t>
        </w:r>
      </w:hyperlink>
      <w:r w:rsidRPr="00B15474">
        <w:t xml:space="preserve">. We therefore highlight the GENIUS Act’s introduction, EUDI wallet deadlines and the ECB’s 2027 pilot and 2029 issuance </w:t>
      </w:r>
      <w:r w:rsidRPr="00B15474">
        <w:lastRenderedPageBreak/>
        <w:t>target. These events directly echo the report’s narrative that regulation and government</w:t>
      </w:r>
      <w:r w:rsidRPr="00B15474">
        <w:noBreakHyphen/>
        <w:t>backed digital currencies will reshape wallet infrastructure.</w:t>
      </w:r>
    </w:p>
    <w:p w14:paraId="0E5A4C3F" w14:textId="77777777" w:rsidR="00B15474" w:rsidRPr="00B15474" w:rsidRDefault="00B15474" w:rsidP="00B15474">
      <w:pPr>
        <w:numPr>
          <w:ilvl w:val="0"/>
          <w:numId w:val="6"/>
        </w:numPr>
      </w:pPr>
      <w:r w:rsidRPr="00B15474">
        <w:rPr>
          <w:b/>
          <w:bCs/>
        </w:rPr>
        <w:t>Real</w:t>
      </w:r>
      <w:r w:rsidRPr="00B15474">
        <w:rPr>
          <w:b/>
          <w:bCs/>
        </w:rPr>
        <w:noBreakHyphen/>
        <w:t>Time &amp; A2A Payments –</w:t>
      </w:r>
      <w:r w:rsidRPr="00B15474">
        <w:t xml:space="preserve"> The real</w:t>
      </w:r>
      <w:r w:rsidRPr="00B15474">
        <w:noBreakHyphen/>
        <w:t xml:space="preserve">time payments analysis describes how RTP adoption exceeded 1,000 financial institutions and </w:t>
      </w:r>
      <w:proofErr w:type="spellStart"/>
      <w:r w:rsidRPr="00B15474">
        <w:t>FedNow</w:t>
      </w:r>
      <w:proofErr w:type="spellEnd"/>
      <w:r w:rsidRPr="00B15474">
        <w:t xml:space="preserve"> grew to over 1,500 by late 2025, noting the Fed’s decision to raise the transaction cap to $10</w:t>
      </w:r>
      <w:r w:rsidRPr="00B15474">
        <w:rPr>
          <w:rFonts w:ascii="Arial" w:hAnsi="Arial" w:cs="Arial"/>
        </w:rPr>
        <w:t> </w:t>
      </w:r>
      <w:r w:rsidRPr="00B15474">
        <w:t>million. Our lane includes those adoption milestones, reflecting the paper</w:t>
      </w:r>
      <w:r w:rsidRPr="00B15474">
        <w:rPr>
          <w:rFonts w:ascii="Aptos" w:hAnsi="Aptos" w:cs="Aptos"/>
        </w:rPr>
        <w:t>’</w:t>
      </w:r>
      <w:r w:rsidRPr="00B15474">
        <w:t>s view that the major story for 2025</w:t>
      </w:r>
      <w:r w:rsidRPr="00B15474">
        <w:rPr>
          <w:rFonts w:ascii="Aptos" w:hAnsi="Aptos" w:cs="Aptos"/>
        </w:rPr>
        <w:t>–</w:t>
      </w:r>
      <w:r w:rsidRPr="00B15474">
        <w:t>2027 is rapid rail expansion rather than new technology. The report also predicts overlay services like Request</w:t>
      </w:r>
      <w:r w:rsidRPr="00B15474">
        <w:noBreakHyphen/>
        <w:t>for</w:t>
      </w:r>
      <w:r w:rsidRPr="00B15474">
        <w:noBreakHyphen/>
        <w:t>Pay, which we flag as an expected development through 2026</w:t>
      </w:r>
      <w:r w:rsidRPr="00B15474">
        <w:noBreakHyphen/>
        <w:t>2027.</w:t>
      </w:r>
    </w:p>
    <w:p w14:paraId="392BC89B" w14:textId="77777777" w:rsidR="00B15474" w:rsidRPr="00B15474" w:rsidRDefault="00B15474" w:rsidP="00B15474">
      <w:r w:rsidRPr="00B15474">
        <w:t xml:space="preserve">Overall, the events selected for each </w:t>
      </w:r>
      <w:proofErr w:type="spellStart"/>
      <w:r w:rsidRPr="00B15474">
        <w:t>swimlane</w:t>
      </w:r>
      <w:proofErr w:type="spellEnd"/>
      <w:r w:rsidRPr="00B15474">
        <w:t xml:space="preserve"> are tightly linked to the key forecasts, regulatory developments and infrastructure projects described in the uploaded papers.</w:t>
      </w:r>
    </w:p>
    <w:p w14:paraId="2D066A47" w14:textId="77777777" w:rsidR="00B15474" w:rsidRDefault="00B15474"/>
    <w:sectPr w:rsidR="00B15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15954"/>
    <w:multiLevelType w:val="multilevel"/>
    <w:tmpl w:val="60B0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73457"/>
    <w:multiLevelType w:val="multilevel"/>
    <w:tmpl w:val="740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E2E4E"/>
    <w:multiLevelType w:val="multilevel"/>
    <w:tmpl w:val="437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377A7"/>
    <w:multiLevelType w:val="multilevel"/>
    <w:tmpl w:val="060E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C58FA"/>
    <w:multiLevelType w:val="multilevel"/>
    <w:tmpl w:val="8A6C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87CBD"/>
    <w:multiLevelType w:val="multilevel"/>
    <w:tmpl w:val="4DE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940507">
    <w:abstractNumId w:val="4"/>
  </w:num>
  <w:num w:numId="2" w16cid:durableId="1810198219">
    <w:abstractNumId w:val="5"/>
  </w:num>
  <w:num w:numId="3" w16cid:durableId="1673099653">
    <w:abstractNumId w:val="0"/>
  </w:num>
  <w:num w:numId="4" w16cid:durableId="975917159">
    <w:abstractNumId w:val="1"/>
  </w:num>
  <w:num w:numId="5" w16cid:durableId="1861888651">
    <w:abstractNumId w:val="3"/>
  </w:num>
  <w:num w:numId="6" w16cid:durableId="1073313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AE"/>
    <w:rsid w:val="001032E0"/>
    <w:rsid w:val="00157C75"/>
    <w:rsid w:val="007539E3"/>
    <w:rsid w:val="0086662F"/>
    <w:rsid w:val="00A54B17"/>
    <w:rsid w:val="00B15474"/>
    <w:rsid w:val="00BD4EAE"/>
    <w:rsid w:val="00C05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15A2D"/>
  <w15:chartTrackingRefBased/>
  <w15:docId w15:val="{A357A742-106E-42F9-A21C-D2CBAA1C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EAE"/>
    <w:rPr>
      <w:rFonts w:eastAsiaTheme="majorEastAsia" w:cstheme="majorBidi"/>
      <w:color w:val="272727" w:themeColor="text1" w:themeTint="D8"/>
    </w:rPr>
  </w:style>
  <w:style w:type="paragraph" w:styleId="Title">
    <w:name w:val="Title"/>
    <w:basedOn w:val="Normal"/>
    <w:next w:val="Normal"/>
    <w:link w:val="TitleChar"/>
    <w:uiPriority w:val="10"/>
    <w:qFormat/>
    <w:rsid w:val="00BD4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EAE"/>
    <w:pPr>
      <w:spacing w:before="160"/>
      <w:jc w:val="center"/>
    </w:pPr>
    <w:rPr>
      <w:i/>
      <w:iCs/>
      <w:color w:val="404040" w:themeColor="text1" w:themeTint="BF"/>
    </w:rPr>
  </w:style>
  <w:style w:type="character" w:customStyle="1" w:styleId="QuoteChar">
    <w:name w:val="Quote Char"/>
    <w:basedOn w:val="DefaultParagraphFont"/>
    <w:link w:val="Quote"/>
    <w:uiPriority w:val="29"/>
    <w:rsid w:val="00BD4EAE"/>
    <w:rPr>
      <w:i/>
      <w:iCs/>
      <w:color w:val="404040" w:themeColor="text1" w:themeTint="BF"/>
    </w:rPr>
  </w:style>
  <w:style w:type="paragraph" w:styleId="ListParagraph">
    <w:name w:val="List Paragraph"/>
    <w:basedOn w:val="Normal"/>
    <w:uiPriority w:val="34"/>
    <w:qFormat/>
    <w:rsid w:val="00BD4EAE"/>
    <w:pPr>
      <w:ind w:left="720"/>
      <w:contextualSpacing/>
    </w:pPr>
  </w:style>
  <w:style w:type="character" w:styleId="IntenseEmphasis">
    <w:name w:val="Intense Emphasis"/>
    <w:basedOn w:val="DefaultParagraphFont"/>
    <w:uiPriority w:val="21"/>
    <w:qFormat/>
    <w:rsid w:val="00BD4EAE"/>
    <w:rPr>
      <w:i/>
      <w:iCs/>
      <w:color w:val="0F4761" w:themeColor="accent1" w:themeShade="BF"/>
    </w:rPr>
  </w:style>
  <w:style w:type="paragraph" w:styleId="IntenseQuote">
    <w:name w:val="Intense Quote"/>
    <w:basedOn w:val="Normal"/>
    <w:next w:val="Normal"/>
    <w:link w:val="IntenseQuoteChar"/>
    <w:uiPriority w:val="30"/>
    <w:qFormat/>
    <w:rsid w:val="00BD4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EAE"/>
    <w:rPr>
      <w:i/>
      <w:iCs/>
      <w:color w:val="0F4761" w:themeColor="accent1" w:themeShade="BF"/>
    </w:rPr>
  </w:style>
  <w:style w:type="character" w:styleId="IntenseReference">
    <w:name w:val="Intense Reference"/>
    <w:basedOn w:val="DefaultParagraphFont"/>
    <w:uiPriority w:val="32"/>
    <w:qFormat/>
    <w:rsid w:val="00BD4EAE"/>
    <w:rPr>
      <w:b/>
      <w:bCs/>
      <w:smallCaps/>
      <w:color w:val="0F4761" w:themeColor="accent1" w:themeShade="BF"/>
      <w:spacing w:val="5"/>
    </w:rPr>
  </w:style>
  <w:style w:type="character" w:styleId="Hyperlink">
    <w:name w:val="Hyperlink"/>
    <w:basedOn w:val="DefaultParagraphFont"/>
    <w:uiPriority w:val="99"/>
    <w:unhideWhenUsed/>
    <w:rsid w:val="00BD4EAE"/>
    <w:rPr>
      <w:color w:val="467886" w:themeColor="hyperlink"/>
      <w:u w:val="single"/>
    </w:rPr>
  </w:style>
  <w:style w:type="character" w:styleId="UnresolvedMention">
    <w:name w:val="Unresolved Mention"/>
    <w:basedOn w:val="DefaultParagraphFont"/>
    <w:uiPriority w:val="99"/>
    <w:semiHidden/>
    <w:unhideWhenUsed/>
    <w:rsid w:val="00BD4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6125">
      <w:bodyDiv w:val="1"/>
      <w:marLeft w:val="0"/>
      <w:marRight w:val="0"/>
      <w:marTop w:val="0"/>
      <w:marBottom w:val="0"/>
      <w:divBdr>
        <w:top w:val="none" w:sz="0" w:space="0" w:color="auto"/>
        <w:left w:val="none" w:sz="0" w:space="0" w:color="auto"/>
        <w:bottom w:val="none" w:sz="0" w:space="0" w:color="auto"/>
        <w:right w:val="none" w:sz="0" w:space="0" w:color="auto"/>
      </w:divBdr>
    </w:div>
    <w:div w:id="739446944">
      <w:bodyDiv w:val="1"/>
      <w:marLeft w:val="0"/>
      <w:marRight w:val="0"/>
      <w:marTop w:val="0"/>
      <w:marBottom w:val="0"/>
      <w:divBdr>
        <w:top w:val="none" w:sz="0" w:space="0" w:color="auto"/>
        <w:left w:val="none" w:sz="0" w:space="0" w:color="auto"/>
        <w:bottom w:val="none" w:sz="0" w:space="0" w:color="auto"/>
        <w:right w:val="none" w:sz="0" w:space="0" w:color="auto"/>
      </w:divBdr>
    </w:div>
    <w:div w:id="1422526863">
      <w:bodyDiv w:val="1"/>
      <w:marLeft w:val="0"/>
      <w:marRight w:val="0"/>
      <w:marTop w:val="0"/>
      <w:marBottom w:val="0"/>
      <w:divBdr>
        <w:top w:val="none" w:sz="0" w:space="0" w:color="auto"/>
        <w:left w:val="none" w:sz="0" w:space="0" w:color="auto"/>
        <w:bottom w:val="none" w:sz="0" w:space="0" w:color="auto"/>
        <w:right w:val="none" w:sz="0" w:space="0" w:color="auto"/>
      </w:divBdr>
    </w:div>
    <w:div w:id="1744327217">
      <w:bodyDiv w:val="1"/>
      <w:marLeft w:val="0"/>
      <w:marRight w:val="0"/>
      <w:marTop w:val="0"/>
      <w:marBottom w:val="0"/>
      <w:divBdr>
        <w:top w:val="none" w:sz="0" w:space="0" w:color="auto"/>
        <w:left w:val="none" w:sz="0" w:space="0" w:color="auto"/>
        <w:bottom w:val="none" w:sz="0" w:space="0" w:color="auto"/>
        <w:right w:val="none" w:sz="0" w:space="0" w:color="auto"/>
      </w:divBdr>
    </w:div>
    <w:div w:id="1906793771">
      <w:bodyDiv w:val="1"/>
      <w:marLeft w:val="0"/>
      <w:marRight w:val="0"/>
      <w:marTop w:val="0"/>
      <w:marBottom w:val="0"/>
      <w:divBdr>
        <w:top w:val="none" w:sz="0" w:space="0" w:color="auto"/>
        <w:left w:val="none" w:sz="0" w:space="0" w:color="auto"/>
        <w:bottom w:val="none" w:sz="0" w:space="0" w:color="auto"/>
        <w:right w:val="none" w:sz="0" w:space="0" w:color="auto"/>
      </w:divBdr>
    </w:div>
    <w:div w:id="208152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merfinance.gov/rules-policy/regulations/1033/121/" TargetMode="External"/><Relationship Id="rId13" Type="http://schemas.openxmlformats.org/officeDocument/2006/relationships/hyperlink" Target="https://www.consumerfinance.gov/rules-policy/regulations/1033/121/" TargetMode="External"/><Relationship Id="rId18" Type="http://schemas.openxmlformats.org/officeDocument/2006/relationships/hyperlink" Target="https://www.ecb.europa.eu/euro/digital_euro/progress/html/ecb.deprp202510.en.html" TargetMode="External"/><Relationship Id="rId3" Type="http://schemas.openxmlformats.org/officeDocument/2006/relationships/settings" Target="settings.xml"/><Relationship Id="rId21" Type="http://schemas.openxmlformats.org/officeDocument/2006/relationships/hyperlink" Target="https://en.wikipedia.org/wiki/EU_Digital_Identity_Wallet" TargetMode="External"/><Relationship Id="rId7" Type="http://schemas.openxmlformats.org/officeDocument/2006/relationships/hyperlink" Target="https://www.consumerfinance.gov/rules-policy/regulations/1033/121/" TargetMode="External"/><Relationship Id="rId12" Type="http://schemas.openxmlformats.org/officeDocument/2006/relationships/hyperlink" Target="https://www.fsb.org/2025/10/g20-roadmap-for-cross-border-payments-consolidated-progress-report-for-2025/" TargetMode="External"/><Relationship Id="rId17" Type="http://schemas.openxmlformats.org/officeDocument/2006/relationships/hyperlink" Target="https://www.ecb.europa.eu/euro/digital_euro/progress/html/ecb.deprp202510.en.html" TargetMode="External"/><Relationship Id="rId2" Type="http://schemas.openxmlformats.org/officeDocument/2006/relationships/styles" Target="styles.xml"/><Relationship Id="rId16" Type="http://schemas.openxmlformats.org/officeDocument/2006/relationships/hyperlink" Target="https://www.congress.gov/bill/119th-congress/senate-bill/1582" TargetMode="External"/><Relationship Id="rId20" Type="http://schemas.openxmlformats.org/officeDocument/2006/relationships/hyperlink" Target="https://en.wikipedia.org/wiki/EU_Digital_Identity_Wallet" TargetMode="External"/><Relationship Id="rId1" Type="http://schemas.openxmlformats.org/officeDocument/2006/relationships/numbering" Target="numbering.xml"/><Relationship Id="rId6" Type="http://schemas.openxmlformats.org/officeDocument/2006/relationships/hyperlink" Target="https://www.europeanpaymentscouncil.eu/what-we-do/sepa-instant-credit-transfer" TargetMode="External"/><Relationship Id="rId11" Type="http://schemas.openxmlformats.org/officeDocument/2006/relationships/hyperlink" Target="https://www.swift.com/news-events/press-releases/swift-set-new-rules-retail-cross-border-payments-its-network-bold-move-further-ramp-speed-and-predictability" TargetMode="External"/><Relationship Id="rId24" Type="http://schemas.openxmlformats.org/officeDocument/2006/relationships/theme" Target="theme/theme1.xml"/><Relationship Id="rId5" Type="http://schemas.openxmlformats.org/officeDocument/2006/relationships/hyperlink" Target="https://www.europeanpaymentscouncil.eu/what-we-do/sepa-instant-credit-transfer" TargetMode="External"/><Relationship Id="rId15" Type="http://schemas.openxmlformats.org/officeDocument/2006/relationships/hyperlink" Target="https://www.consumerfinance.gov/rules-policy/regulations/1033/121/" TargetMode="External"/><Relationship Id="rId23" Type="http://schemas.openxmlformats.org/officeDocument/2006/relationships/fontTable" Target="fontTable.xml"/><Relationship Id="rId10" Type="http://schemas.openxmlformats.org/officeDocument/2006/relationships/hyperlink" Target="https://www.fatf-gafi.org/en/publications/Fatfrecommendations/update-Recommendation-16-payment-transparency-june-2025.html" TargetMode="External"/><Relationship Id="rId19" Type="http://schemas.openxmlformats.org/officeDocument/2006/relationships/hyperlink" Target="https://en.wikipedia.org/wiki/EU_Digital_Identity_Wallet" TargetMode="External"/><Relationship Id="rId4" Type="http://schemas.openxmlformats.org/officeDocument/2006/relationships/webSettings" Target="webSettings.xml"/><Relationship Id="rId9" Type="http://schemas.openxmlformats.org/officeDocument/2006/relationships/hyperlink" Target="https://www.consumerfinance.gov/rules-policy/regulations/1033/121/" TargetMode="External"/><Relationship Id="rId14" Type="http://schemas.openxmlformats.org/officeDocument/2006/relationships/hyperlink" Target="https://www.consumerfinance.gov/rules-policy/regulations/1033/121/" TargetMode="External"/><Relationship Id="rId22" Type="http://schemas.openxmlformats.org/officeDocument/2006/relationships/hyperlink" Target="https://www.ecb.europa.eu/euro/digital_euro/progress/html/ecb.deprp202510.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1496</Words>
  <Characters>8532</Characters>
  <Application>Microsoft Office Word</Application>
  <DocSecurity>0</DocSecurity>
  <Lines>71</Lines>
  <Paragraphs>20</Paragraphs>
  <ScaleCrop>false</ScaleCrop>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5</cp:revision>
  <dcterms:created xsi:type="dcterms:W3CDTF">2025-11-22T04:46:00Z</dcterms:created>
  <dcterms:modified xsi:type="dcterms:W3CDTF">2025-11-22T05:20:00Z</dcterms:modified>
</cp:coreProperties>
</file>