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F871" w14:textId="3C54EA07" w:rsidR="007539E3" w:rsidRDefault="007539E3" w:rsidP="00BD4EAE">
      <w:pPr>
        <w:rPr>
          <w:b/>
          <w:bCs/>
        </w:rPr>
      </w:pPr>
      <w:r>
        <w:rPr>
          <w:b/>
          <w:bCs/>
        </w:rPr>
        <w:t>Timeline Citations:</w:t>
      </w:r>
    </w:p>
    <w:p w14:paraId="36EEF970" w14:textId="0E22EBE2" w:rsidR="00BD4EAE" w:rsidRPr="00BD4EAE" w:rsidRDefault="00BD4EAE" w:rsidP="00BD4EAE">
      <w:pPr>
        <w:rPr>
          <w:b/>
          <w:bCs/>
        </w:rPr>
      </w:pPr>
      <w:r w:rsidRPr="00BD4EAE">
        <w:rPr>
          <w:b/>
          <w:bCs/>
        </w:rPr>
        <w:t xml:space="preserve">Regulatory &amp; Infrastructure Backbone </w:t>
      </w:r>
    </w:p>
    <w:p w14:paraId="08E3FF07" w14:textId="77777777" w:rsidR="00BD4EAE" w:rsidRPr="00BD4EAE" w:rsidRDefault="00BD4EAE" w:rsidP="00BD4EAE">
      <w:pPr>
        <w:numPr>
          <w:ilvl w:val="0"/>
          <w:numId w:val="1"/>
        </w:numPr>
      </w:pPr>
      <w:r w:rsidRPr="00BD4EAE">
        <w:rPr>
          <w:b/>
          <w:bCs/>
        </w:rPr>
        <w:t>09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Jan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2025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EU Instant Payments Regulation starts:</w:t>
      </w:r>
      <w:r w:rsidRPr="00BD4EAE">
        <w:t xml:space="preserve"> Euro</w:t>
      </w:r>
      <w:r w:rsidRPr="00BD4EAE">
        <w:noBreakHyphen/>
        <w:t>area banks must offer instant credit transfers under 10 seconds</w:t>
      </w:r>
      <w:hyperlink r:id="rId5" w:anchor=":~:text=Regulation%20,and%209%20October%202025%20respectively" w:tgtFrame="_blank" w:history="1">
        <w:r w:rsidRPr="00BD4EAE">
          <w:rPr>
            <w:rStyle w:val="Hyperlink"/>
          </w:rPr>
          <w:t>europeanpaymentscouncil.eu</w:t>
        </w:r>
      </w:hyperlink>
      <w:r w:rsidRPr="00BD4EAE">
        <w:t>.</w:t>
      </w:r>
    </w:p>
    <w:p w14:paraId="2DBB7201" w14:textId="77777777" w:rsidR="00BD4EAE" w:rsidRPr="00BD4EAE" w:rsidRDefault="00BD4EAE" w:rsidP="00BD4EAE">
      <w:pPr>
        <w:numPr>
          <w:ilvl w:val="0"/>
          <w:numId w:val="1"/>
        </w:numPr>
      </w:pPr>
      <w:r w:rsidRPr="00BD4EAE">
        <w:rPr>
          <w:b/>
          <w:bCs/>
        </w:rPr>
        <w:t>09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Oct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2025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IPR fully implemented:</w:t>
      </w:r>
      <w:r w:rsidRPr="00BD4EAE">
        <w:t xml:space="preserve"> Obligations extend to payment institutions and non</w:t>
      </w:r>
      <w:r w:rsidRPr="00BD4EAE">
        <w:noBreakHyphen/>
        <w:t>euro PSPs</w:t>
      </w:r>
      <w:hyperlink r:id="rId6" w:anchor=":~:text=Regulation%20,and%209%20October%202025%20respectively" w:tgtFrame="_blank" w:history="1">
        <w:r w:rsidRPr="00BD4EAE">
          <w:rPr>
            <w:rStyle w:val="Hyperlink"/>
          </w:rPr>
          <w:t>europeanpaymentscouncil.eu</w:t>
        </w:r>
      </w:hyperlink>
      <w:r w:rsidRPr="00BD4EAE">
        <w:t>.</w:t>
      </w:r>
    </w:p>
    <w:p w14:paraId="0B116EA0" w14:textId="77777777" w:rsidR="00BD4EAE" w:rsidRPr="00BD4EAE" w:rsidRDefault="00BD4EAE" w:rsidP="00BD4EAE">
      <w:pPr>
        <w:numPr>
          <w:ilvl w:val="0"/>
          <w:numId w:val="1"/>
        </w:numPr>
      </w:pPr>
      <w:r w:rsidRPr="00BD4EAE">
        <w:rPr>
          <w:b/>
          <w:bCs/>
        </w:rPr>
        <w:t>Nov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2025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ISO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20022 migration deadline:</w:t>
      </w:r>
      <w:r w:rsidRPr="00BD4EAE">
        <w:t xml:space="preserve"> Cross</w:t>
      </w:r>
      <w:r w:rsidRPr="00BD4EAE">
        <w:noBreakHyphen/>
        <w:t>border and high</w:t>
      </w:r>
      <w:r w:rsidRPr="00BD4EAE">
        <w:noBreakHyphen/>
        <w:t>value payment systems must switch to ISO</w:t>
      </w:r>
      <w:r w:rsidRPr="00BD4EAE">
        <w:rPr>
          <w:rFonts w:ascii="Arial" w:hAnsi="Arial" w:cs="Arial"/>
        </w:rPr>
        <w:t> </w:t>
      </w:r>
      <w:r w:rsidRPr="00BD4EAE">
        <w:t>20022.</w:t>
      </w:r>
    </w:p>
    <w:p w14:paraId="36CDB6EF" w14:textId="77777777" w:rsidR="00BD4EAE" w:rsidRPr="00BD4EAE" w:rsidRDefault="00BD4EAE" w:rsidP="00BD4EAE">
      <w:pPr>
        <w:numPr>
          <w:ilvl w:val="0"/>
          <w:numId w:val="1"/>
        </w:numPr>
      </w:pPr>
      <w:r w:rsidRPr="00BD4EAE">
        <w:rPr>
          <w:b/>
          <w:bCs/>
        </w:rPr>
        <w:t>01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Apr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2026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Section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1033 Tier</w:t>
      </w:r>
      <w:r w:rsidRPr="00BD4EAE">
        <w:rPr>
          <w:rFonts w:ascii="Aptos" w:hAnsi="Aptos" w:cs="Aptos"/>
          <w:b/>
          <w:bCs/>
        </w:rPr>
        <w:t> </w:t>
      </w:r>
      <w:r w:rsidRPr="00BD4EAE">
        <w:rPr>
          <w:b/>
          <w:bCs/>
        </w:rPr>
        <w:t>1 compliance:</w:t>
      </w:r>
      <w:r w:rsidRPr="00BD4EAE">
        <w:t xml:space="preserve"> Large U.S. banks (≥$250</w:t>
      </w:r>
      <w:r w:rsidRPr="00BD4EAE">
        <w:rPr>
          <w:rFonts w:ascii="Arial" w:hAnsi="Arial" w:cs="Arial"/>
        </w:rPr>
        <w:t> </w:t>
      </w:r>
      <w:r w:rsidRPr="00BD4EAE">
        <w:t>bn assets) must enable consumer</w:t>
      </w:r>
      <w:r w:rsidRPr="00BD4EAE">
        <w:noBreakHyphen/>
        <w:t>data sharing</w:t>
      </w:r>
      <w:hyperlink r:id="rId7" w:anchor=":~:text=%28b%29%20Initial%20compliance%20dates,of%20this%20part%20beginning%20on" w:tgtFrame="_blank" w:history="1">
        <w:r w:rsidRPr="00BD4EAE">
          <w:rPr>
            <w:rStyle w:val="Hyperlink"/>
          </w:rPr>
          <w:t>consumerfinance.gov</w:t>
        </w:r>
      </w:hyperlink>
      <w:r w:rsidRPr="00BD4EAE">
        <w:t>.</w:t>
      </w:r>
    </w:p>
    <w:p w14:paraId="0CEFBB41" w14:textId="77777777" w:rsidR="00BD4EAE" w:rsidRPr="00BD4EAE" w:rsidRDefault="00BD4EAE" w:rsidP="00BD4EAE">
      <w:pPr>
        <w:numPr>
          <w:ilvl w:val="0"/>
          <w:numId w:val="1"/>
        </w:numPr>
      </w:pPr>
      <w:r w:rsidRPr="00BD4EAE">
        <w:rPr>
          <w:b/>
          <w:bCs/>
        </w:rPr>
        <w:t>01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Apr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2027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Section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1033 Tier</w:t>
      </w:r>
      <w:r w:rsidRPr="00BD4EAE">
        <w:rPr>
          <w:rFonts w:ascii="Aptos" w:hAnsi="Aptos" w:cs="Aptos"/>
          <w:b/>
          <w:bCs/>
        </w:rPr>
        <w:t> </w:t>
      </w:r>
      <w:r w:rsidRPr="00BD4EAE">
        <w:rPr>
          <w:b/>
          <w:bCs/>
        </w:rPr>
        <w:t>2 compliance:</w:t>
      </w:r>
      <w:r w:rsidRPr="00BD4EAE">
        <w:t xml:space="preserve"> Mid</w:t>
      </w:r>
      <w:r w:rsidRPr="00BD4EAE">
        <w:noBreakHyphen/>
        <w:t>sized institutions (≥$10</w:t>
      </w:r>
      <w:r w:rsidRPr="00BD4EAE">
        <w:rPr>
          <w:rFonts w:ascii="Arial" w:hAnsi="Arial" w:cs="Arial"/>
        </w:rPr>
        <w:t> </w:t>
      </w:r>
      <w:r w:rsidRPr="00BD4EAE">
        <w:t>bn) come under open</w:t>
      </w:r>
      <w:r w:rsidRPr="00BD4EAE">
        <w:noBreakHyphen/>
        <w:t>banking rules</w:t>
      </w:r>
      <w:hyperlink r:id="rId8" w:anchor=":~:text=%28b%29%20Initial%20compliance%20dates,of%20this%20part%20beginning%20on" w:tgtFrame="_blank" w:history="1">
        <w:r w:rsidRPr="00BD4EAE">
          <w:rPr>
            <w:rStyle w:val="Hyperlink"/>
          </w:rPr>
          <w:t>consumerfinance.gov</w:t>
        </w:r>
      </w:hyperlink>
      <w:r w:rsidRPr="00BD4EAE">
        <w:t>.</w:t>
      </w:r>
    </w:p>
    <w:p w14:paraId="63EF6A94" w14:textId="77777777" w:rsidR="00BD4EAE" w:rsidRPr="00BD4EAE" w:rsidRDefault="00BD4EAE" w:rsidP="00BD4EAE">
      <w:pPr>
        <w:numPr>
          <w:ilvl w:val="0"/>
          <w:numId w:val="1"/>
        </w:numPr>
      </w:pPr>
      <w:r w:rsidRPr="00BD4EAE">
        <w:rPr>
          <w:b/>
          <w:bCs/>
        </w:rPr>
        <w:t>01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Apr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2028, 2029 &amp; 2030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Additional Section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1033 waves:</w:t>
      </w:r>
      <w:r w:rsidRPr="00BD4EAE">
        <w:t xml:space="preserve"> Smaller banks (≥$3</w:t>
      </w:r>
      <w:r w:rsidRPr="00BD4EAE">
        <w:rPr>
          <w:rFonts w:ascii="Arial" w:hAnsi="Arial" w:cs="Arial"/>
        </w:rPr>
        <w:t> </w:t>
      </w:r>
      <w:r w:rsidRPr="00BD4EAE">
        <w:t>bn in</w:t>
      </w:r>
      <w:r w:rsidRPr="00BD4EAE">
        <w:rPr>
          <w:rFonts w:ascii="Aptos" w:hAnsi="Aptos" w:cs="Aptos"/>
        </w:rPr>
        <w:t> </w:t>
      </w:r>
      <w:r w:rsidRPr="00BD4EAE">
        <w:t xml:space="preserve">2028, </w:t>
      </w:r>
      <w:r w:rsidRPr="00BD4EAE">
        <w:rPr>
          <w:rFonts w:ascii="Aptos" w:hAnsi="Aptos" w:cs="Aptos"/>
        </w:rPr>
        <w:t>≥</w:t>
      </w:r>
      <w:r w:rsidRPr="00BD4EAE">
        <w:t>$1.5</w:t>
      </w:r>
      <w:r w:rsidRPr="00BD4EAE">
        <w:rPr>
          <w:rFonts w:ascii="Arial" w:hAnsi="Arial" w:cs="Arial"/>
        </w:rPr>
        <w:t> </w:t>
      </w:r>
      <w:r w:rsidRPr="00BD4EAE">
        <w:t>bn in</w:t>
      </w:r>
      <w:r w:rsidRPr="00BD4EAE">
        <w:rPr>
          <w:rFonts w:ascii="Aptos" w:hAnsi="Aptos" w:cs="Aptos"/>
        </w:rPr>
        <w:t> </w:t>
      </w:r>
      <w:r w:rsidRPr="00BD4EAE">
        <w:t xml:space="preserve">2029, </w:t>
      </w:r>
      <w:r w:rsidRPr="00BD4EAE">
        <w:rPr>
          <w:rFonts w:ascii="Aptos" w:hAnsi="Aptos" w:cs="Aptos"/>
        </w:rPr>
        <w:t>≥</w:t>
      </w:r>
      <w:r w:rsidRPr="00BD4EAE">
        <w:t>$850</w:t>
      </w:r>
      <w:r w:rsidRPr="00BD4EAE">
        <w:rPr>
          <w:rFonts w:ascii="Arial" w:hAnsi="Arial" w:cs="Arial"/>
        </w:rPr>
        <w:t> </w:t>
      </w:r>
      <w:r w:rsidRPr="00BD4EAE">
        <w:t>m in</w:t>
      </w:r>
      <w:r w:rsidRPr="00BD4EAE">
        <w:rPr>
          <w:rFonts w:ascii="Aptos" w:hAnsi="Aptos" w:cs="Aptos"/>
        </w:rPr>
        <w:t> </w:t>
      </w:r>
      <w:r w:rsidRPr="00BD4EAE">
        <w:t>2030) must comply</w:t>
      </w:r>
      <w:hyperlink r:id="rId9" w:anchor=":~:text=%28b%29%20Initial%20compliance%20dates,of%20this%20part%20beginning%20on" w:tgtFrame="_blank" w:history="1">
        <w:r w:rsidRPr="00BD4EAE">
          <w:rPr>
            <w:rStyle w:val="Hyperlink"/>
          </w:rPr>
          <w:t>consumerfinance.gov</w:t>
        </w:r>
      </w:hyperlink>
      <w:r w:rsidRPr="00BD4EAE">
        <w:t>.</w:t>
      </w:r>
    </w:p>
    <w:p w14:paraId="72D891EB" w14:textId="77777777" w:rsidR="00BD4EAE" w:rsidRPr="00BD4EAE" w:rsidRDefault="00BD4EAE" w:rsidP="00BD4EAE">
      <w:pPr>
        <w:numPr>
          <w:ilvl w:val="0"/>
          <w:numId w:val="1"/>
        </w:numPr>
      </w:pPr>
      <w:r w:rsidRPr="00BD4EAE">
        <w:rPr>
          <w:b/>
          <w:bCs/>
        </w:rPr>
        <w:t>2026–2027 (target) – PSD3 &amp; Payment Services Regulation adoption:</w:t>
      </w:r>
      <w:r w:rsidRPr="00BD4EAE">
        <w:t xml:space="preserve"> EU legislation is expected to update payment</w:t>
      </w:r>
      <w:r w:rsidRPr="00BD4EAE">
        <w:noBreakHyphen/>
        <w:t>services licensing and data</w:t>
      </w:r>
      <w:r w:rsidRPr="00BD4EAE">
        <w:noBreakHyphen/>
        <w:t>access rules (no firm date yet).</w:t>
      </w:r>
    </w:p>
    <w:p w14:paraId="7962E29F" w14:textId="5E1C6FC7" w:rsidR="00BD4EAE" w:rsidRPr="00BD4EAE" w:rsidRDefault="00BD4EAE" w:rsidP="00BD4EAE">
      <w:pPr>
        <w:rPr>
          <w:b/>
          <w:bCs/>
        </w:rPr>
      </w:pPr>
      <w:r w:rsidRPr="00BD4EAE">
        <w:rPr>
          <w:b/>
          <w:bCs/>
        </w:rPr>
        <w:t>Cross</w:t>
      </w:r>
      <w:r w:rsidRPr="00BD4EAE">
        <w:rPr>
          <w:b/>
          <w:bCs/>
        </w:rPr>
        <w:noBreakHyphen/>
        <w:t xml:space="preserve">Border Payments </w:t>
      </w:r>
    </w:p>
    <w:p w14:paraId="619CF083" w14:textId="77777777" w:rsidR="00BD4EAE" w:rsidRPr="00BD4EAE" w:rsidRDefault="00BD4EAE" w:rsidP="00BD4EAE">
      <w:pPr>
        <w:numPr>
          <w:ilvl w:val="0"/>
          <w:numId w:val="2"/>
        </w:numPr>
      </w:pPr>
      <w:r w:rsidRPr="00BD4EAE">
        <w:rPr>
          <w:b/>
          <w:bCs/>
        </w:rPr>
        <w:t>18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Jun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2025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FATF Recommendation</w:t>
      </w:r>
      <w:r w:rsidRPr="00BD4EAE">
        <w:rPr>
          <w:rFonts w:ascii="Aptos" w:hAnsi="Aptos" w:cs="Aptos"/>
          <w:b/>
          <w:bCs/>
        </w:rPr>
        <w:t> </w:t>
      </w:r>
      <w:r w:rsidRPr="00BD4EAE">
        <w:rPr>
          <w:b/>
          <w:bCs/>
        </w:rPr>
        <w:t>16 update:</w:t>
      </w:r>
      <w:r w:rsidRPr="00BD4EAE">
        <w:t xml:space="preserve"> New “Travel Rule” guidance mandates standardized payer/payee data on cross</w:t>
      </w:r>
      <w:r w:rsidRPr="00BD4EAE">
        <w:noBreakHyphen/>
        <w:t>border payments</w:t>
      </w:r>
      <w:hyperlink r:id="rId10" w:anchor=":~:text=18%20June%202025" w:tgtFrame="_blank" w:history="1">
        <w:r w:rsidRPr="00BD4EAE">
          <w:rPr>
            <w:rStyle w:val="Hyperlink"/>
          </w:rPr>
          <w:t>fatf-gafi.org</w:t>
        </w:r>
      </w:hyperlink>
      <w:r w:rsidRPr="00BD4EAE">
        <w:t>.</w:t>
      </w:r>
    </w:p>
    <w:p w14:paraId="5CC3AA14" w14:textId="77777777" w:rsidR="00BD4EAE" w:rsidRPr="00BD4EAE" w:rsidRDefault="00BD4EAE" w:rsidP="00BD4EAE">
      <w:pPr>
        <w:numPr>
          <w:ilvl w:val="0"/>
          <w:numId w:val="2"/>
        </w:numPr>
      </w:pPr>
      <w:r w:rsidRPr="00BD4EAE">
        <w:rPr>
          <w:b/>
          <w:bCs/>
        </w:rPr>
        <w:t>25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Sep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2025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SWIFT retail</w:t>
      </w:r>
      <w:r w:rsidRPr="00BD4EAE">
        <w:rPr>
          <w:b/>
          <w:bCs/>
        </w:rPr>
        <w:noBreakHyphen/>
        <w:t>network rule change:</w:t>
      </w:r>
      <w:r w:rsidRPr="00BD4EAE">
        <w:t xml:space="preserve"> Rules ensure full</w:t>
      </w:r>
      <w:r w:rsidRPr="00BD4EAE">
        <w:noBreakHyphen/>
        <w:t>value transfers, transparent fees and instant settlement; over 30 banks commit to early adoption</w:t>
      </w:r>
      <w:hyperlink r:id="rId11" w:anchor=":~:text=25%20September%202025%20,min%20read" w:tgtFrame="_blank" w:history="1">
        <w:r w:rsidRPr="00BD4EAE">
          <w:rPr>
            <w:rStyle w:val="Hyperlink"/>
          </w:rPr>
          <w:t>swift.com</w:t>
        </w:r>
      </w:hyperlink>
      <w:r w:rsidRPr="00BD4EAE">
        <w:t>.</w:t>
      </w:r>
    </w:p>
    <w:p w14:paraId="5960AEF6" w14:textId="77777777" w:rsidR="00BD4EAE" w:rsidRPr="00BD4EAE" w:rsidRDefault="00BD4EAE" w:rsidP="00BD4EAE">
      <w:pPr>
        <w:numPr>
          <w:ilvl w:val="0"/>
          <w:numId w:val="2"/>
        </w:numPr>
      </w:pPr>
      <w:r w:rsidRPr="00BD4EAE">
        <w:rPr>
          <w:b/>
          <w:bCs/>
        </w:rPr>
        <w:t>09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Oct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2025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FSB progress report:</w:t>
      </w:r>
      <w:r w:rsidRPr="00BD4EAE">
        <w:t xml:space="preserve"> The FSB notes most policy work is complete but warns that the 2027 G20 targets are unlikely to be met</w:t>
      </w:r>
      <w:hyperlink r:id="rId12" w:anchor=":~:text=G20%20Roadmap%20for%20Cross,Consolidated%20progress%20report%20for%202025" w:tgtFrame="_blank" w:history="1">
        <w:r w:rsidRPr="00BD4EAE">
          <w:rPr>
            <w:rStyle w:val="Hyperlink"/>
          </w:rPr>
          <w:t>fsb.org</w:t>
        </w:r>
      </w:hyperlink>
      <w:r w:rsidRPr="00BD4EAE">
        <w:t>.</w:t>
      </w:r>
    </w:p>
    <w:p w14:paraId="6D24EA35" w14:textId="77777777" w:rsidR="00BD4EAE" w:rsidRPr="00BD4EAE" w:rsidRDefault="00BD4EAE" w:rsidP="00BD4EAE">
      <w:pPr>
        <w:numPr>
          <w:ilvl w:val="0"/>
          <w:numId w:val="2"/>
        </w:numPr>
      </w:pPr>
      <w:r w:rsidRPr="00BD4EAE">
        <w:rPr>
          <w:b/>
          <w:bCs/>
        </w:rPr>
        <w:t>End</w:t>
      </w:r>
      <w:r w:rsidRPr="00BD4EAE">
        <w:rPr>
          <w:b/>
          <w:bCs/>
        </w:rPr>
        <w:noBreakHyphen/>
        <w:t>2027 – G20 quantitative targets:</w:t>
      </w:r>
      <w:r w:rsidRPr="00BD4EAE">
        <w:t xml:space="preserve"> Goals include ≤1 % average cost and 75 % of cross</w:t>
      </w:r>
      <w:r w:rsidRPr="00BD4EAE">
        <w:noBreakHyphen/>
        <w:t>border payments credited within one hour.</w:t>
      </w:r>
    </w:p>
    <w:p w14:paraId="3C39E119" w14:textId="77777777" w:rsidR="00BD4EAE" w:rsidRPr="00BD4EAE" w:rsidRDefault="00BD4EAE" w:rsidP="00BD4EAE">
      <w:pPr>
        <w:numPr>
          <w:ilvl w:val="0"/>
          <w:numId w:val="2"/>
        </w:numPr>
      </w:pPr>
      <w:r w:rsidRPr="00BD4EAE">
        <w:rPr>
          <w:b/>
          <w:bCs/>
        </w:rPr>
        <w:t>2030 – Extended G20 targets:</w:t>
      </w:r>
      <w:r w:rsidRPr="00BD4EAE">
        <w:t xml:space="preserve"> Goals tighten to ≤3 % global average cost and 100 % of payments credited within one hour.</w:t>
      </w:r>
    </w:p>
    <w:p w14:paraId="137D6103" w14:textId="3E968902" w:rsidR="00BD4EAE" w:rsidRPr="00BD4EAE" w:rsidRDefault="00BD4EAE" w:rsidP="00BD4EAE">
      <w:pPr>
        <w:rPr>
          <w:b/>
          <w:bCs/>
        </w:rPr>
      </w:pPr>
      <w:r w:rsidRPr="00BD4EAE">
        <w:rPr>
          <w:b/>
          <w:bCs/>
        </w:rPr>
        <w:t>Embedded Finance</w:t>
      </w:r>
    </w:p>
    <w:p w14:paraId="4BFF7D44" w14:textId="77777777" w:rsidR="00BD4EAE" w:rsidRPr="00BD4EAE" w:rsidRDefault="00BD4EAE" w:rsidP="00BD4EAE">
      <w:pPr>
        <w:numPr>
          <w:ilvl w:val="0"/>
          <w:numId w:val="3"/>
        </w:numPr>
      </w:pPr>
      <w:r w:rsidRPr="00BD4EAE">
        <w:rPr>
          <w:b/>
          <w:bCs/>
        </w:rPr>
        <w:lastRenderedPageBreak/>
        <w:t>01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Apr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2026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Section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1033 Tier</w:t>
      </w:r>
      <w:r w:rsidRPr="00BD4EAE">
        <w:rPr>
          <w:rFonts w:ascii="Aptos" w:hAnsi="Aptos" w:cs="Aptos"/>
          <w:b/>
          <w:bCs/>
        </w:rPr>
        <w:t> </w:t>
      </w:r>
      <w:r w:rsidRPr="00BD4EAE">
        <w:rPr>
          <w:b/>
          <w:bCs/>
        </w:rPr>
        <w:t>1 open</w:t>
      </w:r>
      <w:r w:rsidRPr="00BD4EAE">
        <w:rPr>
          <w:b/>
          <w:bCs/>
        </w:rPr>
        <w:noBreakHyphen/>
        <w:t>banking compliance:</w:t>
      </w:r>
      <w:r w:rsidRPr="00BD4EAE">
        <w:t xml:space="preserve"> Large providers must share consumer</w:t>
      </w:r>
      <w:r w:rsidRPr="00BD4EAE">
        <w:noBreakHyphen/>
        <w:t>permissioned data, enabling embedded</w:t>
      </w:r>
      <w:r w:rsidRPr="00BD4EAE">
        <w:noBreakHyphen/>
        <w:t>finance ecosystems</w:t>
      </w:r>
      <w:hyperlink r:id="rId13" w:anchor=":~:text=%28b%29%20Initial%20compliance%20dates,of%20this%20part%20beginning%20on" w:tgtFrame="_blank" w:history="1">
        <w:r w:rsidRPr="00BD4EAE">
          <w:rPr>
            <w:rStyle w:val="Hyperlink"/>
          </w:rPr>
          <w:t>consumerfinance.gov</w:t>
        </w:r>
      </w:hyperlink>
      <w:r w:rsidRPr="00BD4EAE">
        <w:t>.</w:t>
      </w:r>
    </w:p>
    <w:p w14:paraId="237576FE" w14:textId="77777777" w:rsidR="00BD4EAE" w:rsidRPr="00BD4EAE" w:rsidRDefault="00BD4EAE" w:rsidP="00BD4EAE">
      <w:pPr>
        <w:numPr>
          <w:ilvl w:val="0"/>
          <w:numId w:val="3"/>
        </w:numPr>
      </w:pPr>
      <w:r w:rsidRPr="00BD4EAE">
        <w:rPr>
          <w:b/>
          <w:bCs/>
        </w:rPr>
        <w:t>01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Apr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2027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Section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1033 Tier</w:t>
      </w:r>
      <w:r w:rsidRPr="00BD4EAE">
        <w:rPr>
          <w:rFonts w:ascii="Aptos" w:hAnsi="Aptos" w:cs="Aptos"/>
          <w:b/>
          <w:bCs/>
        </w:rPr>
        <w:t> </w:t>
      </w:r>
      <w:r w:rsidRPr="00BD4EAE">
        <w:rPr>
          <w:b/>
          <w:bCs/>
        </w:rPr>
        <w:t>2 compliance:</w:t>
      </w:r>
      <w:r w:rsidRPr="00BD4EAE">
        <w:t xml:space="preserve"> Mid</w:t>
      </w:r>
      <w:r w:rsidRPr="00BD4EAE">
        <w:noBreakHyphen/>
        <w:t>sized institutions join the open</w:t>
      </w:r>
      <w:r w:rsidRPr="00BD4EAE">
        <w:noBreakHyphen/>
        <w:t>banking framework</w:t>
      </w:r>
      <w:hyperlink r:id="rId14" w:anchor=":~:text=%28b%29%20Initial%20compliance%20dates,of%20this%20part%20beginning%20on" w:tgtFrame="_blank" w:history="1">
        <w:r w:rsidRPr="00BD4EAE">
          <w:rPr>
            <w:rStyle w:val="Hyperlink"/>
          </w:rPr>
          <w:t>consumerfinance.gov</w:t>
        </w:r>
      </w:hyperlink>
      <w:r w:rsidRPr="00BD4EAE">
        <w:t>.</w:t>
      </w:r>
    </w:p>
    <w:p w14:paraId="6C62A737" w14:textId="77777777" w:rsidR="00BD4EAE" w:rsidRPr="00BD4EAE" w:rsidRDefault="00BD4EAE" w:rsidP="00BD4EAE">
      <w:pPr>
        <w:numPr>
          <w:ilvl w:val="0"/>
          <w:numId w:val="3"/>
        </w:numPr>
      </w:pPr>
      <w:r w:rsidRPr="00BD4EAE">
        <w:rPr>
          <w:b/>
          <w:bCs/>
        </w:rPr>
        <w:t>01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Apr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2028, 2029 &amp; 2030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Subsequent compliance waves:</w:t>
      </w:r>
      <w:r w:rsidRPr="00BD4EAE">
        <w:t xml:space="preserve"> Smaller banks enter the regime, expanding embedded</w:t>
      </w:r>
      <w:r w:rsidRPr="00BD4EAE">
        <w:noBreakHyphen/>
        <w:t>finance coverage</w:t>
      </w:r>
      <w:hyperlink r:id="rId15" w:anchor=":~:text=%28b%29%20Initial%20compliance%20dates,of%20this%20part%20beginning%20on" w:tgtFrame="_blank" w:history="1">
        <w:r w:rsidRPr="00BD4EAE">
          <w:rPr>
            <w:rStyle w:val="Hyperlink"/>
          </w:rPr>
          <w:t>consumerfinance.gov</w:t>
        </w:r>
      </w:hyperlink>
      <w:r w:rsidRPr="00BD4EAE">
        <w:t>.</w:t>
      </w:r>
    </w:p>
    <w:p w14:paraId="1FB5EAFC" w14:textId="77777777" w:rsidR="00BD4EAE" w:rsidRPr="00BD4EAE" w:rsidRDefault="00BD4EAE" w:rsidP="00BD4EAE">
      <w:pPr>
        <w:numPr>
          <w:ilvl w:val="0"/>
          <w:numId w:val="3"/>
        </w:numPr>
      </w:pPr>
      <w:r w:rsidRPr="00BD4EAE">
        <w:rPr>
          <w:b/>
          <w:bCs/>
        </w:rPr>
        <w:t>2026–2027 (expected) – PSD3/Payment Services Regulation adoption:</w:t>
      </w:r>
      <w:r w:rsidRPr="00BD4EAE">
        <w:t xml:space="preserve"> Upcoming EU legislation should modernize payment</w:t>
      </w:r>
      <w:r w:rsidRPr="00BD4EAE">
        <w:noBreakHyphen/>
        <w:t>services licensing and data sharing, creating new opportunities for embedded</w:t>
      </w:r>
      <w:r w:rsidRPr="00BD4EAE">
        <w:noBreakHyphen/>
        <w:t>finance providers.</w:t>
      </w:r>
    </w:p>
    <w:p w14:paraId="21047EB8" w14:textId="5F70E31C" w:rsidR="00BD4EAE" w:rsidRPr="00BD4EAE" w:rsidRDefault="00BD4EAE" w:rsidP="00BD4EAE">
      <w:pPr>
        <w:rPr>
          <w:b/>
          <w:bCs/>
        </w:rPr>
      </w:pPr>
      <w:r w:rsidRPr="00BD4EAE">
        <w:rPr>
          <w:b/>
          <w:bCs/>
        </w:rPr>
        <w:t xml:space="preserve">Digital Wallets &amp; Assets </w:t>
      </w:r>
    </w:p>
    <w:p w14:paraId="447E2306" w14:textId="77777777" w:rsidR="00BD4EAE" w:rsidRPr="00BD4EAE" w:rsidRDefault="00BD4EAE" w:rsidP="00BD4EAE">
      <w:pPr>
        <w:numPr>
          <w:ilvl w:val="0"/>
          <w:numId w:val="4"/>
        </w:numPr>
      </w:pPr>
      <w:r w:rsidRPr="00BD4EAE">
        <w:rPr>
          <w:b/>
          <w:bCs/>
        </w:rPr>
        <w:t>01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>May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2025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GENIUS Act introduced:</w:t>
      </w:r>
      <w:r w:rsidRPr="00BD4EAE">
        <w:t xml:space="preserve"> U.S. bill proposes a federal framework for payment stablecoins, requiring “permitted issuers,” reserves and Bank Secrecy Act oversight</w:t>
      </w:r>
      <w:hyperlink r:id="rId16" w:anchor=":~:text=Guiding%20and%20Establishing%20National%20Innovation,Act%20or%20the%20GENIUS%20Act" w:tgtFrame="_blank" w:history="1">
        <w:r w:rsidRPr="00BD4EAE">
          <w:rPr>
            <w:rStyle w:val="Hyperlink"/>
          </w:rPr>
          <w:t>congress.gov</w:t>
        </w:r>
      </w:hyperlink>
      <w:r w:rsidRPr="00BD4EAE">
        <w:t>.</w:t>
      </w:r>
    </w:p>
    <w:p w14:paraId="36127047" w14:textId="77777777" w:rsidR="00BD4EAE" w:rsidRPr="00BD4EAE" w:rsidRDefault="00BD4EAE" w:rsidP="00BD4EAE">
      <w:pPr>
        <w:numPr>
          <w:ilvl w:val="0"/>
          <w:numId w:val="4"/>
        </w:numPr>
      </w:pPr>
      <w:r w:rsidRPr="00BD4EAE">
        <w:rPr>
          <w:b/>
          <w:bCs/>
        </w:rPr>
        <w:t>Mid</w:t>
      </w:r>
      <w:r w:rsidRPr="00BD4EAE">
        <w:rPr>
          <w:b/>
          <w:bCs/>
        </w:rPr>
        <w:noBreakHyphen/>
        <w:t>2027 – Digital euro pilot:</w:t>
      </w:r>
      <w:r w:rsidRPr="00BD4EAE">
        <w:t xml:space="preserve"> The ECB plans to test the digital euro with selected participants</w:t>
      </w:r>
      <w:hyperlink r:id="rId17" w:anchor=":~:text=during%202029,prepare%20for%20a%20potential%20issuance" w:tgtFrame="_blank" w:history="1">
        <w:r w:rsidRPr="00BD4EAE">
          <w:rPr>
            <w:rStyle w:val="Hyperlink"/>
          </w:rPr>
          <w:t>ecb.europa.eu</w:t>
        </w:r>
      </w:hyperlink>
      <w:r w:rsidRPr="00BD4EAE">
        <w:t>.</w:t>
      </w:r>
    </w:p>
    <w:p w14:paraId="7C6A1820" w14:textId="77777777" w:rsidR="00BD4EAE" w:rsidRPr="00BD4EAE" w:rsidRDefault="00BD4EAE" w:rsidP="00BD4EAE">
      <w:pPr>
        <w:numPr>
          <w:ilvl w:val="0"/>
          <w:numId w:val="4"/>
        </w:numPr>
      </w:pPr>
      <w:r w:rsidRPr="00BD4EAE">
        <w:rPr>
          <w:b/>
          <w:bCs/>
        </w:rPr>
        <w:t>2029 – Digital euro issuance:</w:t>
      </w:r>
      <w:r w:rsidRPr="00BD4EAE">
        <w:t xml:space="preserve"> Subject to legislation, the eurozone could see its first digital</w:t>
      </w:r>
      <w:r w:rsidRPr="00BD4EAE">
        <w:noBreakHyphen/>
        <w:t>currency issuance</w:t>
      </w:r>
      <w:hyperlink r:id="rId18" w:anchor=":~:text=during%202029,prepare%20for%20a%20potential%20issuance" w:tgtFrame="_blank" w:history="1">
        <w:r w:rsidRPr="00BD4EAE">
          <w:rPr>
            <w:rStyle w:val="Hyperlink"/>
          </w:rPr>
          <w:t>ecb.europa.eu</w:t>
        </w:r>
      </w:hyperlink>
      <w:r w:rsidRPr="00BD4EAE">
        <w:t>.</w:t>
      </w:r>
    </w:p>
    <w:p w14:paraId="0D2C76A5" w14:textId="77777777" w:rsidR="00BD4EAE" w:rsidRPr="00BD4EAE" w:rsidRDefault="00BD4EAE" w:rsidP="00BD4EAE">
      <w:pPr>
        <w:numPr>
          <w:ilvl w:val="0"/>
          <w:numId w:val="4"/>
        </w:numPr>
      </w:pPr>
      <w:r w:rsidRPr="00BD4EAE">
        <w:rPr>
          <w:b/>
          <w:bCs/>
        </w:rPr>
        <w:t>Dec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2026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EU digital</w:t>
      </w:r>
      <w:r w:rsidRPr="00BD4EAE">
        <w:rPr>
          <w:b/>
          <w:bCs/>
        </w:rPr>
        <w:noBreakHyphen/>
        <w:t>identity wallets provided:</w:t>
      </w:r>
      <w:r w:rsidRPr="00BD4EAE">
        <w:t xml:space="preserve"> Each member state must offer at least one EU Digital Identity wallet</w:t>
      </w:r>
      <w:hyperlink r:id="rId19" w:anchor=":~:text=by%20late%20December%202026.,28" w:tgtFrame="_blank" w:history="1">
        <w:r w:rsidRPr="00BD4EAE">
          <w:rPr>
            <w:rStyle w:val="Hyperlink"/>
          </w:rPr>
          <w:t>en.wikipedia.org</w:t>
        </w:r>
      </w:hyperlink>
      <w:r w:rsidRPr="00BD4EAE">
        <w:t>.</w:t>
      </w:r>
    </w:p>
    <w:p w14:paraId="7DD04485" w14:textId="77777777" w:rsidR="00BD4EAE" w:rsidRPr="00BD4EAE" w:rsidRDefault="00BD4EAE" w:rsidP="00BD4EAE">
      <w:pPr>
        <w:numPr>
          <w:ilvl w:val="0"/>
          <w:numId w:val="4"/>
        </w:numPr>
      </w:pPr>
      <w:r w:rsidRPr="00BD4EAE">
        <w:rPr>
          <w:b/>
          <w:bCs/>
        </w:rPr>
        <w:t>Dec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2027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Mandatory acceptance of EUDI wallets:</w:t>
      </w:r>
      <w:r w:rsidRPr="00BD4EAE">
        <w:t xml:space="preserve"> Large private</w:t>
      </w:r>
      <w:r w:rsidRPr="00BD4EAE">
        <w:noBreakHyphen/>
        <w:t>sector firms must accept EU digital</w:t>
      </w:r>
      <w:r w:rsidRPr="00BD4EAE">
        <w:noBreakHyphen/>
        <w:t>identity wallets for authentication and payments</w:t>
      </w:r>
      <w:hyperlink r:id="rId20" w:anchor=":~:text=by%20late%20December%202026.,28" w:tgtFrame="_blank" w:history="1">
        <w:r w:rsidRPr="00BD4EAE">
          <w:rPr>
            <w:rStyle w:val="Hyperlink"/>
          </w:rPr>
          <w:t>en.wikipedia.org</w:t>
        </w:r>
      </w:hyperlink>
      <w:r w:rsidRPr="00BD4EAE">
        <w:t>.</w:t>
      </w:r>
    </w:p>
    <w:p w14:paraId="39E1A571" w14:textId="77777777" w:rsidR="00BD4EAE" w:rsidRPr="00BD4EAE" w:rsidRDefault="00BD4EAE" w:rsidP="00BD4EAE">
      <w:pPr>
        <w:numPr>
          <w:ilvl w:val="0"/>
          <w:numId w:val="4"/>
        </w:numPr>
      </w:pPr>
      <w:r w:rsidRPr="00BD4EAE">
        <w:rPr>
          <w:b/>
          <w:bCs/>
        </w:rPr>
        <w:t>2030 – EU digital</w:t>
      </w:r>
      <w:r w:rsidRPr="00BD4EAE">
        <w:rPr>
          <w:b/>
          <w:bCs/>
        </w:rPr>
        <w:noBreakHyphen/>
        <w:t>ID adoption target:</w:t>
      </w:r>
      <w:r w:rsidRPr="00BD4EAE">
        <w:t xml:space="preserve"> At least 80 % of citizens should be using a digital</w:t>
      </w:r>
      <w:r w:rsidRPr="00BD4EAE">
        <w:noBreakHyphen/>
        <w:t>ID solution</w:t>
      </w:r>
      <w:hyperlink r:id="rId21" w:anchor=":~:text=by%20late%20December%202026.,28" w:tgtFrame="_blank" w:history="1">
        <w:r w:rsidRPr="00BD4EAE">
          <w:rPr>
            <w:rStyle w:val="Hyperlink"/>
          </w:rPr>
          <w:t>en.wikipedia.org</w:t>
        </w:r>
      </w:hyperlink>
      <w:r w:rsidRPr="00BD4EAE">
        <w:t>.</w:t>
      </w:r>
    </w:p>
    <w:p w14:paraId="2094B519" w14:textId="0D746AD8" w:rsidR="00BD4EAE" w:rsidRPr="00BD4EAE" w:rsidRDefault="00BD4EAE" w:rsidP="00BD4EAE">
      <w:pPr>
        <w:rPr>
          <w:b/>
          <w:bCs/>
        </w:rPr>
      </w:pPr>
      <w:r w:rsidRPr="00BD4EAE">
        <w:rPr>
          <w:b/>
          <w:bCs/>
        </w:rPr>
        <w:t>Real</w:t>
      </w:r>
      <w:r w:rsidRPr="00BD4EAE">
        <w:rPr>
          <w:b/>
          <w:bCs/>
        </w:rPr>
        <w:noBreakHyphen/>
        <w:t xml:space="preserve">Time &amp; A2A Payments </w:t>
      </w:r>
    </w:p>
    <w:p w14:paraId="03F439C8" w14:textId="77777777" w:rsidR="00BD4EAE" w:rsidRPr="00BD4EAE" w:rsidRDefault="00BD4EAE" w:rsidP="00BD4EAE">
      <w:pPr>
        <w:numPr>
          <w:ilvl w:val="0"/>
          <w:numId w:val="5"/>
        </w:numPr>
      </w:pPr>
      <w:r w:rsidRPr="00BD4EAE">
        <w:rPr>
          <w:b/>
          <w:bCs/>
        </w:rPr>
        <w:t>Mid</w:t>
      </w:r>
      <w:r w:rsidRPr="00BD4EAE">
        <w:rPr>
          <w:b/>
          <w:bCs/>
        </w:rPr>
        <w:noBreakHyphen/>
        <w:t>2025 – RTP adoption milestone:</w:t>
      </w:r>
      <w:r w:rsidRPr="00BD4EAE">
        <w:t xml:space="preserve"> More than 1,000 U.S. financial institutions—representing over 70 % of demand deposit accounts—are live on the RTP network.</w:t>
      </w:r>
    </w:p>
    <w:p w14:paraId="4B595BE3" w14:textId="77777777" w:rsidR="00BD4EAE" w:rsidRPr="00BD4EAE" w:rsidRDefault="00BD4EAE" w:rsidP="00BD4EAE">
      <w:pPr>
        <w:numPr>
          <w:ilvl w:val="0"/>
          <w:numId w:val="5"/>
        </w:numPr>
      </w:pPr>
      <w:r w:rsidRPr="00BD4EAE">
        <w:rPr>
          <w:b/>
          <w:bCs/>
        </w:rPr>
        <w:t>Late</w:t>
      </w:r>
      <w:r w:rsidRPr="00BD4EAE">
        <w:rPr>
          <w:rFonts w:ascii="Arial" w:hAnsi="Arial" w:cs="Arial"/>
          <w:b/>
          <w:bCs/>
        </w:rPr>
        <w:t> </w:t>
      </w:r>
      <w:r w:rsidRPr="00BD4EAE">
        <w:rPr>
          <w:b/>
          <w:bCs/>
        </w:rPr>
        <w:t xml:space="preserve">2025 </w:t>
      </w:r>
      <w:r w:rsidRPr="00BD4EAE">
        <w:rPr>
          <w:rFonts w:ascii="Aptos" w:hAnsi="Aptos" w:cs="Aptos"/>
          <w:b/>
          <w:bCs/>
        </w:rPr>
        <w:t>–</w:t>
      </w:r>
      <w:r w:rsidRPr="00BD4EAE">
        <w:rPr>
          <w:b/>
          <w:bCs/>
        </w:rPr>
        <w:t xml:space="preserve"> FedNow expansion:</w:t>
      </w:r>
      <w:r w:rsidRPr="00BD4EAE">
        <w:t xml:space="preserve"> FedNow surpasses 1,500 participating institutions across all 50 states, and the Fed raises its transaction limit to $10 million.</w:t>
      </w:r>
    </w:p>
    <w:p w14:paraId="3E26F014" w14:textId="77777777" w:rsidR="00BD4EAE" w:rsidRPr="00BD4EAE" w:rsidRDefault="00BD4EAE" w:rsidP="00BD4EAE">
      <w:pPr>
        <w:numPr>
          <w:ilvl w:val="0"/>
          <w:numId w:val="5"/>
        </w:numPr>
      </w:pPr>
      <w:r w:rsidRPr="00BD4EAE">
        <w:rPr>
          <w:b/>
          <w:bCs/>
        </w:rPr>
        <w:lastRenderedPageBreak/>
        <w:t>2026–2027 – Request</w:t>
      </w:r>
      <w:r w:rsidRPr="00BD4EAE">
        <w:rPr>
          <w:b/>
          <w:bCs/>
        </w:rPr>
        <w:noBreakHyphen/>
        <w:t>for</w:t>
      </w:r>
      <w:r w:rsidRPr="00BD4EAE">
        <w:rPr>
          <w:b/>
          <w:bCs/>
        </w:rPr>
        <w:noBreakHyphen/>
        <w:t>Pay and other overlay services:</w:t>
      </w:r>
      <w:r w:rsidRPr="00BD4EAE">
        <w:t xml:space="preserve"> Industry roadmaps call for wider deployment of Request</w:t>
      </w:r>
      <w:r w:rsidRPr="00BD4EAE">
        <w:noBreakHyphen/>
        <w:t>for</w:t>
      </w:r>
      <w:r w:rsidRPr="00BD4EAE">
        <w:noBreakHyphen/>
        <w:t>Pay functionality across RTP and FedNow, enabling real</w:t>
      </w:r>
      <w:r w:rsidRPr="00BD4EAE">
        <w:noBreakHyphen/>
        <w:t>time invoicing and bill payments (dates vary by provider).</w:t>
      </w:r>
    </w:p>
    <w:p w14:paraId="2044CDD1" w14:textId="4E0FD822" w:rsidR="00BD4EAE" w:rsidRDefault="00BD4EAE"/>
    <w:sectPr w:rsidR="00BD4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15954"/>
    <w:multiLevelType w:val="multilevel"/>
    <w:tmpl w:val="60B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73457"/>
    <w:multiLevelType w:val="multilevel"/>
    <w:tmpl w:val="740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377A7"/>
    <w:multiLevelType w:val="multilevel"/>
    <w:tmpl w:val="060E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C58FA"/>
    <w:multiLevelType w:val="multilevel"/>
    <w:tmpl w:val="8A6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87CBD"/>
    <w:multiLevelType w:val="multilevel"/>
    <w:tmpl w:val="4DE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940507">
    <w:abstractNumId w:val="3"/>
  </w:num>
  <w:num w:numId="2" w16cid:durableId="1810198219">
    <w:abstractNumId w:val="4"/>
  </w:num>
  <w:num w:numId="3" w16cid:durableId="1673099653">
    <w:abstractNumId w:val="0"/>
  </w:num>
  <w:num w:numId="4" w16cid:durableId="975917159">
    <w:abstractNumId w:val="1"/>
  </w:num>
  <w:num w:numId="5" w16cid:durableId="1861888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AE"/>
    <w:rsid w:val="00157C75"/>
    <w:rsid w:val="007539E3"/>
    <w:rsid w:val="0086662F"/>
    <w:rsid w:val="00BD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5A2D"/>
  <w15:chartTrackingRefBased/>
  <w15:docId w15:val="{A357A742-106E-42F9-A21C-D2CBAA1C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E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5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merfinance.gov/rules-policy/regulations/1033/121/" TargetMode="External"/><Relationship Id="rId13" Type="http://schemas.openxmlformats.org/officeDocument/2006/relationships/hyperlink" Target="https://www.consumerfinance.gov/rules-policy/regulations/1033/121/" TargetMode="External"/><Relationship Id="rId18" Type="http://schemas.openxmlformats.org/officeDocument/2006/relationships/hyperlink" Target="https://www.ecb.europa.eu/euro/digital_euro/progress/html/ecb.deprp202510.en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EU_Digital_Identity_Wallet" TargetMode="External"/><Relationship Id="rId7" Type="http://schemas.openxmlformats.org/officeDocument/2006/relationships/hyperlink" Target="https://www.consumerfinance.gov/rules-policy/regulations/1033/121/" TargetMode="External"/><Relationship Id="rId12" Type="http://schemas.openxmlformats.org/officeDocument/2006/relationships/hyperlink" Target="https://www.fsb.org/2025/10/g20-roadmap-for-cross-border-payments-consolidated-progress-report-for-2025/" TargetMode="External"/><Relationship Id="rId17" Type="http://schemas.openxmlformats.org/officeDocument/2006/relationships/hyperlink" Target="https://www.ecb.europa.eu/euro/digital_euro/progress/html/ecb.deprp202510.e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gress.gov/bill/119th-congress/senate-bill/1582" TargetMode="External"/><Relationship Id="rId20" Type="http://schemas.openxmlformats.org/officeDocument/2006/relationships/hyperlink" Target="https://en.wikipedia.org/wiki/EU_Digital_Identity_Walle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uropeanpaymentscouncil.eu/what-we-do/sepa-instant-credit-transfer" TargetMode="External"/><Relationship Id="rId11" Type="http://schemas.openxmlformats.org/officeDocument/2006/relationships/hyperlink" Target="https://www.swift.com/news-events/press-releases/swift-set-new-rules-retail-cross-border-payments-its-network-bold-move-further-ramp-speed-and-predictability" TargetMode="External"/><Relationship Id="rId5" Type="http://schemas.openxmlformats.org/officeDocument/2006/relationships/hyperlink" Target="https://www.europeanpaymentscouncil.eu/what-we-do/sepa-instant-credit-transfer" TargetMode="External"/><Relationship Id="rId15" Type="http://schemas.openxmlformats.org/officeDocument/2006/relationships/hyperlink" Target="https://www.consumerfinance.gov/rules-policy/regulations/1033/121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fatf-gafi.org/en/publications/Fatfrecommendations/update-Recommendation-16-payment-transparency-june-2025.html" TargetMode="External"/><Relationship Id="rId19" Type="http://schemas.openxmlformats.org/officeDocument/2006/relationships/hyperlink" Target="https://en.wikipedia.org/wiki/EU_Digital_Identity_Wall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merfinance.gov/rules-policy/regulations/1033/121/" TargetMode="External"/><Relationship Id="rId14" Type="http://schemas.openxmlformats.org/officeDocument/2006/relationships/hyperlink" Target="https://www.consumerfinance.gov/rules-policy/regulations/1033/121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Pensa, Matthew (Bip.Monticello)</dc:creator>
  <cp:keywords/>
  <dc:description/>
  <cp:lastModifiedBy>Pensa, Matthew (Bip.Monticello)</cp:lastModifiedBy>
  <cp:revision>4</cp:revision>
  <dcterms:created xsi:type="dcterms:W3CDTF">2025-11-22T03:53:00Z</dcterms:created>
  <dcterms:modified xsi:type="dcterms:W3CDTF">2025-11-22T04:44:00Z</dcterms:modified>
</cp:coreProperties>
</file>