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B8953" w14:textId="65D0083C" w:rsidR="0052209A" w:rsidRPr="0052209A" w:rsidRDefault="00000000" w:rsidP="0052209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5FD6E9">
          <v:rect id="_x0000_i1025" style="width:0;height:1.5pt" o:hralign="center" o:hrstd="t" o:hr="t" fillcolor="#a0a0a0" stroked="f"/>
        </w:pict>
      </w:r>
    </w:p>
    <w:p w14:paraId="3E1FF657" w14:textId="77777777" w:rsidR="0052209A" w:rsidRPr="0052209A" w:rsidRDefault="0052209A" w:rsidP="005220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09A">
        <w:rPr>
          <w:rFonts w:ascii="Times New Roman" w:eastAsia="Times New Roman" w:hAnsi="Times New Roman" w:cs="Times New Roman"/>
          <w:b/>
          <w:bCs/>
          <w:kern w:val="0"/>
          <w:sz w:val="27"/>
          <w:szCs w:val="27"/>
          <w14:ligatures w14:val="none"/>
        </w:rPr>
        <w:t>The New Frontier of Operational Resilience</w:t>
      </w:r>
    </w:p>
    <w:p w14:paraId="6B3A427E" w14:textId="77777777" w:rsidR="0052209A" w:rsidRPr="0052209A" w:rsidRDefault="0052209A" w:rsidP="0052209A">
      <w:p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kern w:val="0"/>
          <w14:ligatures w14:val="none"/>
        </w:rPr>
        <w:t>Generative AI (GenAI) is transforming how financial institutions operate, from automating client communication to accelerating risk analysis. Yet behind this efficiency lies a subtle and growing vulnerability: the erosion of resilience.</w:t>
      </w:r>
    </w:p>
    <w:p w14:paraId="3515D948" w14:textId="77777777" w:rsidR="0052209A" w:rsidRPr="0052209A" w:rsidRDefault="0052209A" w:rsidP="0052209A">
      <w:p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kern w:val="0"/>
          <w14:ligatures w14:val="none"/>
        </w:rPr>
        <w:t xml:space="preserve">Traditional resilience was measured in seconds of downtime. Systems were considered healthy if infrastructure stayed up and recovery times stayed within tolerance. But in the age of GenAI, availability no longer equals reliability. A model can be online and producing outputs — yet those outputs may have drifted, degraded, or deviated from expected logic. In other words, resilience now depends not only on whether a service is running, but on whether its decisions remain </w:t>
      </w:r>
      <w:r w:rsidRPr="0052209A">
        <w:rPr>
          <w:rFonts w:ascii="Times New Roman" w:eastAsia="Times New Roman" w:hAnsi="Times New Roman" w:cs="Times New Roman"/>
          <w:i/>
          <w:iCs/>
          <w:kern w:val="0"/>
          <w14:ligatures w14:val="none"/>
        </w:rPr>
        <w:t>right</w:t>
      </w:r>
      <w:r w:rsidRPr="0052209A">
        <w:rPr>
          <w:rFonts w:ascii="Times New Roman" w:eastAsia="Times New Roman" w:hAnsi="Times New Roman" w:cs="Times New Roman"/>
          <w:kern w:val="0"/>
          <w14:ligatures w14:val="none"/>
        </w:rPr>
        <w:t>.</w:t>
      </w:r>
    </w:p>
    <w:p w14:paraId="223D5C3A" w14:textId="77777777" w:rsidR="0052209A" w:rsidRDefault="0052209A" w:rsidP="0052209A">
      <w:p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kern w:val="0"/>
          <w14:ligatures w14:val="none"/>
        </w:rPr>
        <w:t xml:space="preserve">This shift marks a turning point for banks. Operational continuity and model integrity are converging. As institutions embed AI into critical services, they must protect both </w:t>
      </w:r>
      <w:r w:rsidRPr="0052209A">
        <w:rPr>
          <w:rFonts w:ascii="Times New Roman" w:eastAsia="Times New Roman" w:hAnsi="Times New Roman" w:cs="Times New Roman"/>
          <w:i/>
          <w:iCs/>
          <w:kern w:val="0"/>
          <w14:ligatures w14:val="none"/>
        </w:rPr>
        <w:t>the infrastructure</w:t>
      </w:r>
      <w:r w:rsidRPr="0052209A">
        <w:rPr>
          <w:rFonts w:ascii="Times New Roman" w:eastAsia="Times New Roman" w:hAnsi="Times New Roman" w:cs="Times New Roman"/>
          <w:kern w:val="0"/>
          <w14:ligatures w14:val="none"/>
        </w:rPr>
        <w:t xml:space="preserve"> and </w:t>
      </w:r>
      <w:r w:rsidRPr="0052209A">
        <w:rPr>
          <w:rFonts w:ascii="Times New Roman" w:eastAsia="Times New Roman" w:hAnsi="Times New Roman" w:cs="Times New Roman"/>
          <w:i/>
          <w:iCs/>
          <w:kern w:val="0"/>
          <w14:ligatures w14:val="none"/>
        </w:rPr>
        <w:t>the intelligence</w:t>
      </w:r>
      <w:r w:rsidRPr="0052209A">
        <w:rPr>
          <w:rFonts w:ascii="Times New Roman" w:eastAsia="Times New Roman" w:hAnsi="Times New Roman" w:cs="Times New Roman"/>
          <w:kern w:val="0"/>
          <w14:ligatures w14:val="none"/>
        </w:rPr>
        <w:t xml:space="preserve"> that drives it.</w:t>
      </w:r>
    </w:p>
    <w:p w14:paraId="02CE4947" w14:textId="1351C95C" w:rsidR="00233F8B" w:rsidRPr="0052209A" w:rsidRDefault="00233F8B" w:rsidP="0052209A">
      <w:pPr>
        <w:spacing w:before="100" w:beforeAutospacing="1" w:after="100" w:afterAutospacing="1" w:line="240" w:lineRule="auto"/>
        <w:rPr>
          <w:rFonts w:ascii="Times New Roman" w:eastAsia="Times New Roman" w:hAnsi="Times New Roman" w:cs="Times New Roman"/>
          <w:kern w:val="0"/>
          <w14:ligatures w14:val="none"/>
        </w:rPr>
      </w:pPr>
    </w:p>
    <w:p w14:paraId="720EFA12" w14:textId="01BBA83E" w:rsidR="0052209A" w:rsidRPr="0052209A" w:rsidRDefault="0052209A" w:rsidP="005220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09A">
        <w:rPr>
          <w:rFonts w:ascii="Times New Roman" w:eastAsia="Times New Roman" w:hAnsi="Times New Roman" w:cs="Times New Roman"/>
          <w:b/>
          <w:bCs/>
          <w:kern w:val="0"/>
          <w:sz w:val="27"/>
          <w:szCs w:val="27"/>
          <w14:ligatures w14:val="none"/>
        </w:rPr>
        <w:t>Why AI Resilience ≠ System Uptime</w:t>
      </w:r>
    </w:p>
    <w:p w14:paraId="439C82B8" w14:textId="77777777" w:rsidR="0052209A" w:rsidRPr="0052209A" w:rsidRDefault="0052209A" w:rsidP="0052209A">
      <w:p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kern w:val="0"/>
          <w14:ligatures w14:val="none"/>
        </w:rPr>
        <w:t>AI systems introduce new failure modes that traditional continuity plans were never built to handle.</w:t>
      </w:r>
    </w:p>
    <w:p w14:paraId="664FA22F" w14:textId="77777777" w:rsidR="0052209A" w:rsidRPr="0052209A" w:rsidRDefault="0052209A" w:rsidP="005220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b/>
          <w:bCs/>
          <w:kern w:val="0"/>
          <w14:ligatures w14:val="none"/>
        </w:rPr>
        <w:t>Non-determinism:</w:t>
      </w:r>
      <w:r w:rsidRPr="0052209A">
        <w:rPr>
          <w:rFonts w:ascii="Times New Roman" w:eastAsia="Times New Roman" w:hAnsi="Times New Roman" w:cs="Times New Roman"/>
          <w:kern w:val="0"/>
          <w14:ligatures w14:val="none"/>
        </w:rPr>
        <w:t xml:space="preserve"> The same input can yield different outputs, making testing and regression analysis less predictable.</w:t>
      </w:r>
    </w:p>
    <w:p w14:paraId="180DE102" w14:textId="77777777" w:rsidR="0052209A" w:rsidRPr="0052209A" w:rsidRDefault="0052209A" w:rsidP="005220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b/>
          <w:bCs/>
          <w:kern w:val="0"/>
          <w14:ligatures w14:val="none"/>
        </w:rPr>
        <w:t>External dependencies:</w:t>
      </w:r>
      <w:r w:rsidRPr="0052209A">
        <w:rPr>
          <w:rFonts w:ascii="Times New Roman" w:eastAsia="Times New Roman" w:hAnsi="Times New Roman" w:cs="Times New Roman"/>
          <w:kern w:val="0"/>
          <w14:ligatures w14:val="none"/>
        </w:rPr>
        <w:t xml:space="preserve"> Model performance often depends on third-party APIs, embedding providers, or orchestration layers outside direct control.</w:t>
      </w:r>
    </w:p>
    <w:p w14:paraId="677DCDD6" w14:textId="77777777" w:rsidR="0052209A" w:rsidRPr="0052209A" w:rsidRDefault="0052209A" w:rsidP="005220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b/>
          <w:bCs/>
          <w:kern w:val="0"/>
          <w14:ligatures w14:val="none"/>
        </w:rPr>
        <w:t>Model drift:</w:t>
      </w:r>
      <w:r w:rsidRPr="0052209A">
        <w:rPr>
          <w:rFonts w:ascii="Times New Roman" w:eastAsia="Times New Roman" w:hAnsi="Times New Roman" w:cs="Times New Roman"/>
          <w:kern w:val="0"/>
          <w14:ligatures w14:val="none"/>
        </w:rPr>
        <w:t xml:space="preserve"> Over time, models learn, unlearn, or misalign with their original purpose — silently degrading quality.</w:t>
      </w:r>
    </w:p>
    <w:p w14:paraId="604E68DA" w14:textId="77777777" w:rsidR="0052209A" w:rsidRPr="0052209A" w:rsidRDefault="0052209A" w:rsidP="005220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b/>
          <w:bCs/>
          <w:kern w:val="0"/>
          <w14:ligatures w14:val="none"/>
        </w:rPr>
        <w:t>Knowledge erosion:</w:t>
      </w:r>
      <w:r w:rsidRPr="0052209A">
        <w:rPr>
          <w:rFonts w:ascii="Times New Roman" w:eastAsia="Times New Roman" w:hAnsi="Times New Roman" w:cs="Times New Roman"/>
          <w:kern w:val="0"/>
          <w14:ligatures w14:val="none"/>
        </w:rPr>
        <w:t xml:space="preserve"> As AI automates tasks, human expertise can fade, leaving organizations less capable of manual recovery if automation fails.</w:t>
      </w:r>
    </w:p>
    <w:p w14:paraId="3B19526E" w14:textId="77777777" w:rsidR="0052209A" w:rsidRPr="0052209A" w:rsidRDefault="0052209A" w:rsidP="0052209A">
      <w:p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kern w:val="0"/>
          <w14:ligatures w14:val="none"/>
        </w:rPr>
        <w:t>In short, a system can be “up” while business integrity quietly erodes. This is the resilience gap of the AI era — and it’s widening faster than most institutions realize.</w:t>
      </w:r>
    </w:p>
    <w:p w14:paraId="557C1AA1" w14:textId="77777777" w:rsidR="0052209A" w:rsidRPr="0052209A" w:rsidRDefault="0052209A" w:rsidP="0052209A">
      <w:p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kern w:val="0"/>
          <w14:ligatures w14:val="none"/>
        </w:rPr>
        <w:t xml:space="preserve">At the same time, regulatory guidance is still evolving. Supervisory statements such as the Federal Reserve’s </w:t>
      </w:r>
      <w:r w:rsidRPr="0052209A">
        <w:rPr>
          <w:rFonts w:ascii="Times New Roman" w:eastAsia="Times New Roman" w:hAnsi="Times New Roman" w:cs="Times New Roman"/>
          <w:b/>
          <w:bCs/>
          <w:kern w:val="0"/>
          <w14:ligatures w14:val="none"/>
        </w:rPr>
        <w:t>SR 11-7</w:t>
      </w:r>
      <w:r w:rsidRPr="0052209A">
        <w:rPr>
          <w:rFonts w:ascii="Times New Roman" w:eastAsia="Times New Roman" w:hAnsi="Times New Roman" w:cs="Times New Roman"/>
          <w:kern w:val="0"/>
          <w14:ligatures w14:val="none"/>
        </w:rPr>
        <w:t xml:space="preserve"> on model risk, the </w:t>
      </w:r>
      <w:r w:rsidRPr="0052209A">
        <w:rPr>
          <w:rFonts w:ascii="Times New Roman" w:eastAsia="Times New Roman" w:hAnsi="Times New Roman" w:cs="Times New Roman"/>
          <w:b/>
          <w:bCs/>
          <w:kern w:val="0"/>
          <w14:ligatures w14:val="none"/>
        </w:rPr>
        <w:t>Basel Committee’s 2023 Principles for AI and Machine Learning</w:t>
      </w:r>
      <w:r w:rsidRPr="0052209A">
        <w:rPr>
          <w:rFonts w:ascii="Times New Roman" w:eastAsia="Times New Roman" w:hAnsi="Times New Roman" w:cs="Times New Roman"/>
          <w:kern w:val="0"/>
          <w14:ligatures w14:val="none"/>
        </w:rPr>
        <w:t xml:space="preserve">, the </w:t>
      </w:r>
      <w:r w:rsidRPr="0052209A">
        <w:rPr>
          <w:rFonts w:ascii="Times New Roman" w:eastAsia="Times New Roman" w:hAnsi="Times New Roman" w:cs="Times New Roman"/>
          <w:b/>
          <w:bCs/>
          <w:kern w:val="0"/>
          <w14:ligatures w14:val="none"/>
        </w:rPr>
        <w:t>EU’s Digital Operational Resilience Act (DORA)</w:t>
      </w:r>
      <w:r w:rsidRPr="0052209A">
        <w:rPr>
          <w:rFonts w:ascii="Times New Roman" w:eastAsia="Times New Roman" w:hAnsi="Times New Roman" w:cs="Times New Roman"/>
          <w:kern w:val="0"/>
          <w14:ligatures w14:val="none"/>
        </w:rPr>
        <w:t xml:space="preserve">, and the </w:t>
      </w:r>
      <w:r w:rsidRPr="0052209A">
        <w:rPr>
          <w:rFonts w:ascii="Times New Roman" w:eastAsia="Times New Roman" w:hAnsi="Times New Roman" w:cs="Times New Roman"/>
          <w:b/>
          <w:bCs/>
          <w:kern w:val="0"/>
          <w14:ligatures w14:val="none"/>
        </w:rPr>
        <w:t>NIST AI Risk Management Framework</w:t>
      </w:r>
      <w:r w:rsidRPr="0052209A">
        <w:rPr>
          <w:rFonts w:ascii="Times New Roman" w:eastAsia="Times New Roman" w:hAnsi="Times New Roman" w:cs="Times New Roman"/>
          <w:kern w:val="0"/>
          <w14:ligatures w14:val="none"/>
        </w:rPr>
        <w:t xml:space="preserve"> all emphasize governance and testing. Yet none fully address </w:t>
      </w:r>
      <w:r w:rsidRPr="0052209A">
        <w:rPr>
          <w:rFonts w:ascii="Times New Roman" w:eastAsia="Times New Roman" w:hAnsi="Times New Roman" w:cs="Times New Roman"/>
          <w:kern w:val="0"/>
          <w14:ligatures w14:val="none"/>
        </w:rPr>
        <w:lastRenderedPageBreak/>
        <w:t>the dynamic behavior of large-scale GenAI systems. Banks cannot wait for regulators to close the gap; they must act pre-emptively.</w:t>
      </w:r>
    </w:p>
    <w:p w14:paraId="19BC5361" w14:textId="77777777" w:rsidR="0052209A" w:rsidRPr="0052209A" w:rsidRDefault="0052209A" w:rsidP="005220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09A">
        <w:rPr>
          <w:rFonts w:ascii="Times New Roman" w:eastAsia="Times New Roman" w:hAnsi="Times New Roman" w:cs="Times New Roman"/>
          <w:b/>
          <w:bCs/>
          <w:kern w:val="0"/>
          <w:sz w:val="27"/>
          <w:szCs w:val="27"/>
          <w14:ligatures w14:val="none"/>
        </w:rPr>
        <w:t>Understanding Model Drift — The Hidden Continuity Threat</w:t>
      </w:r>
    </w:p>
    <w:p w14:paraId="68D7649C" w14:textId="77777777" w:rsidR="0052209A" w:rsidRPr="0052209A" w:rsidRDefault="0052209A" w:rsidP="0052209A">
      <w:p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kern w:val="0"/>
          <w14:ligatures w14:val="none"/>
        </w:rPr>
        <w:t>Drift is the silent risk of the AI era. It occurs when a model’s behavior changes in ways that reduce its accuracy, reliability, or fairness.</w:t>
      </w:r>
    </w:p>
    <w:p w14:paraId="2A3BB39A" w14:textId="77777777" w:rsidR="0052209A" w:rsidRPr="0052209A" w:rsidRDefault="0052209A" w:rsidP="0052209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b/>
          <w:bCs/>
          <w:kern w:val="0"/>
          <w14:ligatures w14:val="none"/>
        </w:rPr>
        <w:t>Data drift</w:t>
      </w:r>
      <w:r w:rsidRPr="0052209A">
        <w:rPr>
          <w:rFonts w:ascii="Times New Roman" w:eastAsia="Times New Roman" w:hAnsi="Times New Roman" w:cs="Times New Roman"/>
          <w:kern w:val="0"/>
          <w14:ligatures w14:val="none"/>
        </w:rPr>
        <w:t xml:space="preserve"> happens when the nature of incoming data shifts — for example, new customer behaviors or unseen market patterns.</w:t>
      </w:r>
    </w:p>
    <w:p w14:paraId="4F65E93F" w14:textId="77777777" w:rsidR="0052209A" w:rsidRPr="0052209A" w:rsidRDefault="0052209A" w:rsidP="0052209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b/>
          <w:bCs/>
          <w:kern w:val="0"/>
          <w14:ligatures w14:val="none"/>
        </w:rPr>
        <w:t>Concept drift</w:t>
      </w:r>
      <w:r w:rsidRPr="0052209A">
        <w:rPr>
          <w:rFonts w:ascii="Times New Roman" w:eastAsia="Times New Roman" w:hAnsi="Times New Roman" w:cs="Times New Roman"/>
          <w:kern w:val="0"/>
          <w14:ligatures w14:val="none"/>
        </w:rPr>
        <w:t xml:space="preserve"> arises when the relationships between variables evolve — such as new fraud tactics or macroeconomic conditions.</w:t>
      </w:r>
    </w:p>
    <w:p w14:paraId="13B1E89C" w14:textId="77777777" w:rsidR="0052209A" w:rsidRPr="0052209A" w:rsidRDefault="0052209A" w:rsidP="0052209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b/>
          <w:bCs/>
          <w:kern w:val="0"/>
          <w14:ligatures w14:val="none"/>
        </w:rPr>
        <w:t>Process drift</w:t>
      </w:r>
      <w:r w:rsidRPr="0052209A">
        <w:rPr>
          <w:rFonts w:ascii="Times New Roman" w:eastAsia="Times New Roman" w:hAnsi="Times New Roman" w:cs="Times New Roman"/>
          <w:kern w:val="0"/>
          <w14:ligatures w14:val="none"/>
        </w:rPr>
        <w:t xml:space="preserve"> emerges when prompts, templates, or automation scripts evolve outside of formal change control.</w:t>
      </w:r>
    </w:p>
    <w:p w14:paraId="2B357088" w14:textId="77777777" w:rsidR="0052209A" w:rsidRPr="0052209A" w:rsidRDefault="0052209A" w:rsidP="0052209A">
      <w:p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kern w:val="0"/>
          <w14:ligatures w14:val="none"/>
        </w:rPr>
        <w:t xml:space="preserve">In capital markets and risk management, even small drift events can distort decision outputs or reporting accuracy. The risk is not of outage, but of </w:t>
      </w:r>
      <w:r w:rsidRPr="0052209A">
        <w:rPr>
          <w:rFonts w:ascii="Times New Roman" w:eastAsia="Times New Roman" w:hAnsi="Times New Roman" w:cs="Times New Roman"/>
          <w:i/>
          <w:iCs/>
          <w:kern w:val="0"/>
          <w14:ligatures w14:val="none"/>
        </w:rPr>
        <w:t>silent downgrade</w:t>
      </w:r>
      <w:r w:rsidRPr="0052209A">
        <w:rPr>
          <w:rFonts w:ascii="Times New Roman" w:eastAsia="Times New Roman" w:hAnsi="Times New Roman" w:cs="Times New Roman"/>
          <w:kern w:val="0"/>
          <w14:ligatures w14:val="none"/>
        </w:rPr>
        <w:t>.</w:t>
      </w:r>
    </w:p>
    <w:p w14:paraId="3C2ACC4D" w14:textId="77777777" w:rsidR="0052209A" w:rsidRPr="0052209A" w:rsidRDefault="0052209A" w:rsidP="0052209A">
      <w:pPr>
        <w:spacing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kern w:val="0"/>
          <w14:ligatures w14:val="none"/>
        </w:rPr>
        <w:t>“In the past, outages stopped operations. Today, drift can mislead them.”</w:t>
      </w:r>
    </w:p>
    <w:p w14:paraId="50EC76F8" w14:textId="4F09A61D" w:rsidR="0052209A" w:rsidRPr="0052209A" w:rsidRDefault="00F1021B" w:rsidP="0052209A">
      <w:pPr>
        <w:spacing w:before="100" w:beforeAutospacing="1" w:after="100" w:afterAutospacing="1" w:line="240" w:lineRule="auto"/>
        <w:rPr>
          <w:rFonts w:ascii="Times New Roman" w:eastAsia="Times New Roman" w:hAnsi="Times New Roman" w:cs="Times New Roman"/>
          <w:kern w:val="0"/>
          <w14:ligatures w14:val="none"/>
        </w:rPr>
      </w:pPr>
      <w:r w:rsidRPr="00F1021B">
        <w:rPr>
          <w:rFonts w:ascii="Times New Roman" w:eastAsia="Times New Roman" w:hAnsi="Times New Roman" w:cs="Times New Roman"/>
          <w:b/>
          <w:bCs/>
          <w:noProof/>
          <w:kern w:val="0"/>
          <w:sz w:val="27"/>
          <w:szCs w:val="27"/>
          <w14:ligatures w14:val="none"/>
        </w:rPr>
        <mc:AlternateContent>
          <mc:Choice Requires="wps">
            <w:drawing>
              <wp:anchor distT="45720" distB="45720" distL="114300" distR="114300" simplePos="0" relativeHeight="251663360" behindDoc="0" locked="0" layoutInCell="1" allowOverlap="1" wp14:anchorId="1653EA1F" wp14:editId="3BBF36A8">
                <wp:simplePos x="0" y="0"/>
                <wp:positionH relativeFrom="column">
                  <wp:posOffset>3465616</wp:posOffset>
                </wp:positionH>
                <wp:positionV relativeFrom="paragraph">
                  <wp:posOffset>458470</wp:posOffset>
                </wp:positionV>
                <wp:extent cx="2749945" cy="356235"/>
                <wp:effectExtent l="0" t="0" r="12700" b="247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9945" cy="356235"/>
                        </a:xfrm>
                        <a:prstGeom prst="rect">
                          <a:avLst/>
                        </a:prstGeom>
                        <a:solidFill>
                          <a:srgbClr val="C00000"/>
                        </a:solidFill>
                        <a:ln w="9525">
                          <a:solidFill>
                            <a:srgbClr val="000000"/>
                          </a:solidFill>
                          <a:miter lim="800000"/>
                          <a:headEnd/>
                          <a:tailEnd/>
                        </a:ln>
                      </wps:spPr>
                      <wps:txbx>
                        <w:txbxContent>
                          <w:p w14:paraId="65B8C4E0" w14:textId="34940308" w:rsidR="00F1021B" w:rsidRPr="00FB749B" w:rsidRDefault="00F1021B" w:rsidP="00FB749B">
                            <w:pPr>
                              <w:jc w:val="center"/>
                              <w:rPr>
                                <w:b/>
                                <w:bCs/>
                              </w:rPr>
                            </w:pPr>
                            <w:r w:rsidRPr="00FB749B">
                              <w:rPr>
                                <w:b/>
                                <w:bCs/>
                              </w:rPr>
                              <w:t>7 Enhancement Levers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53EA1F" id="_x0000_t202" coordsize="21600,21600" o:spt="202" path="m,l,21600r21600,l21600,xe">
                <v:stroke joinstyle="miter"/>
                <v:path gradientshapeok="t" o:connecttype="rect"/>
              </v:shapetype>
              <v:shape id="Text Box 2" o:spid="_x0000_s1026" type="#_x0000_t202" style="position:absolute;margin-left:272.9pt;margin-top:36.1pt;width:216.55pt;height:28.0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" fillcolor="#c00000">
                <v:textbox>
                  <w:txbxContent>
                    <w:p w14:paraId="65B8C4E0" w14:textId="34940308" w:rsidR="00F1021B" w:rsidRPr="00FB749B" w:rsidRDefault="00F1021B" w:rsidP="00FB749B">
                      <w:pPr>
                        <w:jc w:val="center"/>
                        <w:rPr>
                          <w:b/>
                          <w:bCs/>
                        </w:rPr>
                      </w:pPr>
                      <w:r w:rsidRPr="00FB749B">
                        <w:rPr>
                          <w:b/>
                          <w:bCs/>
                        </w:rPr>
                        <w:t>7 Enhancement Levers</w:t>
                      </w:r>
                    </w:p>
                  </w:txbxContent>
                </v:textbox>
              </v:shape>
            </w:pict>
          </mc:Fallback>
        </mc:AlternateContent>
      </w:r>
      <w:r w:rsidR="0052209A" w:rsidRPr="0052209A">
        <w:rPr>
          <w:rFonts w:ascii="Times New Roman" w:eastAsia="Times New Roman" w:hAnsi="Times New Roman" w:cs="Times New Roman"/>
          <w:kern w:val="0"/>
          <w14:ligatures w14:val="none"/>
        </w:rPr>
        <w:t>That distinction is why forward-looking banks are extending operational resilience frameworks beyond infrastructure to encompass model integrity, explainability, and governance.</w:t>
      </w:r>
    </w:p>
    <w:p w14:paraId="119CA817" w14:textId="0FF1EC79" w:rsidR="0052209A" w:rsidRPr="0052209A" w:rsidRDefault="00233F8B" w:rsidP="005220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3F8B">
        <w:rPr>
          <w:rFonts w:ascii="Times New Roman" w:eastAsia="Times New Roman" w:hAnsi="Times New Roman" w:cs="Times New Roman"/>
          <w:kern w:val="0"/>
          <w14:ligatures w14:val="none"/>
        </w:rPr>
        <w:drawing>
          <wp:anchor distT="0" distB="0" distL="114300" distR="114300" simplePos="0" relativeHeight="251661312" behindDoc="0" locked="0" layoutInCell="1" allowOverlap="1" wp14:anchorId="539AA1E7" wp14:editId="20F6E3F4">
            <wp:simplePos x="0" y="0"/>
            <wp:positionH relativeFrom="column">
              <wp:posOffset>3467595</wp:posOffset>
            </wp:positionH>
            <wp:positionV relativeFrom="paragraph">
              <wp:posOffset>285932</wp:posOffset>
            </wp:positionV>
            <wp:extent cx="2750654" cy="2688375"/>
            <wp:effectExtent l="152400" t="152400" r="354965" b="360045"/>
            <wp:wrapSquare wrapText="bothSides"/>
            <wp:docPr id="1590455003" name="Picture 1" descr="A diagram of a company's 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55003" name="Picture 1" descr="A diagram of a company's cor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750654" cy="2688375"/>
                    </a:xfrm>
                    <a:prstGeom prst="rect">
                      <a:avLst/>
                    </a:prstGeom>
                    <a:ln>
                      <a:noFill/>
                    </a:ln>
                    <a:effectLst>
                      <a:outerShdw blurRad="292100" dist="139700" dir="2700000" algn="tl" rotWithShape="0">
                        <a:srgbClr val="333333">
                          <a:alpha val="65000"/>
                        </a:srgbClr>
                      </a:outerShdw>
                    </a:effectLst>
                  </pic:spPr>
                </pic:pic>
              </a:graphicData>
            </a:graphic>
          </wp:anchor>
        </w:drawing>
      </w:r>
      <w:r w:rsidR="0052209A" w:rsidRPr="0052209A">
        <w:rPr>
          <w:rFonts w:ascii="Times New Roman" w:eastAsia="Times New Roman" w:hAnsi="Times New Roman" w:cs="Times New Roman"/>
          <w:b/>
          <w:bCs/>
          <w:kern w:val="0"/>
          <w:sz w:val="27"/>
          <w:szCs w:val="27"/>
          <w14:ligatures w14:val="none"/>
        </w:rPr>
        <w:t>From Availability to Integrity: A New Resilience Paradigm</w:t>
      </w:r>
    </w:p>
    <w:p w14:paraId="41E942BD" w14:textId="6B5AF5FC" w:rsidR="0052209A" w:rsidRPr="0052209A" w:rsidRDefault="0052209A" w:rsidP="0052209A">
      <w:p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kern w:val="0"/>
          <w14:ligatures w14:val="none"/>
        </w:rPr>
        <w:t xml:space="preserve">BIP’s perspective is simple: in the AI era, </w:t>
      </w:r>
      <w:r w:rsidRPr="0052209A">
        <w:rPr>
          <w:rFonts w:ascii="Times New Roman" w:eastAsia="Times New Roman" w:hAnsi="Times New Roman" w:cs="Times New Roman"/>
          <w:b/>
          <w:bCs/>
          <w:kern w:val="0"/>
          <w14:ligatures w14:val="none"/>
        </w:rPr>
        <w:t>resilience must equal continuity of quality</w:t>
      </w:r>
      <w:r w:rsidRPr="0052209A">
        <w:rPr>
          <w:rFonts w:ascii="Times New Roman" w:eastAsia="Times New Roman" w:hAnsi="Times New Roman" w:cs="Times New Roman"/>
          <w:kern w:val="0"/>
          <w14:ligatures w14:val="none"/>
        </w:rPr>
        <w:t xml:space="preserve">. To achieve that, banks should build on their existing Prioritized Critical Services (PCS) frameworks and evolve them into </w:t>
      </w:r>
      <w:r w:rsidRPr="0052209A">
        <w:rPr>
          <w:rFonts w:ascii="Times New Roman" w:eastAsia="Times New Roman" w:hAnsi="Times New Roman" w:cs="Times New Roman"/>
          <w:b/>
          <w:bCs/>
          <w:kern w:val="0"/>
          <w14:ligatures w14:val="none"/>
        </w:rPr>
        <w:t>AI-aware resilience systems</w:t>
      </w:r>
      <w:r w:rsidRPr="0052209A">
        <w:rPr>
          <w:rFonts w:ascii="Times New Roman" w:eastAsia="Times New Roman" w:hAnsi="Times New Roman" w:cs="Times New Roman"/>
          <w:kern w:val="0"/>
          <w14:ligatures w14:val="none"/>
        </w:rPr>
        <w:t>.</w:t>
      </w:r>
    </w:p>
    <w:p w14:paraId="2CB211F8" w14:textId="59BB7C51" w:rsidR="0052209A" w:rsidRPr="0052209A" w:rsidRDefault="0052209A" w:rsidP="0052209A">
      <w:p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kern w:val="0"/>
          <w14:ligatures w14:val="none"/>
        </w:rPr>
        <w:t xml:space="preserve">Drawing on our work with global financial institutions, BIP has developed a </w:t>
      </w:r>
      <w:r w:rsidRPr="0052209A">
        <w:rPr>
          <w:rFonts w:ascii="Times New Roman" w:eastAsia="Times New Roman" w:hAnsi="Times New Roman" w:cs="Times New Roman"/>
          <w:b/>
          <w:bCs/>
          <w:kern w:val="0"/>
          <w14:ligatures w14:val="none"/>
        </w:rPr>
        <w:t>Tiered PCS Framework with Seven Enhancement Levers</w:t>
      </w:r>
      <w:r w:rsidRPr="0052209A">
        <w:rPr>
          <w:rFonts w:ascii="Times New Roman" w:eastAsia="Times New Roman" w:hAnsi="Times New Roman" w:cs="Times New Roman"/>
          <w:kern w:val="0"/>
          <w14:ligatures w14:val="none"/>
        </w:rPr>
        <w:t xml:space="preserve"> to operationalize resilience for GenAI and machine-learning systems:</w:t>
      </w:r>
    </w:p>
    <w:p w14:paraId="4668319B" w14:textId="77777777" w:rsidR="0052209A" w:rsidRPr="0052209A" w:rsidRDefault="0052209A" w:rsidP="0052209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b/>
          <w:bCs/>
          <w:kern w:val="0"/>
          <w14:ligatures w14:val="none"/>
        </w:rPr>
        <w:t>Managed AI Triggers</w:t>
      </w:r>
      <w:r w:rsidRPr="0052209A">
        <w:rPr>
          <w:rFonts w:ascii="Times New Roman" w:eastAsia="Times New Roman" w:hAnsi="Times New Roman" w:cs="Times New Roman"/>
          <w:kern w:val="0"/>
          <w14:ligatures w14:val="none"/>
        </w:rPr>
        <w:t xml:space="preserve"> – Define criteria for when AI systems enter resilience governance. Apply these triggers before deployment to ensure oversight from day one.</w:t>
      </w:r>
    </w:p>
    <w:p w14:paraId="2643F156" w14:textId="77777777" w:rsidR="0052209A" w:rsidRPr="0052209A" w:rsidRDefault="0052209A" w:rsidP="0052209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b/>
          <w:bCs/>
          <w:kern w:val="0"/>
          <w14:ligatures w14:val="none"/>
        </w:rPr>
        <w:t>Quality-Based Impact Tolerances</w:t>
      </w:r>
      <w:r w:rsidRPr="0052209A">
        <w:rPr>
          <w:rFonts w:ascii="Times New Roman" w:eastAsia="Times New Roman" w:hAnsi="Times New Roman" w:cs="Times New Roman"/>
          <w:kern w:val="0"/>
          <w14:ligatures w14:val="none"/>
        </w:rPr>
        <w:t xml:space="preserve"> – Extend metrics beyond uptime to include output accuracy, factuality, and decision reliability.</w:t>
      </w:r>
    </w:p>
    <w:p w14:paraId="178E248C" w14:textId="77777777" w:rsidR="0052209A" w:rsidRPr="0052209A" w:rsidRDefault="0052209A" w:rsidP="0052209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b/>
          <w:bCs/>
          <w:kern w:val="0"/>
          <w14:ligatures w14:val="none"/>
        </w:rPr>
        <w:t>Enterprise Operating Model</w:t>
      </w:r>
      <w:r w:rsidRPr="0052209A">
        <w:rPr>
          <w:rFonts w:ascii="Times New Roman" w:eastAsia="Times New Roman" w:hAnsi="Times New Roman" w:cs="Times New Roman"/>
          <w:kern w:val="0"/>
          <w14:ligatures w14:val="none"/>
        </w:rPr>
        <w:t xml:space="preserve"> – Establish a clear RASCI defining who owns drift detection, fallback decisions, and regulatory communication.</w:t>
      </w:r>
    </w:p>
    <w:p w14:paraId="431CBA18" w14:textId="77777777" w:rsidR="0052209A" w:rsidRPr="0052209A" w:rsidRDefault="0052209A" w:rsidP="0052209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b/>
          <w:bCs/>
          <w:kern w:val="0"/>
          <w14:ligatures w14:val="none"/>
        </w:rPr>
        <w:t>Scenario-Driven Testing</w:t>
      </w:r>
      <w:r w:rsidRPr="0052209A">
        <w:rPr>
          <w:rFonts w:ascii="Times New Roman" w:eastAsia="Times New Roman" w:hAnsi="Times New Roman" w:cs="Times New Roman"/>
          <w:kern w:val="0"/>
          <w14:ligatures w14:val="none"/>
        </w:rPr>
        <w:t xml:space="preserve"> – Conduct periodic “AI Resilience Exercises” simulating provider outages, drift spikes, and adversarial prompts.</w:t>
      </w:r>
    </w:p>
    <w:p w14:paraId="401BFD24" w14:textId="77777777" w:rsidR="0052209A" w:rsidRPr="0052209A" w:rsidRDefault="0052209A" w:rsidP="0052209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b/>
          <w:bCs/>
          <w:kern w:val="0"/>
          <w14:ligatures w14:val="none"/>
        </w:rPr>
        <w:lastRenderedPageBreak/>
        <w:t>Fallback &amp; Recovery Patterns</w:t>
      </w:r>
      <w:r w:rsidRPr="0052209A">
        <w:rPr>
          <w:rFonts w:ascii="Times New Roman" w:eastAsia="Times New Roman" w:hAnsi="Times New Roman" w:cs="Times New Roman"/>
          <w:kern w:val="0"/>
          <w14:ligatures w14:val="none"/>
        </w:rPr>
        <w:t xml:space="preserve"> – Standardize transitions from </w:t>
      </w:r>
      <w:r w:rsidRPr="0052209A">
        <w:rPr>
          <w:rFonts w:ascii="Times New Roman" w:eastAsia="Times New Roman" w:hAnsi="Times New Roman" w:cs="Times New Roman"/>
          <w:i/>
          <w:iCs/>
          <w:kern w:val="0"/>
          <w14:ligatures w14:val="none"/>
        </w:rPr>
        <w:t xml:space="preserve">Full AI → </w:t>
      </w:r>
      <w:proofErr w:type="spellStart"/>
      <w:r w:rsidRPr="0052209A">
        <w:rPr>
          <w:rFonts w:ascii="Times New Roman" w:eastAsia="Times New Roman" w:hAnsi="Times New Roman" w:cs="Times New Roman"/>
          <w:i/>
          <w:iCs/>
          <w:kern w:val="0"/>
          <w14:ligatures w14:val="none"/>
        </w:rPr>
        <w:t>Guardrailed</w:t>
      </w:r>
      <w:proofErr w:type="spellEnd"/>
      <w:r w:rsidRPr="0052209A">
        <w:rPr>
          <w:rFonts w:ascii="Times New Roman" w:eastAsia="Times New Roman" w:hAnsi="Times New Roman" w:cs="Times New Roman"/>
          <w:i/>
          <w:iCs/>
          <w:kern w:val="0"/>
          <w14:ligatures w14:val="none"/>
        </w:rPr>
        <w:t xml:space="preserve"> AI → Template + Human Review → Manual SOP.</w:t>
      </w:r>
    </w:p>
    <w:p w14:paraId="0CCB206E" w14:textId="77777777" w:rsidR="0052209A" w:rsidRPr="0052209A" w:rsidRDefault="0052209A" w:rsidP="0052209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b/>
          <w:bCs/>
          <w:kern w:val="0"/>
          <w14:ligatures w14:val="none"/>
        </w:rPr>
        <w:t>Staff &amp; Knowledge Continuity</w:t>
      </w:r>
      <w:r w:rsidRPr="0052209A">
        <w:rPr>
          <w:rFonts w:ascii="Times New Roman" w:eastAsia="Times New Roman" w:hAnsi="Times New Roman" w:cs="Times New Roman"/>
          <w:kern w:val="0"/>
          <w14:ligatures w14:val="none"/>
        </w:rPr>
        <w:t xml:space="preserve"> – Preserve institutional knowledge through rotations, manual-mode rehearsals, and cross-training.</w:t>
      </w:r>
    </w:p>
    <w:p w14:paraId="67A7C0F9" w14:textId="77777777" w:rsidR="0052209A" w:rsidRPr="0052209A" w:rsidRDefault="0052209A" w:rsidP="0052209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b/>
          <w:bCs/>
          <w:kern w:val="0"/>
          <w14:ligatures w14:val="none"/>
        </w:rPr>
        <w:t>Third-Party &amp; Supply-Chain Controls</w:t>
      </w:r>
      <w:r w:rsidRPr="0052209A">
        <w:rPr>
          <w:rFonts w:ascii="Times New Roman" w:eastAsia="Times New Roman" w:hAnsi="Times New Roman" w:cs="Times New Roman"/>
          <w:kern w:val="0"/>
          <w14:ligatures w14:val="none"/>
        </w:rPr>
        <w:t xml:space="preserve"> – Map AI provider dependencies, enforce version-change SLAs, and maintain last-known-good model archives.</w:t>
      </w:r>
    </w:p>
    <w:p w14:paraId="29A30652" w14:textId="77777777" w:rsidR="0052209A" w:rsidRPr="0052209A" w:rsidRDefault="0052209A" w:rsidP="0052209A">
      <w:p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kern w:val="0"/>
          <w14:ligatures w14:val="none"/>
        </w:rPr>
        <w:t xml:space="preserve">This seven-lever model helps banks evolve from static continuity planning to </w:t>
      </w:r>
      <w:r w:rsidRPr="0052209A">
        <w:rPr>
          <w:rFonts w:ascii="Times New Roman" w:eastAsia="Times New Roman" w:hAnsi="Times New Roman" w:cs="Times New Roman"/>
          <w:i/>
          <w:iCs/>
          <w:kern w:val="0"/>
          <w14:ligatures w14:val="none"/>
        </w:rPr>
        <w:t>dynamic assurance</w:t>
      </w:r>
      <w:r w:rsidRPr="0052209A">
        <w:rPr>
          <w:rFonts w:ascii="Times New Roman" w:eastAsia="Times New Roman" w:hAnsi="Times New Roman" w:cs="Times New Roman"/>
          <w:kern w:val="0"/>
          <w14:ligatures w14:val="none"/>
        </w:rPr>
        <w:t xml:space="preserve"> — a system of continuous validation that keeps pace with model behavior.</w:t>
      </w:r>
    </w:p>
    <w:p w14:paraId="204E5C67" w14:textId="2F0C1475" w:rsidR="00540407" w:rsidRDefault="008E7537" w:rsidP="003461EB">
      <w:pPr>
        <w:spacing w:before="100" w:beforeAutospacing="1" w:after="100" w:afterAutospacing="1" w:line="240" w:lineRule="auto"/>
        <w:ind w:left="-270"/>
        <w:outlineLvl w:val="2"/>
        <w:rPr>
          <w:rFonts w:ascii="Times New Roman" w:eastAsia="Times New Roman" w:hAnsi="Times New Roman" w:cs="Times New Roman"/>
          <w:b/>
          <w:bCs/>
          <w:kern w:val="0"/>
          <w:sz w:val="27"/>
          <w:szCs w:val="27"/>
          <w14:ligatures w14:val="none"/>
        </w:rPr>
      </w:pPr>
      <w:r w:rsidRPr="008E7537">
        <w:rPr>
          <w:rFonts w:ascii="Times New Roman" w:eastAsia="Times New Roman" w:hAnsi="Times New Roman" w:cs="Times New Roman"/>
          <w:b/>
          <w:bCs/>
          <w:noProof/>
          <w:kern w:val="0"/>
          <w:sz w:val="27"/>
          <w:szCs w:val="27"/>
          <w14:ligatures w14:val="none"/>
        </w:rPr>
        <w:drawing>
          <wp:anchor distT="0" distB="0" distL="114300" distR="114300" simplePos="0" relativeHeight="251660288" behindDoc="0" locked="0" layoutInCell="1" allowOverlap="1" wp14:anchorId="13F5FDBB" wp14:editId="2A2D0AFE">
            <wp:simplePos x="0" y="0"/>
            <wp:positionH relativeFrom="column">
              <wp:posOffset>4794415</wp:posOffset>
            </wp:positionH>
            <wp:positionV relativeFrom="paragraph">
              <wp:posOffset>3151117</wp:posOffset>
            </wp:positionV>
            <wp:extent cx="678779" cy="467526"/>
            <wp:effectExtent l="0" t="0" r="7620" b="8890"/>
            <wp:wrapNone/>
            <wp:docPr id="1871325116" name="Picture 1"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25116" name="Picture 1" descr="A red and whit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8779" cy="467526"/>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noProof/>
          <w:kern w:val="0"/>
          <w:sz w:val="27"/>
          <w:szCs w:val="27"/>
        </w:rPr>
        <mc:AlternateContent>
          <mc:Choice Requires="wps">
            <w:drawing>
              <wp:anchor distT="0" distB="0" distL="114300" distR="114300" simplePos="0" relativeHeight="251659264" behindDoc="0" locked="0" layoutInCell="1" allowOverlap="1" wp14:anchorId="794DF8D5" wp14:editId="641150E4">
                <wp:simplePos x="0" y="0"/>
                <wp:positionH relativeFrom="column">
                  <wp:posOffset>4611757</wp:posOffset>
                </wp:positionH>
                <wp:positionV relativeFrom="paragraph">
                  <wp:posOffset>3149710</wp:posOffset>
                </wp:positionV>
                <wp:extent cx="1041620" cy="468713"/>
                <wp:effectExtent l="0" t="0" r="25400" b="26670"/>
                <wp:wrapNone/>
                <wp:docPr id="2106683055" name="Rectangle 3"/>
                <wp:cNvGraphicFramePr/>
                <a:graphic xmlns:a="http://schemas.openxmlformats.org/drawingml/2006/main">
                  <a:graphicData uri="http://schemas.microsoft.com/office/word/2010/wordprocessingShape">
                    <wps:wsp>
                      <wps:cNvSpPr/>
                      <wps:spPr>
                        <a:xfrm>
                          <a:off x="0" y="0"/>
                          <a:ext cx="1041620" cy="46871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DD9F3E" id="Rectangle 3" o:spid="_x0000_s1026" style="position:absolute;margin-left:363.15pt;margin-top:248pt;width:82pt;height:3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" fillcolor="white [3212]" strokecolor="white [3212]" strokeweight="1pt"/>
            </w:pict>
          </mc:Fallback>
        </mc:AlternateContent>
      </w:r>
      <w:r w:rsidR="00D44F8E">
        <w:rPr>
          <w:rFonts w:ascii="Times New Roman" w:eastAsia="Times New Roman" w:hAnsi="Times New Roman" w:cs="Times New Roman"/>
          <w:b/>
          <w:bCs/>
          <w:noProof/>
          <w:kern w:val="0"/>
          <w:sz w:val="27"/>
          <w:szCs w:val="27"/>
          <w14:ligatures w14:val="none"/>
        </w:rPr>
        <w:drawing>
          <wp:inline distT="0" distB="0" distL="0" distR="0" wp14:anchorId="39C0B359" wp14:editId="510388AA">
            <wp:extent cx="5955068" cy="3970045"/>
            <wp:effectExtent l="0" t="0" r="7620" b="0"/>
            <wp:docPr id="1326902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55068" cy="3970045"/>
                    </a:xfrm>
                    <a:prstGeom prst="rect">
                      <a:avLst/>
                    </a:prstGeom>
                    <a:noFill/>
                  </pic:spPr>
                </pic:pic>
              </a:graphicData>
            </a:graphic>
          </wp:inline>
        </w:drawing>
      </w:r>
    </w:p>
    <w:p w14:paraId="334B51A8" w14:textId="12490C26" w:rsidR="0052209A" w:rsidRPr="0052209A" w:rsidRDefault="0052209A" w:rsidP="005220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09A">
        <w:rPr>
          <w:rFonts w:ascii="Times New Roman" w:eastAsia="Times New Roman" w:hAnsi="Times New Roman" w:cs="Times New Roman"/>
          <w:b/>
          <w:bCs/>
          <w:kern w:val="0"/>
          <w:sz w:val="27"/>
          <w:szCs w:val="27"/>
          <w14:ligatures w14:val="none"/>
        </w:rPr>
        <w:t>A Practical Blueprint: The 30–60 Day Collaborative Roadmap</w:t>
      </w:r>
    </w:p>
    <w:p w14:paraId="6B885AFE" w14:textId="77777777" w:rsidR="0052209A" w:rsidRPr="0052209A" w:rsidRDefault="0052209A" w:rsidP="0052209A">
      <w:p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kern w:val="0"/>
          <w14:ligatures w14:val="none"/>
        </w:rPr>
        <w:t xml:space="preserve">While each institution’s timeline will vary, a short, structured initiative can provide tangible progress. BIP recommends a </w:t>
      </w:r>
      <w:r w:rsidRPr="0052209A">
        <w:rPr>
          <w:rFonts w:ascii="Times New Roman" w:eastAsia="Times New Roman" w:hAnsi="Times New Roman" w:cs="Times New Roman"/>
          <w:b/>
          <w:bCs/>
          <w:kern w:val="0"/>
          <w14:ligatures w14:val="none"/>
        </w:rPr>
        <w:t>30–60 Day Collaborative Roadmap</w:t>
      </w:r>
      <w:r w:rsidRPr="0052209A">
        <w:rPr>
          <w:rFonts w:ascii="Times New Roman" w:eastAsia="Times New Roman" w:hAnsi="Times New Roman" w:cs="Times New Roman"/>
          <w:kern w:val="0"/>
          <w14:ligatures w14:val="none"/>
        </w:rPr>
        <w:t>, refined through a joint scoping session between Operational Resilience, AI Governance, and Model Risk teams.</w:t>
      </w:r>
    </w:p>
    <w:p w14:paraId="6917AE9E" w14:textId="77777777" w:rsidR="0052209A" w:rsidRPr="0052209A" w:rsidRDefault="0052209A" w:rsidP="0052209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b/>
          <w:bCs/>
          <w:kern w:val="0"/>
          <w14:ligatures w14:val="none"/>
        </w:rPr>
        <w:t>Phase 1 — Discovery (0–15 Days):</w:t>
      </w:r>
      <w:r w:rsidRPr="0052209A">
        <w:rPr>
          <w:rFonts w:ascii="Times New Roman" w:eastAsia="Times New Roman" w:hAnsi="Times New Roman" w:cs="Times New Roman"/>
          <w:kern w:val="0"/>
          <w14:ligatures w14:val="none"/>
        </w:rPr>
        <w:br/>
        <w:t>Map AI use across PCS, identify critical dependencies, and define preliminary drift metrics. Establish a baseline “AI-in-PCS inventory.”</w:t>
      </w:r>
    </w:p>
    <w:p w14:paraId="4C92D66A" w14:textId="77777777" w:rsidR="0052209A" w:rsidRPr="0052209A" w:rsidRDefault="0052209A" w:rsidP="0052209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b/>
          <w:bCs/>
          <w:kern w:val="0"/>
          <w14:ligatures w14:val="none"/>
        </w:rPr>
        <w:t>Phase 2 — Pilot Design (16–30 Days):</w:t>
      </w:r>
      <w:r w:rsidRPr="0052209A">
        <w:rPr>
          <w:rFonts w:ascii="Times New Roman" w:eastAsia="Times New Roman" w:hAnsi="Times New Roman" w:cs="Times New Roman"/>
          <w:kern w:val="0"/>
          <w14:ligatures w14:val="none"/>
        </w:rPr>
        <w:br/>
        <w:t>Test prototype controls, run tabletop simulations, and evaluate fallback readiness for one or two Tier-1 services.</w:t>
      </w:r>
    </w:p>
    <w:p w14:paraId="38387361" w14:textId="77777777" w:rsidR="0052209A" w:rsidRPr="0052209A" w:rsidRDefault="0052209A" w:rsidP="0052209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b/>
          <w:bCs/>
          <w:kern w:val="0"/>
          <w14:ligatures w14:val="none"/>
        </w:rPr>
        <w:t>Phase 3 — Integration (31–60 Days):</w:t>
      </w:r>
      <w:r w:rsidRPr="0052209A">
        <w:rPr>
          <w:rFonts w:ascii="Times New Roman" w:eastAsia="Times New Roman" w:hAnsi="Times New Roman" w:cs="Times New Roman"/>
          <w:kern w:val="0"/>
          <w14:ligatures w14:val="none"/>
        </w:rPr>
        <w:br/>
        <w:t>Embed validated controls into governance templates, escalation protocols, and risk dashboards. Deliver implementation roadmap aligned with 2026 planning cycle.</w:t>
      </w:r>
    </w:p>
    <w:p w14:paraId="68AF2607" w14:textId="77777777" w:rsidR="0052209A" w:rsidRPr="0052209A" w:rsidRDefault="0052209A" w:rsidP="0052209A">
      <w:p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kern w:val="0"/>
          <w14:ligatures w14:val="none"/>
        </w:rPr>
        <w:lastRenderedPageBreak/>
        <w:t>This approach keeps momentum high, focuses effort where value is greatest, and delivers early proof points that resonate with regulators and boards alike.</w:t>
      </w:r>
    </w:p>
    <w:p w14:paraId="5F7F047B" w14:textId="77777777" w:rsidR="0052209A" w:rsidRPr="0052209A" w:rsidRDefault="0052209A" w:rsidP="005220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09A">
        <w:rPr>
          <w:rFonts w:ascii="Times New Roman" w:eastAsia="Times New Roman" w:hAnsi="Times New Roman" w:cs="Times New Roman"/>
          <w:b/>
          <w:bCs/>
          <w:kern w:val="0"/>
          <w:sz w:val="27"/>
          <w:szCs w:val="27"/>
          <w14:ligatures w14:val="none"/>
        </w:rPr>
        <w:t>From Reactive Recovery to Continuous Assurance</w:t>
      </w:r>
    </w:p>
    <w:p w14:paraId="26DBC30B" w14:textId="77777777" w:rsidR="0052209A" w:rsidRPr="0052209A" w:rsidRDefault="0052209A" w:rsidP="0052209A">
      <w:p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kern w:val="0"/>
          <w14:ligatures w14:val="none"/>
        </w:rPr>
        <w:t xml:space="preserve">Resilience programs in most banks still revolve around recovery — restoring services after failure. But AI systems demand a shift toward </w:t>
      </w:r>
      <w:r w:rsidRPr="0052209A">
        <w:rPr>
          <w:rFonts w:ascii="Times New Roman" w:eastAsia="Times New Roman" w:hAnsi="Times New Roman" w:cs="Times New Roman"/>
          <w:i/>
          <w:iCs/>
          <w:kern w:val="0"/>
          <w14:ligatures w14:val="none"/>
        </w:rPr>
        <w:t>continuous assurance</w:t>
      </w:r>
      <w:r w:rsidRPr="0052209A">
        <w:rPr>
          <w:rFonts w:ascii="Times New Roman" w:eastAsia="Times New Roman" w:hAnsi="Times New Roman" w:cs="Times New Roman"/>
          <w:kern w:val="0"/>
          <w14:ligatures w14:val="none"/>
        </w:rPr>
        <w:t xml:space="preserve"> — an active, forward-looking capability that monitors quality, detects deviation, and triggers intervention before business impact occurs.</w:t>
      </w:r>
    </w:p>
    <w:p w14:paraId="57D64719" w14:textId="77777777" w:rsidR="0052209A" w:rsidRPr="0052209A" w:rsidRDefault="0052209A" w:rsidP="0052209A">
      <w:pPr>
        <w:spacing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kern w:val="0"/>
          <w14:ligatures w14:val="none"/>
        </w:rPr>
        <w:t>“As AI becomes integral to every decision chain, resilience will no longer be a recovery exercise; it will be a living control function.”</w:t>
      </w:r>
    </w:p>
    <w:p w14:paraId="52727C92" w14:textId="77777777" w:rsidR="0052209A" w:rsidRPr="0052209A" w:rsidRDefault="0052209A" w:rsidP="0052209A">
      <w:p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kern w:val="0"/>
          <w14:ligatures w14:val="none"/>
        </w:rPr>
        <w:t>Continuous assurance involves three capabilities:</w:t>
      </w:r>
    </w:p>
    <w:p w14:paraId="0D21DBDD" w14:textId="77777777" w:rsidR="0052209A" w:rsidRPr="0052209A" w:rsidRDefault="0052209A" w:rsidP="0052209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b/>
          <w:bCs/>
          <w:kern w:val="0"/>
          <w14:ligatures w14:val="none"/>
        </w:rPr>
        <w:t>Automated monitoring</w:t>
      </w:r>
      <w:r w:rsidRPr="0052209A">
        <w:rPr>
          <w:rFonts w:ascii="Times New Roman" w:eastAsia="Times New Roman" w:hAnsi="Times New Roman" w:cs="Times New Roman"/>
          <w:kern w:val="0"/>
          <w14:ligatures w14:val="none"/>
        </w:rPr>
        <w:t xml:space="preserve"> – real-time data and model drift alerts.</w:t>
      </w:r>
    </w:p>
    <w:p w14:paraId="66FC5332" w14:textId="77777777" w:rsidR="0052209A" w:rsidRPr="0052209A" w:rsidRDefault="0052209A" w:rsidP="0052209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b/>
          <w:bCs/>
          <w:kern w:val="0"/>
          <w14:ligatures w14:val="none"/>
        </w:rPr>
        <w:t>Tiered human oversight</w:t>
      </w:r>
      <w:r w:rsidRPr="0052209A">
        <w:rPr>
          <w:rFonts w:ascii="Times New Roman" w:eastAsia="Times New Roman" w:hAnsi="Times New Roman" w:cs="Times New Roman"/>
          <w:kern w:val="0"/>
          <w14:ligatures w14:val="none"/>
        </w:rPr>
        <w:t xml:space="preserve"> – defined thresholds for manual review.</w:t>
      </w:r>
    </w:p>
    <w:p w14:paraId="7910A1EB" w14:textId="77777777" w:rsidR="0052209A" w:rsidRPr="0052209A" w:rsidRDefault="0052209A" w:rsidP="0052209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b/>
          <w:bCs/>
          <w:kern w:val="0"/>
          <w14:ligatures w14:val="none"/>
        </w:rPr>
        <w:t>Adaptive testing</w:t>
      </w:r>
      <w:r w:rsidRPr="0052209A">
        <w:rPr>
          <w:rFonts w:ascii="Times New Roman" w:eastAsia="Times New Roman" w:hAnsi="Times New Roman" w:cs="Times New Roman"/>
          <w:kern w:val="0"/>
          <w14:ligatures w14:val="none"/>
        </w:rPr>
        <w:t xml:space="preserve"> – periodic recalibration to reflect business and market change.</w:t>
      </w:r>
    </w:p>
    <w:p w14:paraId="0E209EC6" w14:textId="77777777" w:rsidR="0052209A" w:rsidRDefault="0052209A" w:rsidP="0052209A">
      <w:p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kern w:val="0"/>
          <w14:ligatures w14:val="none"/>
        </w:rPr>
        <w:t>BIP’s work with leading institutions shows that integrating these capabilities reduces AI-related operational incidents by up to 40% within the first year — while significantly improving regulator confidence in governance maturity.</w:t>
      </w:r>
    </w:p>
    <w:p w14:paraId="5E114216" w14:textId="77777777" w:rsidR="0092142C" w:rsidRDefault="0092142C" w:rsidP="0052209A">
      <w:pPr>
        <w:spacing w:before="100" w:beforeAutospacing="1" w:after="100" w:afterAutospacing="1" w:line="240" w:lineRule="auto"/>
        <w:rPr>
          <w:rFonts w:ascii="Times New Roman" w:eastAsia="Times New Roman" w:hAnsi="Times New Roman" w:cs="Times New Roman"/>
          <w:kern w:val="0"/>
          <w14:ligatures w14:val="none"/>
        </w:rPr>
      </w:pPr>
    </w:p>
    <w:p w14:paraId="5E79EC56" w14:textId="77777777" w:rsidR="003461EB" w:rsidRPr="0052209A" w:rsidRDefault="003461EB" w:rsidP="0052209A">
      <w:pPr>
        <w:spacing w:before="100" w:beforeAutospacing="1" w:after="100" w:afterAutospacing="1" w:line="240" w:lineRule="auto"/>
        <w:rPr>
          <w:rFonts w:ascii="Times New Roman" w:eastAsia="Times New Roman" w:hAnsi="Times New Roman" w:cs="Times New Roman"/>
          <w:kern w:val="0"/>
          <w14:ligatures w14:val="none"/>
        </w:rPr>
      </w:pPr>
    </w:p>
    <w:p w14:paraId="51757D1C" w14:textId="77777777" w:rsidR="0052209A" w:rsidRPr="0052209A" w:rsidRDefault="0052209A" w:rsidP="005220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09A">
        <w:rPr>
          <w:rFonts w:ascii="Times New Roman" w:eastAsia="Times New Roman" w:hAnsi="Times New Roman" w:cs="Times New Roman"/>
          <w:b/>
          <w:bCs/>
          <w:kern w:val="0"/>
          <w:sz w:val="27"/>
          <w:szCs w:val="27"/>
          <w14:ligatures w14:val="none"/>
        </w:rPr>
        <w:t>The Regulatory Horizon</w:t>
      </w:r>
    </w:p>
    <w:p w14:paraId="234D6F78" w14:textId="77777777" w:rsidR="0052209A" w:rsidRPr="0052209A" w:rsidRDefault="0052209A" w:rsidP="0052209A">
      <w:p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kern w:val="0"/>
          <w14:ligatures w14:val="none"/>
        </w:rPr>
        <w:t>The regulatory environment is catching up. Supervisors across the U.S., U.K., and Europe are emphasizing the need for explainability, human accountability, and model life-cycle governance.</w:t>
      </w:r>
    </w:p>
    <w:p w14:paraId="6CBA0F54" w14:textId="77777777" w:rsidR="0052209A" w:rsidRPr="0052209A" w:rsidRDefault="0052209A" w:rsidP="0052209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b/>
          <w:bCs/>
          <w:kern w:val="0"/>
          <w14:ligatures w14:val="none"/>
        </w:rPr>
        <w:t>SR 11-7</w:t>
      </w:r>
      <w:r w:rsidRPr="0052209A">
        <w:rPr>
          <w:rFonts w:ascii="Times New Roman" w:eastAsia="Times New Roman" w:hAnsi="Times New Roman" w:cs="Times New Roman"/>
          <w:kern w:val="0"/>
          <w14:ligatures w14:val="none"/>
        </w:rPr>
        <w:t xml:space="preserve"> is being reinterpreted to encompass machine learning validation.</w:t>
      </w:r>
    </w:p>
    <w:p w14:paraId="38EB0752" w14:textId="77777777" w:rsidR="0052209A" w:rsidRPr="0052209A" w:rsidRDefault="0052209A" w:rsidP="0052209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b/>
          <w:bCs/>
          <w:kern w:val="0"/>
          <w14:ligatures w14:val="none"/>
        </w:rPr>
        <w:t>DORA</w:t>
      </w:r>
      <w:r w:rsidRPr="0052209A">
        <w:rPr>
          <w:rFonts w:ascii="Times New Roman" w:eastAsia="Times New Roman" w:hAnsi="Times New Roman" w:cs="Times New Roman"/>
          <w:kern w:val="0"/>
          <w14:ligatures w14:val="none"/>
        </w:rPr>
        <w:t xml:space="preserve"> mandates ICT risk testing and third-party oversight — extending naturally to AI vendors.</w:t>
      </w:r>
    </w:p>
    <w:p w14:paraId="2B84ADBB" w14:textId="77777777" w:rsidR="0052209A" w:rsidRPr="0052209A" w:rsidRDefault="0052209A" w:rsidP="0052209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b/>
          <w:bCs/>
          <w:kern w:val="0"/>
          <w14:ligatures w14:val="none"/>
        </w:rPr>
        <w:t>BCBS Principles for AI</w:t>
      </w:r>
      <w:r w:rsidRPr="0052209A">
        <w:rPr>
          <w:rFonts w:ascii="Times New Roman" w:eastAsia="Times New Roman" w:hAnsi="Times New Roman" w:cs="Times New Roman"/>
          <w:kern w:val="0"/>
          <w14:ligatures w14:val="none"/>
        </w:rPr>
        <w:t xml:space="preserve"> emphasize transparency, auditability, and data lineage.</w:t>
      </w:r>
    </w:p>
    <w:p w14:paraId="1C09A9B7" w14:textId="77777777" w:rsidR="0052209A" w:rsidRPr="0052209A" w:rsidRDefault="0052209A" w:rsidP="0052209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b/>
          <w:bCs/>
          <w:kern w:val="0"/>
          <w14:ligatures w14:val="none"/>
        </w:rPr>
        <w:t>NIST AI RMF</w:t>
      </w:r>
      <w:r w:rsidRPr="0052209A">
        <w:rPr>
          <w:rFonts w:ascii="Times New Roman" w:eastAsia="Times New Roman" w:hAnsi="Times New Roman" w:cs="Times New Roman"/>
          <w:kern w:val="0"/>
          <w14:ligatures w14:val="none"/>
        </w:rPr>
        <w:t xml:space="preserve"> provides the structure for trustworthy AI practices.</w:t>
      </w:r>
    </w:p>
    <w:p w14:paraId="39C08F99" w14:textId="77777777" w:rsidR="0052209A" w:rsidRPr="0052209A" w:rsidRDefault="0052209A" w:rsidP="0052209A">
      <w:p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kern w:val="0"/>
          <w14:ligatures w14:val="none"/>
        </w:rPr>
        <w:t>While full alignment across jurisdictions is still evolving, banks that operationalize resilience now will be best prepared for convergence in 2026–2027.</w:t>
      </w:r>
    </w:p>
    <w:p w14:paraId="76FF8EB5" w14:textId="77777777" w:rsidR="0052209A" w:rsidRPr="0052209A" w:rsidRDefault="0052209A" w:rsidP="005220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209A">
        <w:rPr>
          <w:rFonts w:ascii="Times New Roman" w:eastAsia="Times New Roman" w:hAnsi="Times New Roman" w:cs="Times New Roman"/>
          <w:b/>
          <w:bCs/>
          <w:kern w:val="0"/>
          <w:sz w:val="27"/>
          <w:szCs w:val="27"/>
          <w14:ligatures w14:val="none"/>
        </w:rPr>
        <w:t>Leading with Foresight</w:t>
      </w:r>
    </w:p>
    <w:p w14:paraId="4512B92E" w14:textId="483FB564" w:rsidR="0052209A" w:rsidRPr="0052209A" w:rsidRDefault="0052209A" w:rsidP="0052209A">
      <w:p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kern w:val="0"/>
          <w14:ligatures w14:val="none"/>
        </w:rPr>
        <w:t xml:space="preserve">For </w:t>
      </w:r>
      <w:r>
        <w:rPr>
          <w:rFonts w:ascii="Times New Roman" w:eastAsia="Times New Roman" w:hAnsi="Times New Roman" w:cs="Times New Roman"/>
          <w:kern w:val="0"/>
          <w14:ligatures w14:val="none"/>
        </w:rPr>
        <w:t>today’s global financial institutions</w:t>
      </w:r>
      <w:r w:rsidRPr="0052209A">
        <w:rPr>
          <w:rFonts w:ascii="Times New Roman" w:eastAsia="Times New Roman" w:hAnsi="Times New Roman" w:cs="Times New Roman"/>
          <w:kern w:val="0"/>
          <w14:ligatures w14:val="none"/>
        </w:rPr>
        <w:t>, the question is no longer whether AI belongs in critical operations — but how to make those operations safe, stable, and auditable.</w:t>
      </w:r>
    </w:p>
    <w:p w14:paraId="7A56E443" w14:textId="77777777" w:rsidR="0052209A" w:rsidRPr="0052209A" w:rsidRDefault="0052209A" w:rsidP="0052209A">
      <w:p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kern w:val="0"/>
          <w14:ligatures w14:val="none"/>
        </w:rPr>
        <w:t>BIP’s integrated approach — combining operational resilience, model risk management, and governance — enables banks to move from experimentation to assurance. The goal is not to slow innovation, but to make it sustainable.</w:t>
      </w:r>
    </w:p>
    <w:p w14:paraId="727FD446" w14:textId="77777777" w:rsidR="0052209A" w:rsidRPr="0052209A" w:rsidRDefault="0052209A" w:rsidP="0052209A">
      <w:p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kern w:val="0"/>
          <w14:ligatures w14:val="none"/>
        </w:rPr>
        <w:lastRenderedPageBreak/>
        <w:t>By embedding resilience at the design stage, banks can unlock the advantages of AI while meeting their obligations to customers, regulators, and shareholders.</w:t>
      </w:r>
    </w:p>
    <w:p w14:paraId="2CFF7E09" w14:textId="77777777" w:rsidR="0052209A" w:rsidRPr="0052209A" w:rsidRDefault="0052209A" w:rsidP="0052209A">
      <w:pPr>
        <w:spacing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i/>
          <w:iCs/>
          <w:kern w:val="0"/>
          <w14:ligatures w14:val="none"/>
        </w:rPr>
        <w:t>“True resilience is not about surviving disruption. It’s about building systems that learn, adapt, and improve through it.”</w:t>
      </w:r>
    </w:p>
    <w:p w14:paraId="6092FBCE" w14:textId="77777777" w:rsidR="0052209A" w:rsidRPr="0052209A" w:rsidRDefault="00000000" w:rsidP="0052209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3800A4">
          <v:rect id="_x0000_i1026" style="width:0;height:1.5pt" o:hralign="center" o:hrstd="t" o:hr="t" fillcolor="#a0a0a0" stroked="f"/>
        </w:pict>
      </w:r>
    </w:p>
    <w:p w14:paraId="01D2F431" w14:textId="77777777" w:rsidR="0052209A" w:rsidRPr="0052209A" w:rsidRDefault="0052209A" w:rsidP="0052209A">
      <w:pPr>
        <w:spacing w:before="100" w:beforeAutospacing="1" w:after="100" w:afterAutospacing="1" w:line="240" w:lineRule="auto"/>
        <w:rPr>
          <w:rFonts w:ascii="Times New Roman" w:eastAsia="Times New Roman" w:hAnsi="Times New Roman" w:cs="Times New Roman"/>
          <w:kern w:val="0"/>
          <w14:ligatures w14:val="none"/>
        </w:rPr>
      </w:pPr>
      <w:r w:rsidRPr="0052209A">
        <w:rPr>
          <w:rFonts w:ascii="Times New Roman" w:eastAsia="Times New Roman" w:hAnsi="Times New Roman" w:cs="Times New Roman"/>
          <w:b/>
          <w:bCs/>
          <w:kern w:val="0"/>
          <w14:ligatures w14:val="none"/>
        </w:rPr>
        <w:t>About BIP</w:t>
      </w:r>
      <w:r w:rsidRPr="0052209A">
        <w:rPr>
          <w:rFonts w:ascii="Times New Roman" w:eastAsia="Times New Roman" w:hAnsi="Times New Roman" w:cs="Times New Roman"/>
          <w:kern w:val="0"/>
          <w14:ligatures w14:val="none"/>
        </w:rPr>
        <w:br/>
        <w:t>BIP is a global consulting firm specializing in digital transformation and risk innovation. Our Operational Resilience &amp; AI Risk Practice helps leading financial institutions design governance, controls, and testing frameworks that keep pace with the evolution of intelligent systems.</w:t>
      </w:r>
    </w:p>
    <w:p w14:paraId="73F9A80C" w14:textId="77777777" w:rsidR="000C43C1" w:rsidRDefault="000C43C1"/>
    <w:sectPr w:rsidR="000C43C1" w:rsidSect="003461EB">
      <w:headerReference w:type="first" r:id="rId10"/>
      <w:pgSz w:w="12240" w:h="15840"/>
      <w:pgMar w:top="900" w:right="1440" w:bottom="108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05953" w14:textId="77777777" w:rsidR="00585810" w:rsidRDefault="00585810" w:rsidP="0052209A">
      <w:pPr>
        <w:spacing w:after="0" w:line="240" w:lineRule="auto"/>
      </w:pPr>
      <w:r>
        <w:separator/>
      </w:r>
    </w:p>
  </w:endnote>
  <w:endnote w:type="continuationSeparator" w:id="0">
    <w:p w14:paraId="7801A125" w14:textId="77777777" w:rsidR="00585810" w:rsidRDefault="00585810" w:rsidP="00522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F49B8" w14:textId="77777777" w:rsidR="00585810" w:rsidRDefault="00585810" w:rsidP="0052209A">
      <w:pPr>
        <w:spacing w:after="0" w:line="240" w:lineRule="auto"/>
      </w:pPr>
      <w:r>
        <w:separator/>
      </w:r>
    </w:p>
  </w:footnote>
  <w:footnote w:type="continuationSeparator" w:id="0">
    <w:p w14:paraId="0C74F895" w14:textId="77777777" w:rsidR="00585810" w:rsidRDefault="00585810" w:rsidP="005220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2A478" w14:textId="77777777" w:rsidR="0052209A" w:rsidRDefault="0052209A" w:rsidP="0052209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2209A">
      <w:rPr>
        <w:rFonts w:ascii="Times New Roman" w:eastAsia="Times New Roman" w:hAnsi="Times New Roman" w:cs="Times New Roman"/>
        <w:b/>
        <w:bCs/>
        <w:kern w:val="36"/>
        <w:sz w:val="48"/>
        <w:szCs w:val="48"/>
        <w14:ligatures w14:val="none"/>
      </w:rPr>
      <w:t>When GenAI Meets Resilience: How Banks Can Stay Ahead of Model Drift</w:t>
    </w:r>
  </w:p>
  <w:p w14:paraId="56358A2B" w14:textId="7EE05210" w:rsidR="0052209A" w:rsidRPr="0052209A" w:rsidRDefault="0052209A" w:rsidP="0052209A">
    <w:pPr>
      <w:spacing w:before="100" w:beforeAutospacing="1" w:after="100" w:afterAutospacing="1" w:line="240" w:lineRule="auto"/>
    </w:pPr>
    <w:r w:rsidRPr="0052209A">
      <w:rPr>
        <w:rFonts w:ascii="Times New Roman" w:eastAsia="Times New Roman" w:hAnsi="Times New Roman" w:cs="Times New Roman"/>
        <w:i/>
        <w:iCs/>
        <w:kern w:val="0"/>
        <w14:ligatures w14:val="none"/>
      </w:rPr>
      <w:t>By the BIP Operational Resilience &amp; AI Risk Practice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95729"/>
    <w:multiLevelType w:val="multilevel"/>
    <w:tmpl w:val="F54E5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036308"/>
    <w:multiLevelType w:val="multilevel"/>
    <w:tmpl w:val="0AE43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5549E7"/>
    <w:multiLevelType w:val="multilevel"/>
    <w:tmpl w:val="E584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A94954"/>
    <w:multiLevelType w:val="multilevel"/>
    <w:tmpl w:val="DD14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CC3D0C"/>
    <w:multiLevelType w:val="multilevel"/>
    <w:tmpl w:val="8D86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F1762E"/>
    <w:multiLevelType w:val="multilevel"/>
    <w:tmpl w:val="1202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280046">
    <w:abstractNumId w:val="4"/>
  </w:num>
  <w:num w:numId="2" w16cid:durableId="522717154">
    <w:abstractNumId w:val="5"/>
  </w:num>
  <w:num w:numId="3" w16cid:durableId="80488688">
    <w:abstractNumId w:val="0"/>
  </w:num>
  <w:num w:numId="4" w16cid:durableId="701713062">
    <w:abstractNumId w:val="2"/>
  </w:num>
  <w:num w:numId="5" w16cid:durableId="713430972">
    <w:abstractNumId w:val="1"/>
  </w:num>
  <w:num w:numId="6" w16cid:durableId="18318655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09A"/>
    <w:rsid w:val="000C43C1"/>
    <w:rsid w:val="00107AC1"/>
    <w:rsid w:val="00213B9B"/>
    <w:rsid w:val="00233F8B"/>
    <w:rsid w:val="003461EB"/>
    <w:rsid w:val="0052209A"/>
    <w:rsid w:val="00540407"/>
    <w:rsid w:val="00562273"/>
    <w:rsid w:val="00585810"/>
    <w:rsid w:val="008E7537"/>
    <w:rsid w:val="0092142C"/>
    <w:rsid w:val="00AA0538"/>
    <w:rsid w:val="00AD684D"/>
    <w:rsid w:val="00B02CB5"/>
    <w:rsid w:val="00BC270F"/>
    <w:rsid w:val="00D44F8E"/>
    <w:rsid w:val="00F1021B"/>
    <w:rsid w:val="00FB7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CC4B8"/>
  <w15:chartTrackingRefBased/>
  <w15:docId w15:val="{7C1B347A-6AC7-44B2-B996-5CCBAE6D2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0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0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0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0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0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0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0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0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0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0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09A"/>
    <w:rPr>
      <w:rFonts w:eastAsiaTheme="majorEastAsia" w:cstheme="majorBidi"/>
      <w:color w:val="272727" w:themeColor="text1" w:themeTint="D8"/>
    </w:rPr>
  </w:style>
  <w:style w:type="paragraph" w:styleId="Title">
    <w:name w:val="Title"/>
    <w:basedOn w:val="Normal"/>
    <w:next w:val="Normal"/>
    <w:link w:val="TitleChar"/>
    <w:uiPriority w:val="10"/>
    <w:qFormat/>
    <w:rsid w:val="00522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09A"/>
    <w:pPr>
      <w:spacing w:before="160"/>
      <w:jc w:val="center"/>
    </w:pPr>
    <w:rPr>
      <w:i/>
      <w:iCs/>
      <w:color w:val="404040" w:themeColor="text1" w:themeTint="BF"/>
    </w:rPr>
  </w:style>
  <w:style w:type="character" w:customStyle="1" w:styleId="QuoteChar">
    <w:name w:val="Quote Char"/>
    <w:basedOn w:val="DefaultParagraphFont"/>
    <w:link w:val="Quote"/>
    <w:uiPriority w:val="29"/>
    <w:rsid w:val="0052209A"/>
    <w:rPr>
      <w:i/>
      <w:iCs/>
      <w:color w:val="404040" w:themeColor="text1" w:themeTint="BF"/>
    </w:rPr>
  </w:style>
  <w:style w:type="paragraph" w:styleId="ListParagraph">
    <w:name w:val="List Paragraph"/>
    <w:basedOn w:val="Normal"/>
    <w:uiPriority w:val="34"/>
    <w:qFormat/>
    <w:rsid w:val="0052209A"/>
    <w:pPr>
      <w:ind w:left="720"/>
      <w:contextualSpacing/>
    </w:pPr>
  </w:style>
  <w:style w:type="character" w:styleId="IntenseEmphasis">
    <w:name w:val="Intense Emphasis"/>
    <w:basedOn w:val="DefaultParagraphFont"/>
    <w:uiPriority w:val="21"/>
    <w:qFormat/>
    <w:rsid w:val="0052209A"/>
    <w:rPr>
      <w:i/>
      <w:iCs/>
      <w:color w:val="0F4761" w:themeColor="accent1" w:themeShade="BF"/>
    </w:rPr>
  </w:style>
  <w:style w:type="paragraph" w:styleId="IntenseQuote">
    <w:name w:val="Intense Quote"/>
    <w:basedOn w:val="Normal"/>
    <w:next w:val="Normal"/>
    <w:link w:val="IntenseQuoteChar"/>
    <w:uiPriority w:val="30"/>
    <w:qFormat/>
    <w:rsid w:val="00522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09A"/>
    <w:rPr>
      <w:i/>
      <w:iCs/>
      <w:color w:val="0F4761" w:themeColor="accent1" w:themeShade="BF"/>
    </w:rPr>
  </w:style>
  <w:style w:type="character" w:styleId="IntenseReference">
    <w:name w:val="Intense Reference"/>
    <w:basedOn w:val="DefaultParagraphFont"/>
    <w:uiPriority w:val="32"/>
    <w:qFormat/>
    <w:rsid w:val="0052209A"/>
    <w:rPr>
      <w:b/>
      <w:bCs/>
      <w:smallCaps/>
      <w:color w:val="0F4761" w:themeColor="accent1" w:themeShade="BF"/>
      <w:spacing w:val="5"/>
    </w:rPr>
  </w:style>
  <w:style w:type="paragraph" w:styleId="Header">
    <w:name w:val="header"/>
    <w:basedOn w:val="Normal"/>
    <w:link w:val="HeaderChar"/>
    <w:uiPriority w:val="99"/>
    <w:unhideWhenUsed/>
    <w:rsid w:val="005220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209A"/>
  </w:style>
  <w:style w:type="paragraph" w:styleId="Footer">
    <w:name w:val="footer"/>
    <w:basedOn w:val="Normal"/>
    <w:link w:val="FooterChar"/>
    <w:uiPriority w:val="99"/>
    <w:unhideWhenUsed/>
    <w:rsid w:val="005220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20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537566">
      <w:bodyDiv w:val="1"/>
      <w:marLeft w:val="0"/>
      <w:marRight w:val="0"/>
      <w:marTop w:val="0"/>
      <w:marBottom w:val="0"/>
      <w:divBdr>
        <w:top w:val="none" w:sz="0" w:space="0" w:color="auto"/>
        <w:left w:val="none" w:sz="0" w:space="0" w:color="auto"/>
        <w:bottom w:val="none" w:sz="0" w:space="0" w:color="auto"/>
        <w:right w:val="none" w:sz="0" w:space="0" w:color="auto"/>
      </w:divBdr>
      <w:divsChild>
        <w:div w:id="265188304">
          <w:blockQuote w:val="1"/>
          <w:marLeft w:val="720"/>
          <w:marRight w:val="720"/>
          <w:marTop w:val="100"/>
          <w:marBottom w:val="100"/>
          <w:divBdr>
            <w:top w:val="none" w:sz="0" w:space="0" w:color="auto"/>
            <w:left w:val="none" w:sz="0" w:space="0" w:color="auto"/>
            <w:bottom w:val="none" w:sz="0" w:space="0" w:color="auto"/>
            <w:right w:val="none" w:sz="0" w:space="0" w:color="auto"/>
          </w:divBdr>
        </w:div>
        <w:div w:id="6448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8694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1278</Words>
  <Characters>7287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Adams, Bob (Bip.Monticello)</dc:creator>
  <cp:keywords/>
  <dc:description/>
  <cp:lastModifiedBy>Adams, Bob (Bip.Monticello)</cp:lastModifiedBy>
  <cp:revision>5</cp:revision>
  <cp:lastPrinted>2025-10-23T00:49:00Z</cp:lastPrinted>
  <dcterms:created xsi:type="dcterms:W3CDTF">2025-10-23T02:06:00Z</dcterms:created>
  <dcterms:modified xsi:type="dcterms:W3CDTF">2025-10-28T00:09:00Z</dcterms:modified>
</cp:coreProperties>
</file>