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89D3C" w14:textId="77777777" w:rsidR="00876E8C" w:rsidRPr="00876E8C" w:rsidRDefault="00876E8C" w:rsidP="00876E8C">
      <w:pPr>
        <w:rPr>
          <w:b/>
          <w:bCs/>
        </w:rPr>
      </w:pPr>
      <w:r w:rsidRPr="00876E8C">
        <w:rPr>
          <w:b/>
          <w:bCs/>
        </w:rPr>
        <w:t>Date-Anchored Payments Timeline (2025–2030)</w:t>
      </w:r>
    </w:p>
    <w:p w14:paraId="04D4B794" w14:textId="77777777" w:rsidR="00876E8C" w:rsidRPr="00876E8C" w:rsidRDefault="00876E8C" w:rsidP="00876E8C">
      <w:pPr>
        <w:rPr>
          <w:b/>
          <w:bCs/>
        </w:rPr>
      </w:pPr>
      <w:r w:rsidRPr="00876E8C">
        <w:rPr>
          <w:b/>
          <w:bCs/>
        </w:rPr>
        <w:t>Master Timeline (All Topics)</w:t>
      </w:r>
    </w:p>
    <w:p w14:paraId="6F9365C1" w14:textId="77777777" w:rsidR="00876E8C" w:rsidRPr="00876E8C" w:rsidRDefault="00876E8C" w:rsidP="00876E8C">
      <w:r w:rsidRPr="00876E8C">
        <w:t>This table lists key events from 2025–2030 across cross</w:t>
      </w:r>
      <w:r w:rsidRPr="00876E8C">
        <w:noBreakHyphen/>
        <w:t>border payments (CB), embedded finance (EF), digital wallets &amp; assets (DW) and real</w:t>
      </w:r>
      <w:r w:rsidRPr="00876E8C">
        <w:noBreakHyphen/>
        <w:t xml:space="preserve">time/A2A payments (RTP/A2A). Each row </w:t>
      </w:r>
      <w:proofErr w:type="gramStart"/>
      <w:r w:rsidRPr="00876E8C">
        <w:t>is tagged</w:t>
      </w:r>
      <w:proofErr w:type="gramEnd"/>
      <w:r w:rsidRPr="00876E8C">
        <w:t xml:space="preserve"> with the primary topic and any secondary topics it affects. Dates </w:t>
      </w:r>
      <w:proofErr w:type="gramStart"/>
      <w:r w:rsidRPr="00876E8C">
        <w:t>are given</w:t>
      </w:r>
      <w:proofErr w:type="gramEnd"/>
      <w:r w:rsidRPr="00876E8C">
        <w:t xml:space="preserve"> to the most precise granularity available.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720"/>
        <w:gridCol w:w="540"/>
        <w:gridCol w:w="90"/>
        <w:gridCol w:w="990"/>
        <w:gridCol w:w="630"/>
        <w:gridCol w:w="540"/>
        <w:gridCol w:w="900"/>
        <w:gridCol w:w="630"/>
        <w:gridCol w:w="1800"/>
        <w:gridCol w:w="2430"/>
        <w:gridCol w:w="540"/>
        <w:gridCol w:w="720"/>
        <w:gridCol w:w="540"/>
        <w:gridCol w:w="900"/>
      </w:tblGrid>
      <w:tr w:rsidR="00E83EF9" w:rsidRPr="00876E8C" w14:paraId="3145ABD9" w14:textId="77777777" w:rsidTr="00E83EF9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04B397C6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690" w:type="dxa"/>
            <w:vAlign w:val="center"/>
            <w:hideMark/>
          </w:tcPr>
          <w:p w14:paraId="78D247BD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date_precision</w:t>
            </w:r>
            <w:proofErr w:type="spellEnd"/>
          </w:p>
        </w:tc>
        <w:tc>
          <w:tcPr>
            <w:tcW w:w="600" w:type="dxa"/>
            <w:gridSpan w:val="2"/>
            <w:vAlign w:val="center"/>
            <w:hideMark/>
          </w:tcPr>
          <w:p w14:paraId="3617226F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time_horizon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3090D112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600" w:type="dxa"/>
            <w:vAlign w:val="center"/>
            <w:hideMark/>
          </w:tcPr>
          <w:p w14:paraId="3EB163B9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primary_topic</w:t>
            </w:r>
            <w:proofErr w:type="spellEnd"/>
          </w:p>
        </w:tc>
        <w:tc>
          <w:tcPr>
            <w:tcW w:w="510" w:type="dxa"/>
            <w:vAlign w:val="center"/>
            <w:hideMark/>
          </w:tcPr>
          <w:p w14:paraId="364B9549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topic_flags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0CAAECA3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event_type</w:t>
            </w:r>
            <w:proofErr w:type="spellEnd"/>
          </w:p>
        </w:tc>
        <w:tc>
          <w:tcPr>
            <w:tcW w:w="600" w:type="dxa"/>
            <w:vAlign w:val="center"/>
            <w:hideMark/>
          </w:tcPr>
          <w:p w14:paraId="1444D7E6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876E8C">
              <w:rPr>
                <w:b/>
                <w:bCs/>
                <w:sz w:val="16"/>
                <w:szCs w:val="16"/>
              </w:rPr>
              <w:t>jurisdiction</w:t>
            </w:r>
            <w:proofErr w:type="gramEnd"/>
          </w:p>
        </w:tc>
        <w:tc>
          <w:tcPr>
            <w:tcW w:w="1770" w:type="dxa"/>
            <w:vAlign w:val="center"/>
            <w:hideMark/>
          </w:tcPr>
          <w:p w14:paraId="301B4C40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key_actors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224907D9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510" w:type="dxa"/>
            <w:vAlign w:val="center"/>
            <w:hideMark/>
          </w:tcPr>
          <w:p w14:paraId="66BEC614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690" w:type="dxa"/>
            <w:vAlign w:val="center"/>
            <w:hideMark/>
          </w:tcPr>
          <w:p w14:paraId="3FC1DA96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source_citation_label</w:t>
            </w:r>
            <w:proofErr w:type="spellEnd"/>
          </w:p>
        </w:tc>
        <w:tc>
          <w:tcPr>
            <w:tcW w:w="510" w:type="dxa"/>
            <w:vAlign w:val="center"/>
            <w:hideMark/>
          </w:tcPr>
          <w:p w14:paraId="0AEB86DC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source_link</w:t>
            </w:r>
            <w:proofErr w:type="spellEnd"/>
          </w:p>
        </w:tc>
        <w:tc>
          <w:tcPr>
            <w:tcW w:w="855" w:type="dxa"/>
            <w:vAlign w:val="center"/>
            <w:hideMark/>
          </w:tcPr>
          <w:p w14:paraId="08A15BA6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E83EF9" w:rsidRPr="00876E8C" w14:paraId="4883878D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8DE74A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2025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01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09</w:t>
            </w:r>
          </w:p>
        </w:tc>
        <w:tc>
          <w:tcPr>
            <w:tcW w:w="690" w:type="dxa"/>
            <w:vAlign w:val="center"/>
            <w:hideMark/>
          </w:tcPr>
          <w:p w14:paraId="692F10A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4D9F920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7DB277A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Instant Payments Regulation obligations begin for euro</w:t>
            </w:r>
            <w:r w:rsidRPr="00876E8C">
              <w:rPr>
                <w:sz w:val="16"/>
                <w:szCs w:val="16"/>
              </w:rPr>
              <w:noBreakHyphen/>
              <w:t>zone banks</w:t>
            </w:r>
          </w:p>
        </w:tc>
        <w:tc>
          <w:tcPr>
            <w:tcW w:w="600" w:type="dxa"/>
            <w:vAlign w:val="center"/>
            <w:hideMark/>
          </w:tcPr>
          <w:p w14:paraId="42A427D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RTP/A2A</w:t>
            </w:r>
          </w:p>
        </w:tc>
        <w:tc>
          <w:tcPr>
            <w:tcW w:w="510" w:type="dxa"/>
            <w:vAlign w:val="center"/>
            <w:hideMark/>
          </w:tcPr>
          <w:p w14:paraId="2E99408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RTP/A2A, CB</w:t>
            </w:r>
          </w:p>
        </w:tc>
        <w:tc>
          <w:tcPr>
            <w:tcW w:w="870" w:type="dxa"/>
            <w:vAlign w:val="center"/>
            <w:hideMark/>
          </w:tcPr>
          <w:p w14:paraId="484DDB6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6DE5EBA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288D861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Parliament, European Commission, euro</w:t>
            </w:r>
            <w:r w:rsidRPr="00876E8C">
              <w:rPr>
                <w:sz w:val="16"/>
                <w:szCs w:val="16"/>
              </w:rPr>
              <w:noBreakHyphen/>
              <w:t>area banks</w:t>
            </w:r>
          </w:p>
        </w:tc>
        <w:tc>
          <w:tcPr>
            <w:tcW w:w="2400" w:type="dxa"/>
            <w:vAlign w:val="center"/>
            <w:hideMark/>
          </w:tcPr>
          <w:p w14:paraId="585CCFF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The Instant Payments Regulation (IPR) requires euro</w:t>
            </w:r>
            <w:r w:rsidRPr="00876E8C">
              <w:rPr>
                <w:sz w:val="16"/>
                <w:szCs w:val="16"/>
              </w:rPr>
              <w:noBreakHyphen/>
              <w:t xml:space="preserve">zone credit institutions to offer </w:t>
            </w:r>
            <w:proofErr w:type="gramStart"/>
            <w:r w:rsidRPr="00876E8C">
              <w:rPr>
                <w:sz w:val="16"/>
                <w:szCs w:val="16"/>
              </w:rPr>
              <w:t>10</w:t>
            </w:r>
            <w:proofErr w:type="gramEnd"/>
            <w:r w:rsidRPr="00876E8C">
              <w:rPr>
                <w:sz w:val="16"/>
                <w:szCs w:val="16"/>
              </w:rPr>
              <w:noBreakHyphen/>
              <w:t>second instant credit transfers starting 9 Jan 2025, with mandatory execution times and low fees. This accelerates real</w:t>
            </w:r>
            <w:r w:rsidRPr="00876E8C">
              <w:rPr>
                <w:sz w:val="16"/>
                <w:szCs w:val="16"/>
              </w:rPr>
              <w:noBreakHyphen/>
              <w:t>time payments adoption and supports future cross</w:t>
            </w:r>
            <w:r w:rsidRPr="00876E8C">
              <w:rPr>
                <w:sz w:val="16"/>
                <w:szCs w:val="16"/>
              </w:rPr>
              <w:noBreakHyphen/>
              <w:t>border interoperability</w:t>
            </w:r>
            <w:hyperlink r:id="rId5" w:anchor=":~:text=Regulation%20,and%209%20October%202025%20respectively" w:tgtFrame="_blank" w:history="1">
              <w:r w:rsidRPr="00876E8C">
                <w:rPr>
                  <w:rStyle w:val="Hyperlink"/>
                  <w:sz w:val="16"/>
                  <w:szCs w:val="16"/>
                </w:rPr>
                <w:t>europeanpaymentscouncil.eu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510" w:type="dxa"/>
            <w:vAlign w:val="center"/>
            <w:hideMark/>
          </w:tcPr>
          <w:p w14:paraId="7BA3A48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4FECA34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[EPC IPR 2025]</w:t>
            </w:r>
          </w:p>
        </w:tc>
        <w:tc>
          <w:tcPr>
            <w:tcW w:w="510" w:type="dxa"/>
            <w:vAlign w:val="center"/>
            <w:hideMark/>
          </w:tcPr>
          <w:p w14:paraId="444147A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6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https://www.europeanpaymentscouncil.eu/</w:t>
              </w:r>
            </w:hyperlink>
          </w:p>
        </w:tc>
        <w:tc>
          <w:tcPr>
            <w:tcW w:w="855" w:type="dxa"/>
            <w:vAlign w:val="center"/>
            <w:hideMark/>
          </w:tcPr>
          <w:p w14:paraId="17663EC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Eurozone payment institutions outside the euro area must comply later in 2026–2027; see notes for detailed phasing.</w:t>
            </w:r>
          </w:p>
        </w:tc>
      </w:tr>
      <w:tr w:rsidR="00E83EF9" w:rsidRPr="00876E8C" w14:paraId="214553C0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8F4009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2025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05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01</w:t>
            </w:r>
          </w:p>
        </w:tc>
        <w:tc>
          <w:tcPr>
            <w:tcW w:w="690" w:type="dxa"/>
            <w:vAlign w:val="center"/>
            <w:hideMark/>
          </w:tcPr>
          <w:p w14:paraId="43C78EE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59C2ED7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261DDAF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GENIUS Act introduced in Senate to regulate payment stablecoins</w:t>
            </w:r>
          </w:p>
        </w:tc>
        <w:tc>
          <w:tcPr>
            <w:tcW w:w="600" w:type="dxa"/>
            <w:vAlign w:val="center"/>
            <w:hideMark/>
          </w:tcPr>
          <w:p w14:paraId="6266B1B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510" w:type="dxa"/>
            <w:vAlign w:val="center"/>
            <w:hideMark/>
          </w:tcPr>
          <w:p w14:paraId="18BC8DD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CB, EF</w:t>
            </w:r>
          </w:p>
        </w:tc>
        <w:tc>
          <w:tcPr>
            <w:tcW w:w="870" w:type="dxa"/>
            <w:vAlign w:val="center"/>
            <w:hideMark/>
          </w:tcPr>
          <w:p w14:paraId="149AABE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0CC190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1770" w:type="dxa"/>
            <w:vAlign w:val="center"/>
            <w:hideMark/>
          </w:tcPr>
          <w:p w14:paraId="78C74D6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Senate (bill S.1582)</w:t>
            </w:r>
          </w:p>
        </w:tc>
        <w:tc>
          <w:tcPr>
            <w:tcW w:w="2400" w:type="dxa"/>
            <w:vAlign w:val="center"/>
            <w:hideMark/>
          </w:tcPr>
          <w:p w14:paraId="10F128B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The Guiding and Establishing National Innovation for U.S. Stablecoins (GENIUS) Act establishes a framework for issuing “payment stablecoins.” Only permitted issuers may offer stablecoins; issuers must hold reserves and meet disclosure and Bank</w:t>
            </w:r>
            <w:r w:rsidRPr="00876E8C">
              <w:rPr>
                <w:sz w:val="16"/>
                <w:szCs w:val="16"/>
              </w:rPr>
              <w:noBreakHyphen/>
              <w:t>Secrecy</w:t>
            </w:r>
            <w:r w:rsidRPr="00876E8C">
              <w:rPr>
                <w:sz w:val="16"/>
                <w:szCs w:val="16"/>
              </w:rPr>
              <w:noBreakHyphen/>
              <w:t>Act requirements; and issued tokens are not treated as securities</w:t>
            </w:r>
            <w:hyperlink r:id="rId7" w:anchor=":~:text=Guiding%20and%20Establishing%20National%20Innovation,Act%20or%20the%20GENIUS%20Act" w:tgtFrame="_blank" w:history="1">
              <w:r w:rsidRPr="00876E8C">
                <w:rPr>
                  <w:rStyle w:val="Hyperlink"/>
                  <w:sz w:val="16"/>
                  <w:szCs w:val="16"/>
                </w:rPr>
                <w:t>congress.gov</w:t>
              </w:r>
            </w:hyperlink>
            <w:r w:rsidRPr="00876E8C">
              <w:rPr>
                <w:sz w:val="16"/>
                <w:szCs w:val="16"/>
              </w:rPr>
              <w:t xml:space="preserve">. This bill signals U.S. movement toward comprehensive stablecoin regulation and could affect </w:t>
            </w:r>
            <w:r w:rsidRPr="00876E8C">
              <w:rPr>
                <w:sz w:val="16"/>
                <w:szCs w:val="16"/>
              </w:rPr>
              <w:lastRenderedPageBreak/>
              <w:t>wallets, cross</w:t>
            </w:r>
            <w:r w:rsidRPr="00876E8C">
              <w:rPr>
                <w:sz w:val="16"/>
                <w:szCs w:val="16"/>
              </w:rPr>
              <w:noBreakHyphen/>
              <w:t xml:space="preserve">border </w:t>
            </w:r>
            <w:proofErr w:type="gramStart"/>
            <w:r w:rsidRPr="00876E8C">
              <w:rPr>
                <w:sz w:val="16"/>
                <w:szCs w:val="16"/>
              </w:rPr>
              <w:t>flows</w:t>
            </w:r>
            <w:proofErr w:type="gramEnd"/>
            <w:r w:rsidRPr="00876E8C">
              <w:rPr>
                <w:sz w:val="16"/>
                <w:szCs w:val="16"/>
              </w:rPr>
              <w:t xml:space="preserve"> and embedded finance.</w:t>
            </w:r>
          </w:p>
        </w:tc>
        <w:tc>
          <w:tcPr>
            <w:tcW w:w="510" w:type="dxa"/>
            <w:vAlign w:val="center"/>
            <w:hideMark/>
          </w:tcPr>
          <w:p w14:paraId="0EB37BE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Target</w:t>
            </w:r>
          </w:p>
        </w:tc>
        <w:tc>
          <w:tcPr>
            <w:tcW w:w="690" w:type="dxa"/>
            <w:vAlign w:val="center"/>
            <w:hideMark/>
          </w:tcPr>
          <w:p w14:paraId="16A4FFB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[GENIUS Act 2025]</w:t>
            </w:r>
          </w:p>
        </w:tc>
        <w:tc>
          <w:tcPr>
            <w:tcW w:w="510" w:type="dxa"/>
            <w:vAlign w:val="center"/>
            <w:hideMark/>
          </w:tcPr>
          <w:p w14:paraId="52F3158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8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https://www.congress.gov/bill/119th-congress/senate-bill/1582</w:t>
              </w:r>
            </w:hyperlink>
          </w:p>
        </w:tc>
        <w:tc>
          <w:tcPr>
            <w:tcW w:w="855" w:type="dxa"/>
            <w:vAlign w:val="center"/>
            <w:hideMark/>
          </w:tcPr>
          <w:p w14:paraId="528DB42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Bill introduced; enactment timeline uncertain.</w:t>
            </w:r>
          </w:p>
        </w:tc>
      </w:tr>
      <w:tr w:rsidR="00E83EF9" w:rsidRPr="00876E8C" w14:paraId="39CA896B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BAAB1D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2025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06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18</w:t>
            </w:r>
          </w:p>
        </w:tc>
        <w:tc>
          <w:tcPr>
            <w:tcW w:w="690" w:type="dxa"/>
            <w:vAlign w:val="center"/>
            <w:hideMark/>
          </w:tcPr>
          <w:p w14:paraId="5E75245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4F0060C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5C8E2C4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FATF revises Recommendation 16 (Travel Rule) to strengthen cross</w:t>
            </w:r>
            <w:r w:rsidRPr="00876E8C">
              <w:rPr>
                <w:sz w:val="16"/>
                <w:szCs w:val="16"/>
              </w:rPr>
              <w:noBreakHyphen/>
              <w:t>border payment transparency</w:t>
            </w:r>
          </w:p>
        </w:tc>
        <w:tc>
          <w:tcPr>
            <w:tcW w:w="600" w:type="dxa"/>
            <w:vAlign w:val="center"/>
            <w:hideMark/>
          </w:tcPr>
          <w:p w14:paraId="554491A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510" w:type="dxa"/>
            <w:vAlign w:val="center"/>
            <w:hideMark/>
          </w:tcPr>
          <w:p w14:paraId="42949DE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CB, DW</w:t>
            </w:r>
          </w:p>
        </w:tc>
        <w:tc>
          <w:tcPr>
            <w:tcW w:w="870" w:type="dxa"/>
            <w:vAlign w:val="center"/>
            <w:hideMark/>
          </w:tcPr>
          <w:p w14:paraId="5A7B099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3D2B380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1770" w:type="dxa"/>
            <w:vAlign w:val="center"/>
            <w:hideMark/>
          </w:tcPr>
          <w:p w14:paraId="3E102B8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Financial Action Task Force (FATF)</w:t>
            </w:r>
          </w:p>
        </w:tc>
        <w:tc>
          <w:tcPr>
            <w:tcW w:w="2400" w:type="dxa"/>
            <w:vAlign w:val="center"/>
            <w:hideMark/>
          </w:tcPr>
          <w:p w14:paraId="0D6361A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The FATF updated Recommendation 16 to require </w:t>
            </w:r>
            <w:proofErr w:type="spellStart"/>
            <w:r w:rsidRPr="00876E8C">
              <w:rPr>
                <w:sz w:val="16"/>
                <w:szCs w:val="16"/>
              </w:rPr>
              <w:t>standardised</w:t>
            </w:r>
            <w:proofErr w:type="spellEnd"/>
            <w:r w:rsidRPr="00876E8C">
              <w:rPr>
                <w:sz w:val="16"/>
                <w:szCs w:val="16"/>
              </w:rPr>
              <w:t xml:space="preserve"> payer/payee data in cross</w:t>
            </w:r>
            <w:r w:rsidRPr="00876E8C">
              <w:rPr>
                <w:sz w:val="16"/>
                <w:szCs w:val="16"/>
              </w:rPr>
              <w:noBreakHyphen/>
              <w:t>border payment messages and adoption of fraud</w:t>
            </w:r>
            <w:r w:rsidRPr="00876E8C">
              <w:rPr>
                <w:sz w:val="16"/>
                <w:szCs w:val="16"/>
              </w:rPr>
              <w:noBreakHyphen/>
              <w:t xml:space="preserve">prevention tools. The changes aim to reduce illicit finance and will be fully effective by 2030, pressuring banks, </w:t>
            </w:r>
            <w:proofErr w:type="spellStart"/>
            <w:r w:rsidRPr="00876E8C">
              <w:rPr>
                <w:sz w:val="16"/>
                <w:szCs w:val="16"/>
              </w:rPr>
              <w:t>fintechs</w:t>
            </w:r>
            <w:proofErr w:type="spellEnd"/>
            <w:r w:rsidRPr="00876E8C">
              <w:rPr>
                <w:sz w:val="16"/>
                <w:szCs w:val="16"/>
              </w:rPr>
              <w:t xml:space="preserve"> and stablecoin issuers to upgrade compliance systems</w:t>
            </w:r>
            <w:hyperlink r:id="rId9" w:anchor=":~:text=18%20June%202025" w:tgtFrame="_blank" w:history="1">
              <w:r w:rsidRPr="00876E8C">
                <w:rPr>
                  <w:rStyle w:val="Hyperlink"/>
                  <w:sz w:val="16"/>
                  <w:szCs w:val="16"/>
                </w:rPr>
                <w:t>fatf-gafi.org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510" w:type="dxa"/>
            <w:vAlign w:val="center"/>
            <w:hideMark/>
          </w:tcPr>
          <w:p w14:paraId="38A5AAD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4698DBC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[FATF Rec16 2025]</w:t>
            </w:r>
          </w:p>
        </w:tc>
        <w:tc>
          <w:tcPr>
            <w:tcW w:w="510" w:type="dxa"/>
            <w:vAlign w:val="center"/>
            <w:hideMark/>
          </w:tcPr>
          <w:p w14:paraId="7133D53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10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https://www.fatf-gafi.org</w:t>
              </w:r>
            </w:hyperlink>
          </w:p>
        </w:tc>
        <w:tc>
          <w:tcPr>
            <w:tcW w:w="855" w:type="dxa"/>
            <w:vAlign w:val="center"/>
            <w:hideMark/>
          </w:tcPr>
          <w:p w14:paraId="6C8808E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Requires </w:t>
            </w:r>
            <w:proofErr w:type="gramStart"/>
            <w:r w:rsidRPr="00876E8C">
              <w:rPr>
                <w:sz w:val="16"/>
                <w:szCs w:val="16"/>
              </w:rPr>
              <w:t>jurisdictions</w:t>
            </w:r>
            <w:proofErr w:type="gramEnd"/>
            <w:r w:rsidRPr="00876E8C">
              <w:rPr>
                <w:sz w:val="16"/>
                <w:szCs w:val="16"/>
              </w:rPr>
              <w:t xml:space="preserve"> to implement updated rules over the coming years.</w:t>
            </w:r>
          </w:p>
        </w:tc>
      </w:tr>
      <w:tr w:rsidR="00E83EF9" w:rsidRPr="00876E8C" w14:paraId="4062F452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A069F5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2025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09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25</w:t>
            </w:r>
          </w:p>
        </w:tc>
        <w:tc>
          <w:tcPr>
            <w:tcW w:w="690" w:type="dxa"/>
            <w:vAlign w:val="center"/>
            <w:hideMark/>
          </w:tcPr>
          <w:p w14:paraId="5B1AD14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2EDB450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2CF39B7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SWIFT announces new network rules for retail cross</w:t>
            </w:r>
            <w:r w:rsidRPr="00876E8C">
              <w:rPr>
                <w:sz w:val="16"/>
                <w:szCs w:val="16"/>
              </w:rPr>
              <w:noBreakHyphen/>
              <w:t>border payments</w:t>
            </w:r>
          </w:p>
        </w:tc>
        <w:tc>
          <w:tcPr>
            <w:tcW w:w="600" w:type="dxa"/>
            <w:vAlign w:val="center"/>
            <w:hideMark/>
          </w:tcPr>
          <w:p w14:paraId="189F3AF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510" w:type="dxa"/>
            <w:vAlign w:val="center"/>
            <w:hideMark/>
          </w:tcPr>
          <w:p w14:paraId="2FA59AF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CB, RTP/A2A</w:t>
            </w:r>
          </w:p>
        </w:tc>
        <w:tc>
          <w:tcPr>
            <w:tcW w:w="870" w:type="dxa"/>
            <w:vAlign w:val="center"/>
            <w:hideMark/>
          </w:tcPr>
          <w:p w14:paraId="7F3737B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Standard/Interoperability</w:t>
            </w:r>
          </w:p>
        </w:tc>
        <w:tc>
          <w:tcPr>
            <w:tcW w:w="600" w:type="dxa"/>
            <w:vAlign w:val="center"/>
            <w:hideMark/>
          </w:tcPr>
          <w:p w14:paraId="046171F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1770" w:type="dxa"/>
            <w:vAlign w:val="center"/>
            <w:hideMark/>
          </w:tcPr>
          <w:p w14:paraId="295D448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SWIFT, global banks</w:t>
            </w:r>
          </w:p>
        </w:tc>
        <w:tc>
          <w:tcPr>
            <w:tcW w:w="2400" w:type="dxa"/>
            <w:vAlign w:val="center"/>
            <w:hideMark/>
          </w:tcPr>
          <w:p w14:paraId="7A1AD34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SWIFT’s updated rules require full information on upfront fees, guarantee full</w:t>
            </w:r>
            <w:r w:rsidRPr="00876E8C">
              <w:rPr>
                <w:sz w:val="16"/>
                <w:szCs w:val="16"/>
              </w:rPr>
              <w:noBreakHyphen/>
              <w:t>value delivery, and enforce predictable settlement times for retail cross</w:t>
            </w:r>
            <w:r w:rsidRPr="00876E8C">
              <w:rPr>
                <w:sz w:val="16"/>
                <w:szCs w:val="16"/>
              </w:rPr>
              <w:noBreakHyphen/>
              <w:t>border payments. Over 30 banks committed to early adoption</w:t>
            </w:r>
            <w:hyperlink r:id="rId11" w:anchor=":~:text=25%20September%202025%20,min%20read" w:tgtFrame="_blank" w:history="1">
              <w:r w:rsidRPr="00876E8C">
                <w:rPr>
                  <w:rStyle w:val="Hyperlink"/>
                  <w:sz w:val="16"/>
                  <w:szCs w:val="16"/>
                </w:rPr>
                <w:t>swift.com</w:t>
              </w:r>
            </w:hyperlink>
            <w:r w:rsidRPr="00876E8C">
              <w:rPr>
                <w:sz w:val="16"/>
                <w:szCs w:val="16"/>
              </w:rPr>
              <w:t>. The initiative supports the G20 roadmap by improving speed and transparency.</w:t>
            </w:r>
          </w:p>
        </w:tc>
        <w:tc>
          <w:tcPr>
            <w:tcW w:w="510" w:type="dxa"/>
            <w:vAlign w:val="center"/>
            <w:hideMark/>
          </w:tcPr>
          <w:p w14:paraId="7228E5C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26049F3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[SWIFT Rules 2025]</w:t>
            </w:r>
          </w:p>
        </w:tc>
        <w:tc>
          <w:tcPr>
            <w:tcW w:w="510" w:type="dxa"/>
            <w:vAlign w:val="center"/>
            <w:hideMark/>
          </w:tcPr>
          <w:p w14:paraId="1A5C242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12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https://www.swift.com</w:t>
              </w:r>
            </w:hyperlink>
          </w:p>
        </w:tc>
        <w:tc>
          <w:tcPr>
            <w:tcW w:w="855" w:type="dxa"/>
            <w:vAlign w:val="center"/>
            <w:hideMark/>
          </w:tcPr>
          <w:p w14:paraId="5BE3774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Effective from end</w:t>
            </w:r>
            <w:r w:rsidRPr="00876E8C">
              <w:rPr>
                <w:sz w:val="16"/>
                <w:szCs w:val="16"/>
              </w:rPr>
              <w:noBreakHyphen/>
              <w:t>2025; adoption depends on each bank.</w:t>
            </w:r>
          </w:p>
        </w:tc>
      </w:tr>
      <w:tr w:rsidR="00E83EF9" w:rsidRPr="00876E8C" w14:paraId="6F5918B0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F43C35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2025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10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09</w:t>
            </w:r>
          </w:p>
        </w:tc>
        <w:tc>
          <w:tcPr>
            <w:tcW w:w="690" w:type="dxa"/>
            <w:vAlign w:val="center"/>
            <w:hideMark/>
          </w:tcPr>
          <w:p w14:paraId="55AA648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04DF938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102B0E3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FSB progress report warns 2027 cross</w:t>
            </w:r>
            <w:r w:rsidRPr="00876E8C">
              <w:rPr>
                <w:sz w:val="16"/>
                <w:szCs w:val="16"/>
              </w:rPr>
              <w:noBreakHyphen/>
              <w:t xml:space="preserve">border targets are unlikely to </w:t>
            </w:r>
            <w:proofErr w:type="gramStart"/>
            <w:r w:rsidRPr="00876E8C">
              <w:rPr>
                <w:sz w:val="16"/>
                <w:szCs w:val="16"/>
              </w:rPr>
              <w:t>be met</w:t>
            </w:r>
            <w:proofErr w:type="gramEnd"/>
          </w:p>
        </w:tc>
        <w:tc>
          <w:tcPr>
            <w:tcW w:w="600" w:type="dxa"/>
            <w:vAlign w:val="center"/>
            <w:hideMark/>
          </w:tcPr>
          <w:p w14:paraId="5ECC1C1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510" w:type="dxa"/>
            <w:vAlign w:val="center"/>
            <w:hideMark/>
          </w:tcPr>
          <w:p w14:paraId="575F1B6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870" w:type="dxa"/>
            <w:vAlign w:val="center"/>
            <w:hideMark/>
          </w:tcPr>
          <w:p w14:paraId="76AA8E2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Policy update</w:t>
            </w:r>
          </w:p>
        </w:tc>
        <w:tc>
          <w:tcPr>
            <w:tcW w:w="600" w:type="dxa"/>
            <w:vAlign w:val="center"/>
            <w:hideMark/>
          </w:tcPr>
          <w:p w14:paraId="081CBC0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1770" w:type="dxa"/>
            <w:vAlign w:val="center"/>
            <w:hideMark/>
          </w:tcPr>
          <w:p w14:paraId="5164FE4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Financial Stability Board (FSB), G20</w:t>
            </w:r>
          </w:p>
        </w:tc>
        <w:tc>
          <w:tcPr>
            <w:tcW w:w="2400" w:type="dxa"/>
            <w:vAlign w:val="center"/>
            <w:hideMark/>
          </w:tcPr>
          <w:p w14:paraId="2A7BBF1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The FSB’s consolidated progress report notes that although most policy work under the G20 cross</w:t>
            </w:r>
            <w:r w:rsidRPr="00876E8C">
              <w:rPr>
                <w:sz w:val="16"/>
                <w:szCs w:val="16"/>
              </w:rPr>
              <w:noBreakHyphen/>
              <w:t xml:space="preserve">border payments roadmap is complete, global improvements may not </w:t>
            </w:r>
            <w:proofErr w:type="gramStart"/>
            <w:r w:rsidRPr="00876E8C">
              <w:rPr>
                <w:sz w:val="16"/>
                <w:szCs w:val="16"/>
              </w:rPr>
              <w:t>be achieved</w:t>
            </w:r>
            <w:proofErr w:type="gramEnd"/>
            <w:r w:rsidRPr="00876E8C">
              <w:rPr>
                <w:sz w:val="16"/>
                <w:szCs w:val="16"/>
              </w:rPr>
              <w:t xml:space="preserve"> by end</w:t>
            </w:r>
            <w:r w:rsidRPr="00876E8C">
              <w:rPr>
                <w:sz w:val="16"/>
                <w:szCs w:val="16"/>
              </w:rPr>
              <w:noBreakHyphen/>
              <w:t xml:space="preserve">2027. It urges jurisdictions to implement earlier recommendations and </w:t>
            </w:r>
            <w:r w:rsidRPr="00876E8C">
              <w:rPr>
                <w:sz w:val="16"/>
                <w:szCs w:val="16"/>
              </w:rPr>
              <w:lastRenderedPageBreak/>
              <w:t>level the playing field between banks and non</w:t>
            </w:r>
            <w:r w:rsidRPr="00876E8C">
              <w:rPr>
                <w:sz w:val="16"/>
                <w:szCs w:val="16"/>
              </w:rPr>
              <w:noBreakHyphen/>
              <w:t>banks</w:t>
            </w:r>
            <w:hyperlink r:id="rId13" w:anchor=":~:text=achieve%20tangible%20improvements%20in%20cross,payments" w:tgtFrame="_blank" w:history="1">
              <w:r w:rsidRPr="00876E8C">
                <w:rPr>
                  <w:rStyle w:val="Hyperlink"/>
                  <w:sz w:val="16"/>
                  <w:szCs w:val="16"/>
                </w:rPr>
                <w:t>fsb.org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510" w:type="dxa"/>
            <w:vAlign w:val="center"/>
            <w:hideMark/>
          </w:tcPr>
          <w:p w14:paraId="685D976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Firm</w:t>
            </w:r>
          </w:p>
        </w:tc>
        <w:tc>
          <w:tcPr>
            <w:tcW w:w="690" w:type="dxa"/>
            <w:vAlign w:val="center"/>
            <w:hideMark/>
          </w:tcPr>
          <w:p w14:paraId="698685B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[FSB Progress 2025]</w:t>
            </w:r>
          </w:p>
        </w:tc>
        <w:tc>
          <w:tcPr>
            <w:tcW w:w="510" w:type="dxa"/>
            <w:vAlign w:val="center"/>
            <w:hideMark/>
          </w:tcPr>
          <w:p w14:paraId="68C5816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14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https://www.fsb.org</w:t>
              </w:r>
            </w:hyperlink>
          </w:p>
        </w:tc>
        <w:tc>
          <w:tcPr>
            <w:tcW w:w="855" w:type="dxa"/>
            <w:vAlign w:val="center"/>
            <w:hideMark/>
          </w:tcPr>
          <w:p w14:paraId="7C01E27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Highlights slow progress and need for accelerated reforms.</w:t>
            </w:r>
          </w:p>
        </w:tc>
      </w:tr>
      <w:tr w:rsidR="00E83EF9" w:rsidRPr="00876E8C" w14:paraId="6D11AFA2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814F9B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2025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11</w:t>
            </w:r>
          </w:p>
        </w:tc>
        <w:tc>
          <w:tcPr>
            <w:tcW w:w="690" w:type="dxa"/>
            <w:vAlign w:val="center"/>
            <w:hideMark/>
          </w:tcPr>
          <w:p w14:paraId="67BCE35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month</w:t>
            </w:r>
          </w:p>
        </w:tc>
        <w:tc>
          <w:tcPr>
            <w:tcW w:w="510" w:type="dxa"/>
            <w:vAlign w:val="center"/>
            <w:hideMark/>
          </w:tcPr>
          <w:p w14:paraId="546A056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025E0BE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Deadline for mandatory migration to ISO 20022 messaging in EU and SWIFT cross</w:t>
            </w:r>
            <w:r w:rsidRPr="00876E8C">
              <w:rPr>
                <w:sz w:val="16"/>
                <w:szCs w:val="16"/>
              </w:rPr>
              <w:noBreakHyphen/>
              <w:t>border payments</w:t>
            </w:r>
          </w:p>
        </w:tc>
        <w:tc>
          <w:tcPr>
            <w:tcW w:w="600" w:type="dxa"/>
            <w:vAlign w:val="center"/>
            <w:hideMark/>
          </w:tcPr>
          <w:p w14:paraId="6CFA407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510" w:type="dxa"/>
            <w:vAlign w:val="center"/>
            <w:hideMark/>
          </w:tcPr>
          <w:p w14:paraId="578879B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CB, RTP/A2A</w:t>
            </w:r>
          </w:p>
        </w:tc>
        <w:tc>
          <w:tcPr>
            <w:tcW w:w="870" w:type="dxa"/>
            <w:vAlign w:val="center"/>
            <w:hideMark/>
          </w:tcPr>
          <w:p w14:paraId="29B13EF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Standard/Interoperability</w:t>
            </w:r>
          </w:p>
        </w:tc>
        <w:tc>
          <w:tcPr>
            <w:tcW w:w="600" w:type="dxa"/>
            <w:vAlign w:val="center"/>
            <w:hideMark/>
          </w:tcPr>
          <w:p w14:paraId="0FC93E0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365D8A8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Commission, SWIFT, EPC</w:t>
            </w:r>
          </w:p>
        </w:tc>
        <w:tc>
          <w:tcPr>
            <w:tcW w:w="2400" w:type="dxa"/>
            <w:vAlign w:val="center"/>
            <w:hideMark/>
          </w:tcPr>
          <w:p w14:paraId="3D97494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Europe and SWIFT require banks to migrate to ISO 20022 messaging formats by November 2025. Rich data standards enable automation, improve </w:t>
            </w:r>
            <w:proofErr w:type="gramStart"/>
            <w:r w:rsidRPr="00876E8C">
              <w:rPr>
                <w:sz w:val="16"/>
                <w:szCs w:val="16"/>
              </w:rPr>
              <w:t>compliance</w:t>
            </w:r>
            <w:proofErr w:type="gramEnd"/>
            <w:r w:rsidRPr="00876E8C">
              <w:rPr>
                <w:sz w:val="16"/>
                <w:szCs w:val="16"/>
              </w:rPr>
              <w:t xml:space="preserve"> and form the basis for real</w:t>
            </w:r>
            <w:r w:rsidRPr="00876E8C">
              <w:rPr>
                <w:sz w:val="16"/>
                <w:szCs w:val="16"/>
              </w:rPr>
              <w:noBreakHyphen/>
              <w:t>time and cross</w:t>
            </w:r>
            <w:r w:rsidRPr="00876E8C">
              <w:rPr>
                <w:sz w:val="16"/>
                <w:szCs w:val="16"/>
              </w:rPr>
              <w:noBreakHyphen/>
              <w:t>border payment interoperability.</w:t>
            </w:r>
          </w:p>
        </w:tc>
        <w:tc>
          <w:tcPr>
            <w:tcW w:w="510" w:type="dxa"/>
            <w:vAlign w:val="center"/>
            <w:hideMark/>
          </w:tcPr>
          <w:p w14:paraId="6FE347D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7D48DB0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[ISO2022 EU 2025]</w:t>
            </w:r>
          </w:p>
        </w:tc>
        <w:tc>
          <w:tcPr>
            <w:tcW w:w="510" w:type="dxa"/>
            <w:vAlign w:val="center"/>
            <w:hideMark/>
          </w:tcPr>
          <w:p w14:paraId="6F076B3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15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https://www.swift.com</w:t>
              </w:r>
            </w:hyperlink>
          </w:p>
        </w:tc>
        <w:tc>
          <w:tcPr>
            <w:tcW w:w="855" w:type="dxa"/>
            <w:vAlign w:val="center"/>
            <w:hideMark/>
          </w:tcPr>
          <w:p w14:paraId="0AA813F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Implementation continues in phases; non</w:t>
            </w:r>
            <w:r w:rsidRPr="00876E8C">
              <w:rPr>
                <w:sz w:val="16"/>
                <w:szCs w:val="16"/>
              </w:rPr>
              <w:noBreakHyphen/>
              <w:t>EU participants follow SWIFT timelines.</w:t>
            </w:r>
          </w:p>
        </w:tc>
      </w:tr>
      <w:tr w:rsidR="00E83EF9" w:rsidRPr="00876E8C" w14:paraId="39251E86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A8BC4B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2026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04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01</w:t>
            </w:r>
          </w:p>
        </w:tc>
        <w:tc>
          <w:tcPr>
            <w:tcW w:w="690" w:type="dxa"/>
            <w:vAlign w:val="center"/>
            <w:hideMark/>
          </w:tcPr>
          <w:p w14:paraId="3F05E1C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5FB2F4C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6F64F7D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Largest U.S. banks and non</w:t>
            </w:r>
            <w:r w:rsidRPr="00876E8C">
              <w:rPr>
                <w:sz w:val="16"/>
                <w:szCs w:val="16"/>
              </w:rPr>
              <w:noBreakHyphen/>
              <w:t>bank payment firms must comply with CFPB Section 1033 open</w:t>
            </w:r>
            <w:r w:rsidRPr="00876E8C">
              <w:rPr>
                <w:sz w:val="16"/>
                <w:szCs w:val="16"/>
              </w:rPr>
              <w:noBreakHyphen/>
              <w:t>banking rule</w:t>
            </w:r>
          </w:p>
        </w:tc>
        <w:tc>
          <w:tcPr>
            <w:tcW w:w="600" w:type="dxa"/>
            <w:vAlign w:val="center"/>
            <w:hideMark/>
          </w:tcPr>
          <w:p w14:paraId="0F85D25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</w:t>
            </w:r>
          </w:p>
        </w:tc>
        <w:tc>
          <w:tcPr>
            <w:tcW w:w="510" w:type="dxa"/>
            <w:vAlign w:val="center"/>
            <w:hideMark/>
          </w:tcPr>
          <w:p w14:paraId="1BE44E5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DW, RTP/A2A</w:t>
            </w:r>
          </w:p>
        </w:tc>
        <w:tc>
          <w:tcPr>
            <w:tcW w:w="870" w:type="dxa"/>
            <w:vAlign w:val="center"/>
            <w:hideMark/>
          </w:tcPr>
          <w:p w14:paraId="209F4D6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1A695FC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1770" w:type="dxa"/>
            <w:vAlign w:val="center"/>
            <w:hideMark/>
          </w:tcPr>
          <w:p w14:paraId="578C3CB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Consumer Financial Protection Bureau (CFPB), banks, </w:t>
            </w:r>
            <w:proofErr w:type="spellStart"/>
            <w:r w:rsidRPr="00876E8C">
              <w:rPr>
                <w:sz w:val="16"/>
                <w:szCs w:val="16"/>
              </w:rPr>
              <w:t>fintechs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3A01459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The CFPB’s final rule on personal financial data rights (12 CFR §1033) requires depository institutions with ≥US$250 billion in assets and large non</w:t>
            </w:r>
            <w:r w:rsidRPr="00876E8C">
              <w:rPr>
                <w:sz w:val="16"/>
                <w:szCs w:val="16"/>
              </w:rPr>
              <w:noBreakHyphen/>
              <w:t>depository providers to enable customer</w:t>
            </w:r>
            <w:r w:rsidRPr="00876E8C">
              <w:rPr>
                <w:sz w:val="16"/>
                <w:szCs w:val="16"/>
              </w:rPr>
              <w:noBreakHyphen/>
              <w:t>directed data sharing by 1 April 2026</w:t>
            </w:r>
            <w:hyperlink r:id="rId16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 This ushers in open banking, facilitating embedded finance and real</w:t>
            </w:r>
            <w:r w:rsidRPr="00876E8C">
              <w:rPr>
                <w:sz w:val="16"/>
                <w:szCs w:val="16"/>
              </w:rPr>
              <w:noBreakHyphen/>
              <w:t>time payment use cases.</w:t>
            </w:r>
          </w:p>
        </w:tc>
        <w:tc>
          <w:tcPr>
            <w:tcW w:w="510" w:type="dxa"/>
            <w:vAlign w:val="center"/>
            <w:hideMark/>
          </w:tcPr>
          <w:p w14:paraId="5DD886C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56B76BF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2026]</w:t>
            </w:r>
          </w:p>
        </w:tc>
        <w:tc>
          <w:tcPr>
            <w:tcW w:w="510" w:type="dxa"/>
            <w:vAlign w:val="center"/>
            <w:hideMark/>
          </w:tcPr>
          <w:p w14:paraId="55B5BD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17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https://www.consumerfinance.gov</w:t>
              </w:r>
            </w:hyperlink>
          </w:p>
        </w:tc>
        <w:tc>
          <w:tcPr>
            <w:tcW w:w="855" w:type="dxa"/>
            <w:vAlign w:val="center"/>
            <w:hideMark/>
          </w:tcPr>
          <w:p w14:paraId="3829DD8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Subsequent tiers phase in through 2030.</w:t>
            </w:r>
          </w:p>
        </w:tc>
      </w:tr>
      <w:tr w:rsidR="00E83EF9" w:rsidRPr="00876E8C" w14:paraId="5FFFF798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010CC4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2026</w:t>
            </w:r>
          </w:p>
        </w:tc>
        <w:tc>
          <w:tcPr>
            <w:tcW w:w="690" w:type="dxa"/>
            <w:vAlign w:val="center"/>
            <w:hideMark/>
          </w:tcPr>
          <w:p w14:paraId="7F79923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year</w:t>
            </w:r>
          </w:p>
        </w:tc>
        <w:tc>
          <w:tcPr>
            <w:tcW w:w="510" w:type="dxa"/>
            <w:vAlign w:val="center"/>
            <w:hideMark/>
          </w:tcPr>
          <w:p w14:paraId="75EB1A5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575DD3F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EU Payment Services Directive 3 (PSD3) and Payment Services Regulation (PSR) expected to </w:t>
            </w:r>
            <w:proofErr w:type="gramStart"/>
            <w:r w:rsidRPr="00876E8C">
              <w:rPr>
                <w:sz w:val="16"/>
                <w:szCs w:val="16"/>
              </w:rPr>
              <w:lastRenderedPageBreak/>
              <w:t>enter into</w:t>
            </w:r>
            <w:proofErr w:type="gramEnd"/>
            <w:r w:rsidRPr="00876E8C">
              <w:rPr>
                <w:sz w:val="16"/>
                <w:szCs w:val="16"/>
              </w:rPr>
              <w:t xml:space="preserve"> effect</w:t>
            </w:r>
          </w:p>
        </w:tc>
        <w:tc>
          <w:tcPr>
            <w:tcW w:w="600" w:type="dxa"/>
            <w:vAlign w:val="center"/>
            <w:hideMark/>
          </w:tcPr>
          <w:p w14:paraId="4599A7A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EF</w:t>
            </w:r>
          </w:p>
        </w:tc>
        <w:tc>
          <w:tcPr>
            <w:tcW w:w="510" w:type="dxa"/>
            <w:vAlign w:val="center"/>
            <w:hideMark/>
          </w:tcPr>
          <w:p w14:paraId="32C0EA3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CB</w:t>
            </w:r>
          </w:p>
        </w:tc>
        <w:tc>
          <w:tcPr>
            <w:tcW w:w="870" w:type="dxa"/>
            <w:vAlign w:val="center"/>
            <w:hideMark/>
          </w:tcPr>
          <w:p w14:paraId="2DE5025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4597815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604A009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Parliament, Council of the EU</w:t>
            </w:r>
          </w:p>
        </w:tc>
        <w:tc>
          <w:tcPr>
            <w:tcW w:w="2400" w:type="dxa"/>
            <w:vAlign w:val="center"/>
            <w:hideMark/>
          </w:tcPr>
          <w:p w14:paraId="12053863" w14:textId="1FBFA475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After the European Commission’s 2023 proposals, PSD3/PSR should be </w:t>
            </w:r>
            <w:proofErr w:type="spellStart"/>
            <w:r w:rsidRPr="00876E8C">
              <w:rPr>
                <w:sz w:val="16"/>
                <w:szCs w:val="16"/>
              </w:rPr>
              <w:t>finalised</w:t>
            </w:r>
            <w:proofErr w:type="spellEnd"/>
            <w:r w:rsidRPr="00876E8C">
              <w:rPr>
                <w:sz w:val="16"/>
                <w:szCs w:val="16"/>
              </w:rPr>
              <w:t xml:space="preserve"> by late 2024 or early 2025. Member states will have an </w:t>
            </w:r>
            <w:proofErr w:type="gramStart"/>
            <w:r w:rsidRPr="00876E8C">
              <w:rPr>
                <w:sz w:val="16"/>
                <w:szCs w:val="16"/>
              </w:rPr>
              <w:t>18</w:t>
            </w:r>
            <w:proofErr w:type="gramEnd"/>
            <w:r w:rsidRPr="00876E8C">
              <w:rPr>
                <w:sz w:val="16"/>
                <w:szCs w:val="16"/>
              </w:rPr>
              <w:noBreakHyphen/>
              <w:t>month transition period to transpose the directive, so PSD3/PSR are expected to come into force in 2026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4E6B7518" wp14:editId="32311356">
                      <wp:extent cx="304800" cy="304800"/>
                      <wp:effectExtent l="0" t="0" r="0" b="0"/>
                      <wp:docPr id="1947783520" name="Rectangle 10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8AFC93" id="Rectangle 1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 xml:space="preserve">finextra.com. The new framework </w:t>
            </w:r>
            <w:r w:rsidRPr="00876E8C">
              <w:rPr>
                <w:sz w:val="16"/>
                <w:szCs w:val="16"/>
              </w:rPr>
              <w:lastRenderedPageBreak/>
              <w:t>strengthens consumer protection, enhances open</w:t>
            </w:r>
            <w:r w:rsidRPr="00876E8C">
              <w:rPr>
                <w:sz w:val="16"/>
                <w:szCs w:val="16"/>
              </w:rPr>
              <w:noBreakHyphen/>
              <w:t xml:space="preserve">banking API </w:t>
            </w:r>
            <w:proofErr w:type="gramStart"/>
            <w:r w:rsidRPr="00876E8C">
              <w:rPr>
                <w:sz w:val="16"/>
                <w:szCs w:val="16"/>
              </w:rPr>
              <w:t>performance</w:t>
            </w:r>
            <w:proofErr w:type="gramEnd"/>
            <w:r w:rsidRPr="00876E8C">
              <w:rPr>
                <w:sz w:val="16"/>
                <w:szCs w:val="16"/>
              </w:rPr>
              <w:t xml:space="preserve"> and </w:t>
            </w:r>
            <w:proofErr w:type="spellStart"/>
            <w:r w:rsidRPr="00876E8C">
              <w:rPr>
                <w:sz w:val="16"/>
                <w:szCs w:val="16"/>
              </w:rPr>
              <w:t>harmonises</w:t>
            </w:r>
            <w:proofErr w:type="spellEnd"/>
            <w:r w:rsidRPr="00876E8C">
              <w:rPr>
                <w:sz w:val="16"/>
                <w:szCs w:val="16"/>
              </w:rPr>
              <w:t xml:space="preserve"> licensing.</w:t>
            </w:r>
          </w:p>
        </w:tc>
        <w:tc>
          <w:tcPr>
            <w:tcW w:w="510" w:type="dxa"/>
            <w:vAlign w:val="center"/>
            <w:hideMark/>
          </w:tcPr>
          <w:p w14:paraId="6D50E2C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Target</w:t>
            </w:r>
          </w:p>
        </w:tc>
        <w:tc>
          <w:tcPr>
            <w:tcW w:w="690" w:type="dxa"/>
            <w:vAlign w:val="center"/>
            <w:hideMark/>
          </w:tcPr>
          <w:p w14:paraId="53193B6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[PSD3 PSR 2026]</w:t>
            </w:r>
          </w:p>
        </w:tc>
        <w:tc>
          <w:tcPr>
            <w:tcW w:w="510" w:type="dxa"/>
            <w:vAlign w:val="center"/>
            <w:hideMark/>
          </w:tcPr>
          <w:p w14:paraId="0A086DA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18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https://www.finextra.com/the-long-read/949/what-is-psd3-an-</w:t>
              </w:r>
              <w:r w:rsidRPr="00876E8C">
                <w:rPr>
                  <w:rStyle w:val="Hyperlink"/>
                  <w:sz w:val="16"/>
                  <w:szCs w:val="16"/>
                </w:rPr>
                <w:lastRenderedPageBreak/>
                <w:t>overview-of-changes-and-timelines</w:t>
              </w:r>
            </w:hyperlink>
          </w:p>
        </w:tc>
        <w:tc>
          <w:tcPr>
            <w:tcW w:w="855" w:type="dxa"/>
            <w:vAlign w:val="center"/>
            <w:hideMark/>
          </w:tcPr>
          <w:p w14:paraId="00628E7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Compliance obligations may apply from late 2027 (see below).</w:t>
            </w:r>
          </w:p>
        </w:tc>
      </w:tr>
      <w:tr w:rsidR="00E83EF9" w:rsidRPr="00876E8C" w14:paraId="3E4FC921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9CA5AE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2026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12</w:t>
            </w:r>
          </w:p>
        </w:tc>
        <w:tc>
          <w:tcPr>
            <w:tcW w:w="690" w:type="dxa"/>
            <w:vAlign w:val="center"/>
            <w:hideMark/>
          </w:tcPr>
          <w:p w14:paraId="630F6D7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month</w:t>
            </w:r>
          </w:p>
        </w:tc>
        <w:tc>
          <w:tcPr>
            <w:tcW w:w="510" w:type="dxa"/>
            <w:vAlign w:val="center"/>
            <w:hideMark/>
          </w:tcPr>
          <w:p w14:paraId="61E69A8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66C357B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member states must provide at least one European Digital Identity (EUDI) wallet</w:t>
            </w:r>
          </w:p>
        </w:tc>
        <w:tc>
          <w:tcPr>
            <w:tcW w:w="600" w:type="dxa"/>
            <w:vAlign w:val="center"/>
            <w:hideMark/>
          </w:tcPr>
          <w:p w14:paraId="6F09723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510" w:type="dxa"/>
            <w:vAlign w:val="center"/>
            <w:hideMark/>
          </w:tcPr>
          <w:p w14:paraId="58701E5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EF</w:t>
            </w:r>
          </w:p>
        </w:tc>
        <w:tc>
          <w:tcPr>
            <w:tcW w:w="870" w:type="dxa"/>
            <w:vAlign w:val="center"/>
            <w:hideMark/>
          </w:tcPr>
          <w:p w14:paraId="6048F8C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6A7D9A5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6F974C4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Commission, national governments</w:t>
            </w:r>
          </w:p>
        </w:tc>
        <w:tc>
          <w:tcPr>
            <w:tcW w:w="2400" w:type="dxa"/>
            <w:vAlign w:val="center"/>
            <w:hideMark/>
          </w:tcPr>
          <w:p w14:paraId="1A563AF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 (EU) 2024/1183 requires every member state to offer at least one government</w:t>
            </w:r>
            <w:r w:rsidRPr="00876E8C">
              <w:rPr>
                <w:sz w:val="16"/>
                <w:szCs w:val="16"/>
              </w:rPr>
              <w:noBreakHyphen/>
              <w:t>issued digital identity wallet by December 2026</w:t>
            </w:r>
            <w:hyperlink r:id="rId19" w:anchor=":~:text=by%20late%20December%202026.,28" w:tgtFrame="_blank" w:history="1">
              <w:r w:rsidRPr="00876E8C">
                <w:rPr>
                  <w:rStyle w:val="Hyperlink"/>
                  <w:sz w:val="16"/>
                  <w:szCs w:val="16"/>
                </w:rPr>
                <w:t>en.wikipedia.org</w:t>
              </w:r>
            </w:hyperlink>
            <w:r w:rsidRPr="00876E8C">
              <w:rPr>
                <w:sz w:val="16"/>
                <w:szCs w:val="16"/>
              </w:rPr>
              <w:t xml:space="preserve">. The wallet can store ID data, licenses and </w:t>
            </w:r>
            <w:proofErr w:type="gramStart"/>
            <w:r w:rsidRPr="00876E8C">
              <w:rPr>
                <w:sz w:val="16"/>
                <w:szCs w:val="16"/>
              </w:rPr>
              <w:t>possibly payment</w:t>
            </w:r>
            <w:proofErr w:type="gramEnd"/>
            <w:r w:rsidRPr="00876E8C">
              <w:rPr>
                <w:sz w:val="16"/>
                <w:szCs w:val="16"/>
              </w:rPr>
              <w:t xml:space="preserve"> credentials, supporting digital</w:t>
            </w:r>
            <w:r w:rsidRPr="00876E8C">
              <w:rPr>
                <w:sz w:val="16"/>
                <w:szCs w:val="16"/>
              </w:rPr>
              <w:noBreakHyphen/>
              <w:t>wallet interoperability and embedded finance services.</w:t>
            </w:r>
          </w:p>
        </w:tc>
        <w:tc>
          <w:tcPr>
            <w:tcW w:w="510" w:type="dxa"/>
            <w:vAlign w:val="center"/>
            <w:hideMark/>
          </w:tcPr>
          <w:p w14:paraId="792153F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0E9F586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[EUDI Wallet 2026]</w:t>
            </w:r>
          </w:p>
        </w:tc>
        <w:tc>
          <w:tcPr>
            <w:tcW w:w="510" w:type="dxa"/>
            <w:vAlign w:val="center"/>
            <w:hideMark/>
          </w:tcPr>
          <w:p w14:paraId="120FB62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https://en.wikipedia.org/wiki/European_Digital_Identity</w:t>
            </w:r>
          </w:p>
        </w:tc>
        <w:tc>
          <w:tcPr>
            <w:tcW w:w="855" w:type="dxa"/>
            <w:vAlign w:val="center"/>
            <w:hideMark/>
          </w:tcPr>
          <w:p w14:paraId="7FCB88E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First phase of </w:t>
            </w:r>
            <w:proofErr w:type="spellStart"/>
            <w:r w:rsidRPr="00876E8C">
              <w:rPr>
                <w:sz w:val="16"/>
                <w:szCs w:val="16"/>
              </w:rPr>
              <w:t>eIDAS</w:t>
            </w:r>
            <w:proofErr w:type="spellEnd"/>
            <w:r w:rsidRPr="00876E8C">
              <w:rPr>
                <w:sz w:val="16"/>
                <w:szCs w:val="16"/>
              </w:rPr>
              <w:t> 2.0 implementation.</w:t>
            </w:r>
          </w:p>
        </w:tc>
      </w:tr>
      <w:tr w:rsidR="00E83EF9" w:rsidRPr="00876E8C" w14:paraId="21FF2BA9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5E3CE4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2027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04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01</w:t>
            </w:r>
          </w:p>
        </w:tc>
        <w:tc>
          <w:tcPr>
            <w:tcW w:w="690" w:type="dxa"/>
            <w:vAlign w:val="center"/>
            <w:hideMark/>
          </w:tcPr>
          <w:p w14:paraId="5F6D6B1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03B1F70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5D5F48D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Medium</w:t>
            </w:r>
            <w:r w:rsidRPr="00876E8C">
              <w:rPr>
                <w:sz w:val="16"/>
                <w:szCs w:val="16"/>
              </w:rPr>
              <w:noBreakHyphen/>
              <w:t>sized U.S. banks must comply with open</w:t>
            </w:r>
            <w:r w:rsidRPr="00876E8C">
              <w:rPr>
                <w:sz w:val="16"/>
                <w:szCs w:val="16"/>
              </w:rPr>
              <w:noBreakHyphen/>
              <w:t>banking rule</w:t>
            </w:r>
          </w:p>
        </w:tc>
        <w:tc>
          <w:tcPr>
            <w:tcW w:w="600" w:type="dxa"/>
            <w:vAlign w:val="center"/>
            <w:hideMark/>
          </w:tcPr>
          <w:p w14:paraId="2B7A7D3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</w:t>
            </w:r>
          </w:p>
        </w:tc>
        <w:tc>
          <w:tcPr>
            <w:tcW w:w="510" w:type="dxa"/>
            <w:vAlign w:val="center"/>
            <w:hideMark/>
          </w:tcPr>
          <w:p w14:paraId="1523167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DW, RTP/A2A</w:t>
            </w:r>
          </w:p>
        </w:tc>
        <w:tc>
          <w:tcPr>
            <w:tcW w:w="870" w:type="dxa"/>
            <w:vAlign w:val="center"/>
            <w:hideMark/>
          </w:tcPr>
          <w:p w14:paraId="7E2127B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58FCC36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1770" w:type="dxa"/>
            <w:vAlign w:val="center"/>
            <w:hideMark/>
          </w:tcPr>
          <w:p w14:paraId="73E174C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CFPB, banks</w:t>
            </w:r>
          </w:p>
        </w:tc>
        <w:tc>
          <w:tcPr>
            <w:tcW w:w="2400" w:type="dxa"/>
            <w:vAlign w:val="center"/>
            <w:hideMark/>
          </w:tcPr>
          <w:p w14:paraId="2B49C3C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Depository institutions with ≥US$10 billion in assets (and non</w:t>
            </w:r>
            <w:r w:rsidRPr="00876E8C">
              <w:rPr>
                <w:sz w:val="16"/>
                <w:szCs w:val="16"/>
              </w:rPr>
              <w:noBreakHyphen/>
              <w:t>depository providers meeting revenue thresholds) must provide data</w:t>
            </w:r>
            <w:r w:rsidRPr="00876E8C">
              <w:rPr>
                <w:sz w:val="16"/>
                <w:szCs w:val="16"/>
              </w:rPr>
              <w:noBreakHyphen/>
              <w:t>sharing APIs by April 1 2027</w:t>
            </w:r>
            <w:hyperlink r:id="rId20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 This broadens open banking beyond megabanks and enables more embedded</w:t>
            </w:r>
            <w:r w:rsidRPr="00876E8C">
              <w:rPr>
                <w:sz w:val="16"/>
                <w:szCs w:val="16"/>
              </w:rPr>
              <w:noBreakHyphen/>
              <w:t>finance services.</w:t>
            </w:r>
          </w:p>
        </w:tc>
        <w:tc>
          <w:tcPr>
            <w:tcW w:w="510" w:type="dxa"/>
            <w:vAlign w:val="center"/>
            <w:hideMark/>
          </w:tcPr>
          <w:p w14:paraId="47E82F8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3173915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2027]</w:t>
            </w:r>
          </w:p>
        </w:tc>
        <w:tc>
          <w:tcPr>
            <w:tcW w:w="510" w:type="dxa"/>
            <w:vAlign w:val="center"/>
            <w:hideMark/>
          </w:tcPr>
          <w:p w14:paraId="399BFE9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21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https://www.consumerfinance.gov</w:t>
              </w:r>
            </w:hyperlink>
          </w:p>
        </w:tc>
        <w:tc>
          <w:tcPr>
            <w:tcW w:w="855" w:type="dxa"/>
            <w:vAlign w:val="center"/>
            <w:hideMark/>
          </w:tcPr>
          <w:p w14:paraId="3082B8FA" w14:textId="77777777" w:rsidR="00876E8C" w:rsidRPr="00876E8C" w:rsidRDefault="00876E8C" w:rsidP="00876E8C">
            <w:pPr>
              <w:rPr>
                <w:sz w:val="16"/>
                <w:szCs w:val="16"/>
              </w:rPr>
            </w:pPr>
          </w:p>
        </w:tc>
      </w:tr>
      <w:tr w:rsidR="00E83EF9" w:rsidRPr="00876E8C" w14:paraId="7AEE4BF1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53AA7E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2027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07</w:t>
            </w:r>
          </w:p>
        </w:tc>
        <w:tc>
          <w:tcPr>
            <w:tcW w:w="690" w:type="dxa"/>
            <w:vAlign w:val="center"/>
            <w:hideMark/>
          </w:tcPr>
          <w:p w14:paraId="4647CA3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month</w:t>
            </w:r>
          </w:p>
        </w:tc>
        <w:tc>
          <w:tcPr>
            <w:tcW w:w="510" w:type="dxa"/>
            <w:vAlign w:val="center"/>
            <w:hideMark/>
          </w:tcPr>
          <w:p w14:paraId="4B24970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55C2266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PSD3/PSR compliance obligations </w:t>
            </w:r>
            <w:proofErr w:type="gramStart"/>
            <w:r w:rsidRPr="00876E8C">
              <w:rPr>
                <w:sz w:val="16"/>
                <w:szCs w:val="16"/>
              </w:rPr>
              <w:t>likely start</w:t>
            </w:r>
            <w:proofErr w:type="gramEnd"/>
            <w:r w:rsidRPr="00876E8C">
              <w:rPr>
                <w:sz w:val="16"/>
                <w:szCs w:val="16"/>
              </w:rPr>
              <w:t xml:space="preserve"> in second half of </w:t>
            </w:r>
            <w:r w:rsidRPr="00876E8C">
              <w:rPr>
                <w:sz w:val="16"/>
                <w:szCs w:val="16"/>
              </w:rPr>
              <w:lastRenderedPageBreak/>
              <w:t>2027 or early 2028</w:t>
            </w:r>
          </w:p>
        </w:tc>
        <w:tc>
          <w:tcPr>
            <w:tcW w:w="600" w:type="dxa"/>
            <w:vAlign w:val="center"/>
            <w:hideMark/>
          </w:tcPr>
          <w:p w14:paraId="144929B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EF</w:t>
            </w:r>
          </w:p>
        </w:tc>
        <w:tc>
          <w:tcPr>
            <w:tcW w:w="510" w:type="dxa"/>
            <w:vAlign w:val="center"/>
            <w:hideMark/>
          </w:tcPr>
          <w:p w14:paraId="55D256E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CB</w:t>
            </w:r>
          </w:p>
        </w:tc>
        <w:tc>
          <w:tcPr>
            <w:tcW w:w="870" w:type="dxa"/>
            <w:vAlign w:val="center"/>
            <w:hideMark/>
          </w:tcPr>
          <w:p w14:paraId="015DAF3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0216D6A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41347A3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Commission, banks, payment institutions</w:t>
            </w:r>
          </w:p>
        </w:tc>
        <w:tc>
          <w:tcPr>
            <w:tcW w:w="2400" w:type="dxa"/>
            <w:vAlign w:val="center"/>
            <w:hideMark/>
          </w:tcPr>
          <w:p w14:paraId="154156E7" w14:textId="3DC27154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Industry observers expect financial institutions to face compliance obligations under PSD3 and PSR from the second half of 2027 or early 2028 as the new payment framework takes </w:t>
            </w:r>
            <w:r w:rsidRPr="00876E8C">
              <w:rPr>
                <w:sz w:val="16"/>
                <w:szCs w:val="16"/>
              </w:rPr>
              <w:lastRenderedPageBreak/>
              <w:t>effect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0B780638" wp14:editId="10D45B62">
                      <wp:extent cx="304800" cy="304800"/>
                      <wp:effectExtent l="0" t="0" r="0" b="0"/>
                      <wp:docPr id="667226912" name="Rectangle 1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CAB5FD" id="Rectangle 1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finologee.com. This will require upgrades to licensing, fraud prevention and open</w:t>
            </w:r>
            <w:r w:rsidRPr="00876E8C">
              <w:rPr>
                <w:sz w:val="16"/>
                <w:szCs w:val="16"/>
              </w:rPr>
              <w:noBreakHyphen/>
              <w:t>banking processes.</w:t>
            </w:r>
          </w:p>
        </w:tc>
        <w:tc>
          <w:tcPr>
            <w:tcW w:w="510" w:type="dxa"/>
            <w:vAlign w:val="center"/>
            <w:hideMark/>
          </w:tcPr>
          <w:p w14:paraId="06AF88A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Target</w:t>
            </w:r>
          </w:p>
        </w:tc>
        <w:tc>
          <w:tcPr>
            <w:tcW w:w="690" w:type="dxa"/>
            <w:vAlign w:val="center"/>
            <w:hideMark/>
          </w:tcPr>
          <w:p w14:paraId="171A330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[PSD3 Compliance 2027]</w:t>
            </w:r>
          </w:p>
        </w:tc>
        <w:tc>
          <w:tcPr>
            <w:tcW w:w="510" w:type="dxa"/>
            <w:vAlign w:val="center"/>
            <w:hideMark/>
          </w:tcPr>
          <w:p w14:paraId="63237A0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22" w:tgtFrame="_new" w:history="1">
              <w:r w:rsidRPr="00876E8C">
                <w:rPr>
                  <w:rStyle w:val="Hyperlink"/>
                  <w:sz w:val="16"/>
                  <w:szCs w:val="16"/>
                </w:rPr>
                <w:t>https://finologee.com/the-next-evolution-of-</w:t>
              </w:r>
              <w:r w:rsidRPr="00876E8C">
                <w:rPr>
                  <w:rStyle w:val="Hyperlink"/>
                  <w:sz w:val="16"/>
                  <w:szCs w:val="16"/>
                </w:rPr>
                <w:lastRenderedPageBreak/>
                <w:t>eu-payments-an-update-on-psd3-and-psr/</w:t>
              </w:r>
            </w:hyperlink>
          </w:p>
        </w:tc>
        <w:tc>
          <w:tcPr>
            <w:tcW w:w="855" w:type="dxa"/>
            <w:vAlign w:val="center"/>
            <w:hideMark/>
          </w:tcPr>
          <w:p w14:paraId="630CBE5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Illustrative; final dates depend on legislative negotiations.</w:t>
            </w:r>
          </w:p>
        </w:tc>
      </w:tr>
      <w:tr w:rsidR="00E83EF9" w:rsidRPr="00876E8C" w14:paraId="21F58F2D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2E45BE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2027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mid</w:t>
            </w:r>
          </w:p>
        </w:tc>
        <w:tc>
          <w:tcPr>
            <w:tcW w:w="690" w:type="dxa"/>
            <w:vAlign w:val="center"/>
            <w:hideMark/>
          </w:tcPr>
          <w:p w14:paraId="2DA78B3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month</w:t>
            </w:r>
          </w:p>
        </w:tc>
        <w:tc>
          <w:tcPr>
            <w:tcW w:w="510" w:type="dxa"/>
            <w:vAlign w:val="center"/>
            <w:hideMark/>
          </w:tcPr>
          <w:p w14:paraId="0F94509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47E5612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ECB digital euro pilot planned to start</w:t>
            </w:r>
          </w:p>
        </w:tc>
        <w:tc>
          <w:tcPr>
            <w:tcW w:w="600" w:type="dxa"/>
            <w:vAlign w:val="center"/>
            <w:hideMark/>
          </w:tcPr>
          <w:p w14:paraId="45CC6E3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510" w:type="dxa"/>
            <w:vAlign w:val="center"/>
            <w:hideMark/>
          </w:tcPr>
          <w:p w14:paraId="4EACAFB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CB</w:t>
            </w:r>
          </w:p>
        </w:tc>
        <w:tc>
          <w:tcPr>
            <w:tcW w:w="870" w:type="dxa"/>
            <w:vAlign w:val="center"/>
            <w:hideMark/>
          </w:tcPr>
          <w:p w14:paraId="51DDA56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CBDC Pilot</w:t>
            </w:r>
          </w:p>
        </w:tc>
        <w:tc>
          <w:tcPr>
            <w:tcW w:w="600" w:type="dxa"/>
            <w:vAlign w:val="center"/>
            <w:hideMark/>
          </w:tcPr>
          <w:p w14:paraId="3F1EEA1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2007120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Central Bank (ECB)</w:t>
            </w:r>
          </w:p>
        </w:tc>
        <w:tc>
          <w:tcPr>
            <w:tcW w:w="2400" w:type="dxa"/>
            <w:vAlign w:val="center"/>
            <w:hideMark/>
          </w:tcPr>
          <w:p w14:paraId="4A4B6DAF" w14:textId="0C681D8F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The ECB’s digital</w:t>
            </w:r>
            <w:r w:rsidRPr="00876E8C">
              <w:rPr>
                <w:sz w:val="16"/>
                <w:szCs w:val="16"/>
              </w:rPr>
              <w:noBreakHyphen/>
              <w:t>euro project is moving from preparation to a technical</w:t>
            </w:r>
            <w:r w:rsidRPr="00876E8C">
              <w:rPr>
                <w:sz w:val="16"/>
                <w:szCs w:val="16"/>
              </w:rPr>
              <w:noBreakHyphen/>
              <w:t xml:space="preserve">readiness phase. ECB President Christine Lagarde has stated that, assuming legislation </w:t>
            </w:r>
            <w:proofErr w:type="gramStart"/>
            <w:r w:rsidRPr="00876E8C">
              <w:rPr>
                <w:sz w:val="16"/>
                <w:szCs w:val="16"/>
              </w:rPr>
              <w:t>is adopted</w:t>
            </w:r>
            <w:proofErr w:type="gramEnd"/>
            <w:r w:rsidRPr="00876E8C">
              <w:rPr>
                <w:sz w:val="16"/>
                <w:szCs w:val="16"/>
              </w:rPr>
              <w:t xml:space="preserve"> in 2026, a pilot phase will begin around mid</w:t>
            </w:r>
            <w:r w:rsidRPr="00876E8C">
              <w:rPr>
                <w:sz w:val="16"/>
                <w:szCs w:val="16"/>
              </w:rPr>
              <w:noBreakHyphen/>
              <w:t>2027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1693466C" wp14:editId="10724FB2">
                      <wp:extent cx="304800" cy="304800"/>
                      <wp:effectExtent l="0" t="0" r="0" b="0"/>
                      <wp:docPr id="2128812829" name="Rectangle 1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4F501E" id="Rectangle 1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 xml:space="preserve">coinedition.com. The pilot will </w:t>
            </w:r>
            <w:proofErr w:type="gramStart"/>
            <w:r w:rsidRPr="00876E8C">
              <w:rPr>
                <w:sz w:val="16"/>
                <w:szCs w:val="16"/>
              </w:rPr>
              <w:t>test</w:t>
            </w:r>
            <w:proofErr w:type="gramEnd"/>
            <w:r w:rsidRPr="00876E8C">
              <w:rPr>
                <w:sz w:val="16"/>
                <w:szCs w:val="16"/>
              </w:rPr>
              <w:t xml:space="preserve"> infrastructure and market engagement for a euro CBDC.</w:t>
            </w:r>
          </w:p>
        </w:tc>
        <w:tc>
          <w:tcPr>
            <w:tcW w:w="510" w:type="dxa"/>
            <w:vAlign w:val="center"/>
            <w:hideMark/>
          </w:tcPr>
          <w:p w14:paraId="4ABBB5E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690" w:type="dxa"/>
            <w:vAlign w:val="center"/>
            <w:hideMark/>
          </w:tcPr>
          <w:p w14:paraId="1E3F3FC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[Digital Euro Pilot 2027]</w:t>
            </w:r>
          </w:p>
        </w:tc>
        <w:tc>
          <w:tcPr>
            <w:tcW w:w="510" w:type="dxa"/>
            <w:vAlign w:val="center"/>
            <w:hideMark/>
          </w:tcPr>
          <w:p w14:paraId="7B7DB63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23" w:tgtFrame="_new" w:history="1">
              <w:r w:rsidRPr="00876E8C">
                <w:rPr>
                  <w:rStyle w:val="Hyperlink"/>
                  <w:sz w:val="16"/>
                  <w:szCs w:val="16"/>
                </w:rPr>
                <w:t>https://coinedition.com/ecb-digital-euro-rollout-timeline-2029-2027-pilot</w:t>
              </w:r>
            </w:hyperlink>
          </w:p>
        </w:tc>
        <w:tc>
          <w:tcPr>
            <w:tcW w:w="855" w:type="dxa"/>
            <w:vAlign w:val="center"/>
            <w:hideMark/>
          </w:tcPr>
          <w:p w14:paraId="20C4336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Pilot may include selected consumers and merchants.</w:t>
            </w:r>
          </w:p>
        </w:tc>
      </w:tr>
      <w:tr w:rsidR="00E83EF9" w:rsidRPr="00876E8C" w14:paraId="7DF2A922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4827C2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2027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12</w:t>
            </w:r>
          </w:p>
        </w:tc>
        <w:tc>
          <w:tcPr>
            <w:tcW w:w="690" w:type="dxa"/>
            <w:vAlign w:val="center"/>
            <w:hideMark/>
          </w:tcPr>
          <w:p w14:paraId="7CE0BC1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month</w:t>
            </w:r>
          </w:p>
        </w:tc>
        <w:tc>
          <w:tcPr>
            <w:tcW w:w="510" w:type="dxa"/>
            <w:vAlign w:val="center"/>
            <w:hideMark/>
          </w:tcPr>
          <w:p w14:paraId="549D218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2B1C7AC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Mandatory acceptance of EUDI wallets by certain private</w:t>
            </w:r>
            <w:r w:rsidRPr="00876E8C">
              <w:rPr>
                <w:sz w:val="16"/>
                <w:szCs w:val="16"/>
              </w:rPr>
              <w:noBreakHyphen/>
              <w:t>sector relying parties</w:t>
            </w:r>
          </w:p>
        </w:tc>
        <w:tc>
          <w:tcPr>
            <w:tcW w:w="600" w:type="dxa"/>
            <w:vAlign w:val="center"/>
            <w:hideMark/>
          </w:tcPr>
          <w:p w14:paraId="7E9F27B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510" w:type="dxa"/>
            <w:vAlign w:val="center"/>
            <w:hideMark/>
          </w:tcPr>
          <w:p w14:paraId="3AC3884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EF</w:t>
            </w:r>
          </w:p>
        </w:tc>
        <w:tc>
          <w:tcPr>
            <w:tcW w:w="870" w:type="dxa"/>
            <w:vAlign w:val="center"/>
            <w:hideMark/>
          </w:tcPr>
          <w:p w14:paraId="7A4EC0F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3A4D82A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4A9ACA2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Commission, private firms</w:t>
            </w:r>
          </w:p>
        </w:tc>
        <w:tc>
          <w:tcPr>
            <w:tcW w:w="2400" w:type="dxa"/>
            <w:vAlign w:val="center"/>
            <w:hideMark/>
          </w:tcPr>
          <w:p w14:paraId="2F498FC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The EUDI regulation requires private</w:t>
            </w:r>
            <w:r w:rsidRPr="00876E8C">
              <w:rPr>
                <w:sz w:val="16"/>
                <w:szCs w:val="16"/>
              </w:rPr>
              <w:noBreakHyphen/>
              <w:t xml:space="preserve">sector </w:t>
            </w:r>
            <w:proofErr w:type="spellStart"/>
            <w:r w:rsidRPr="00876E8C">
              <w:rPr>
                <w:sz w:val="16"/>
                <w:szCs w:val="16"/>
              </w:rPr>
              <w:t>organisations</w:t>
            </w:r>
            <w:proofErr w:type="spellEnd"/>
            <w:r w:rsidRPr="00876E8C">
              <w:rPr>
                <w:sz w:val="16"/>
                <w:szCs w:val="16"/>
              </w:rPr>
              <w:t xml:space="preserve"> that must use strong authentication (e.g., banks, telecoms, large platforms) to accept EU digital identity wallets by December 2027</w:t>
            </w:r>
            <w:hyperlink r:id="rId24" w:anchor=":~:text=by%20late%20December%202026.,28" w:tgtFrame="_blank" w:history="1">
              <w:r w:rsidRPr="00876E8C">
                <w:rPr>
                  <w:rStyle w:val="Hyperlink"/>
                  <w:sz w:val="16"/>
                  <w:szCs w:val="16"/>
                </w:rPr>
                <w:t>en.wikipedia.org</w:t>
              </w:r>
            </w:hyperlink>
            <w:r w:rsidRPr="00876E8C">
              <w:rPr>
                <w:sz w:val="16"/>
                <w:szCs w:val="16"/>
              </w:rPr>
              <w:t>. This expands wallet utility and supports embedded payment use cases across Europe.</w:t>
            </w:r>
          </w:p>
        </w:tc>
        <w:tc>
          <w:tcPr>
            <w:tcW w:w="510" w:type="dxa"/>
            <w:vAlign w:val="center"/>
            <w:hideMark/>
          </w:tcPr>
          <w:p w14:paraId="341CE6A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53C9AB6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[EUDI Accept 2027]</w:t>
            </w:r>
          </w:p>
        </w:tc>
        <w:tc>
          <w:tcPr>
            <w:tcW w:w="510" w:type="dxa"/>
            <w:vAlign w:val="center"/>
            <w:hideMark/>
          </w:tcPr>
          <w:p w14:paraId="7AC239C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https://en.wikipedia.org/wiki/European_Digital_Identity</w:t>
            </w:r>
          </w:p>
        </w:tc>
        <w:tc>
          <w:tcPr>
            <w:tcW w:w="855" w:type="dxa"/>
            <w:vAlign w:val="center"/>
            <w:hideMark/>
          </w:tcPr>
          <w:p w14:paraId="082E940F" w14:textId="77777777" w:rsidR="00876E8C" w:rsidRPr="00876E8C" w:rsidRDefault="00876E8C" w:rsidP="00876E8C">
            <w:pPr>
              <w:rPr>
                <w:sz w:val="16"/>
                <w:szCs w:val="16"/>
              </w:rPr>
            </w:pPr>
          </w:p>
        </w:tc>
      </w:tr>
      <w:tr w:rsidR="00E83EF9" w:rsidRPr="00876E8C" w14:paraId="2DC02A29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14F8B9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lastRenderedPageBreak/>
              <w:t>2027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end</w:t>
            </w:r>
          </w:p>
        </w:tc>
        <w:tc>
          <w:tcPr>
            <w:tcW w:w="690" w:type="dxa"/>
            <w:vAlign w:val="center"/>
            <w:hideMark/>
          </w:tcPr>
          <w:p w14:paraId="43AA0A3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year</w:t>
            </w:r>
          </w:p>
        </w:tc>
        <w:tc>
          <w:tcPr>
            <w:tcW w:w="510" w:type="dxa"/>
            <w:vAlign w:val="center"/>
            <w:hideMark/>
          </w:tcPr>
          <w:p w14:paraId="6D5710A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4027091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 cross</w:t>
            </w:r>
            <w:r w:rsidRPr="00876E8C">
              <w:rPr>
                <w:sz w:val="16"/>
                <w:szCs w:val="16"/>
              </w:rPr>
              <w:noBreakHyphen/>
              <w:t>border payments quantitative targets (cost, speed, access, transparency)</w:t>
            </w:r>
          </w:p>
        </w:tc>
        <w:tc>
          <w:tcPr>
            <w:tcW w:w="600" w:type="dxa"/>
            <w:vAlign w:val="center"/>
            <w:hideMark/>
          </w:tcPr>
          <w:p w14:paraId="3493E41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510" w:type="dxa"/>
            <w:vAlign w:val="center"/>
            <w:hideMark/>
          </w:tcPr>
          <w:p w14:paraId="28A2E79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CB, DW, RTP/A2A</w:t>
            </w:r>
          </w:p>
        </w:tc>
        <w:tc>
          <w:tcPr>
            <w:tcW w:w="870" w:type="dxa"/>
            <w:vAlign w:val="center"/>
            <w:hideMark/>
          </w:tcPr>
          <w:p w14:paraId="0C9AF7B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600" w:type="dxa"/>
            <w:vAlign w:val="center"/>
            <w:hideMark/>
          </w:tcPr>
          <w:p w14:paraId="301D6D3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1770" w:type="dxa"/>
            <w:vAlign w:val="center"/>
            <w:hideMark/>
          </w:tcPr>
          <w:p w14:paraId="73F2982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G20, FSB, BIS, CPMI</w:t>
            </w:r>
          </w:p>
        </w:tc>
        <w:tc>
          <w:tcPr>
            <w:tcW w:w="2400" w:type="dxa"/>
            <w:vAlign w:val="center"/>
            <w:hideMark/>
          </w:tcPr>
          <w:p w14:paraId="3CC35E6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The G20’s roadmap sets quantitative targets to be met by end</w:t>
            </w:r>
            <w:r w:rsidRPr="00876E8C">
              <w:rPr>
                <w:sz w:val="16"/>
                <w:szCs w:val="16"/>
              </w:rPr>
              <w:noBreakHyphen/>
              <w:t>2027: average global cross</w:t>
            </w:r>
            <w:r w:rsidRPr="00876E8C">
              <w:rPr>
                <w:sz w:val="16"/>
                <w:szCs w:val="16"/>
              </w:rPr>
              <w:noBreakHyphen/>
              <w:t>border transfer cost ≤1%, 75% of payments credited to beneficiaries within one hour, all financial institutions able to access at least one cross</w:t>
            </w:r>
            <w:r w:rsidRPr="00876E8C">
              <w:rPr>
                <w:sz w:val="16"/>
                <w:szCs w:val="16"/>
              </w:rPr>
              <w:noBreakHyphen/>
              <w:t>border payment option, 90% of individuals have access to cross</w:t>
            </w:r>
            <w:r w:rsidRPr="00876E8C">
              <w:rPr>
                <w:sz w:val="16"/>
                <w:szCs w:val="16"/>
              </w:rPr>
              <w:noBreakHyphen/>
              <w:t>border remittance services, and full transparency in fees and foreign</w:t>
            </w:r>
            <w:r w:rsidRPr="00876E8C">
              <w:rPr>
                <w:sz w:val="16"/>
                <w:szCs w:val="16"/>
              </w:rPr>
              <w:noBreakHyphen/>
              <w:t>exchange rates.</w:t>
            </w:r>
          </w:p>
        </w:tc>
        <w:tc>
          <w:tcPr>
            <w:tcW w:w="510" w:type="dxa"/>
            <w:vAlign w:val="center"/>
            <w:hideMark/>
          </w:tcPr>
          <w:p w14:paraId="2E09F15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690" w:type="dxa"/>
            <w:vAlign w:val="center"/>
            <w:hideMark/>
          </w:tcPr>
          <w:p w14:paraId="4E7C282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2027]</w:t>
            </w:r>
          </w:p>
        </w:tc>
        <w:tc>
          <w:tcPr>
            <w:tcW w:w="510" w:type="dxa"/>
            <w:vAlign w:val="center"/>
            <w:hideMark/>
          </w:tcPr>
          <w:p w14:paraId="0C1CB3E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25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https://www.bankofcanada.ca</w:t>
              </w:r>
            </w:hyperlink>
          </w:p>
        </w:tc>
        <w:tc>
          <w:tcPr>
            <w:tcW w:w="855" w:type="dxa"/>
            <w:vAlign w:val="center"/>
            <w:hideMark/>
          </w:tcPr>
          <w:p w14:paraId="442DD7E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Progress reports suggest these targets may be missed</w:t>
            </w:r>
            <w:hyperlink r:id="rId26" w:anchor=":~:text=achieve%20tangible%20improvements%20in%20cross,payments" w:tgtFrame="_blank" w:history="1">
              <w:r w:rsidRPr="00876E8C">
                <w:rPr>
                  <w:rStyle w:val="Hyperlink"/>
                  <w:sz w:val="16"/>
                  <w:szCs w:val="16"/>
                </w:rPr>
                <w:t>fsb.org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</w:tr>
      <w:tr w:rsidR="00E83EF9" w:rsidRPr="00876E8C" w14:paraId="2A25FBF8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01E22B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2028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04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01</w:t>
            </w:r>
          </w:p>
        </w:tc>
        <w:tc>
          <w:tcPr>
            <w:tcW w:w="690" w:type="dxa"/>
            <w:vAlign w:val="center"/>
            <w:hideMark/>
          </w:tcPr>
          <w:p w14:paraId="5F2591D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3F584E5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39C1BDF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banks with US$3–10 bn in assets must comply with open</w:t>
            </w:r>
            <w:r w:rsidRPr="00876E8C">
              <w:rPr>
                <w:sz w:val="16"/>
                <w:szCs w:val="16"/>
              </w:rPr>
              <w:noBreakHyphen/>
              <w:t>banking rule</w:t>
            </w:r>
          </w:p>
        </w:tc>
        <w:tc>
          <w:tcPr>
            <w:tcW w:w="600" w:type="dxa"/>
            <w:vAlign w:val="center"/>
            <w:hideMark/>
          </w:tcPr>
          <w:p w14:paraId="58A1713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</w:t>
            </w:r>
          </w:p>
        </w:tc>
        <w:tc>
          <w:tcPr>
            <w:tcW w:w="510" w:type="dxa"/>
            <w:vAlign w:val="center"/>
            <w:hideMark/>
          </w:tcPr>
          <w:p w14:paraId="4481259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DW</w:t>
            </w:r>
          </w:p>
        </w:tc>
        <w:tc>
          <w:tcPr>
            <w:tcW w:w="870" w:type="dxa"/>
            <w:vAlign w:val="center"/>
            <w:hideMark/>
          </w:tcPr>
          <w:p w14:paraId="298B1CA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58D7A2A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1770" w:type="dxa"/>
            <w:vAlign w:val="center"/>
            <w:hideMark/>
          </w:tcPr>
          <w:p w14:paraId="638825B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CFPB, banks</w:t>
            </w:r>
          </w:p>
        </w:tc>
        <w:tc>
          <w:tcPr>
            <w:tcW w:w="2400" w:type="dxa"/>
            <w:vAlign w:val="center"/>
            <w:hideMark/>
          </w:tcPr>
          <w:p w14:paraId="791C45D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Smaller regional banks must implement consumer</w:t>
            </w:r>
            <w:r w:rsidRPr="00876E8C">
              <w:rPr>
                <w:sz w:val="16"/>
                <w:szCs w:val="16"/>
              </w:rPr>
              <w:noBreakHyphen/>
              <w:t>permissioned data</w:t>
            </w:r>
            <w:r w:rsidRPr="00876E8C">
              <w:rPr>
                <w:sz w:val="16"/>
                <w:szCs w:val="16"/>
              </w:rPr>
              <w:noBreakHyphen/>
              <w:t>sharing APIs by April 1 2028</w:t>
            </w:r>
            <w:hyperlink r:id="rId27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 This will spur competition and accelerate adoption of embedded</w:t>
            </w:r>
            <w:r w:rsidRPr="00876E8C">
              <w:rPr>
                <w:sz w:val="16"/>
                <w:szCs w:val="16"/>
              </w:rPr>
              <w:noBreakHyphen/>
              <w:t>finance products outside major banks.</w:t>
            </w:r>
          </w:p>
        </w:tc>
        <w:tc>
          <w:tcPr>
            <w:tcW w:w="510" w:type="dxa"/>
            <w:vAlign w:val="center"/>
            <w:hideMark/>
          </w:tcPr>
          <w:p w14:paraId="4CAFE07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1243C24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2028]</w:t>
            </w:r>
          </w:p>
        </w:tc>
        <w:tc>
          <w:tcPr>
            <w:tcW w:w="510" w:type="dxa"/>
            <w:vAlign w:val="center"/>
            <w:hideMark/>
          </w:tcPr>
          <w:p w14:paraId="4C81C1D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28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https://www.consumerfinance.gov</w:t>
              </w:r>
            </w:hyperlink>
          </w:p>
        </w:tc>
        <w:tc>
          <w:tcPr>
            <w:tcW w:w="855" w:type="dxa"/>
            <w:vAlign w:val="center"/>
            <w:hideMark/>
          </w:tcPr>
          <w:p w14:paraId="28F7167A" w14:textId="77777777" w:rsidR="00876E8C" w:rsidRPr="00876E8C" w:rsidRDefault="00876E8C" w:rsidP="00876E8C">
            <w:pPr>
              <w:rPr>
                <w:sz w:val="16"/>
                <w:szCs w:val="16"/>
              </w:rPr>
            </w:pPr>
          </w:p>
        </w:tc>
      </w:tr>
      <w:tr w:rsidR="00E83EF9" w:rsidRPr="00876E8C" w14:paraId="04DEF21F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E40350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2029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04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01</w:t>
            </w:r>
          </w:p>
        </w:tc>
        <w:tc>
          <w:tcPr>
            <w:tcW w:w="690" w:type="dxa"/>
            <w:vAlign w:val="center"/>
            <w:hideMark/>
          </w:tcPr>
          <w:p w14:paraId="503F48E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26DB927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508EB7F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banks with US$1.5–3 bn in assets must comply with open</w:t>
            </w:r>
            <w:r w:rsidRPr="00876E8C">
              <w:rPr>
                <w:sz w:val="16"/>
                <w:szCs w:val="16"/>
              </w:rPr>
              <w:noBreakHyphen/>
              <w:t>banking rule</w:t>
            </w:r>
          </w:p>
        </w:tc>
        <w:tc>
          <w:tcPr>
            <w:tcW w:w="600" w:type="dxa"/>
            <w:vAlign w:val="center"/>
            <w:hideMark/>
          </w:tcPr>
          <w:p w14:paraId="0E339B2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</w:t>
            </w:r>
          </w:p>
        </w:tc>
        <w:tc>
          <w:tcPr>
            <w:tcW w:w="510" w:type="dxa"/>
            <w:vAlign w:val="center"/>
            <w:hideMark/>
          </w:tcPr>
          <w:p w14:paraId="6CD3F1A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DW</w:t>
            </w:r>
          </w:p>
        </w:tc>
        <w:tc>
          <w:tcPr>
            <w:tcW w:w="870" w:type="dxa"/>
            <w:vAlign w:val="center"/>
            <w:hideMark/>
          </w:tcPr>
          <w:p w14:paraId="19EA35E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492305E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1770" w:type="dxa"/>
            <w:vAlign w:val="center"/>
            <w:hideMark/>
          </w:tcPr>
          <w:p w14:paraId="5FA776F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CFPB, banks</w:t>
            </w:r>
          </w:p>
        </w:tc>
        <w:tc>
          <w:tcPr>
            <w:tcW w:w="2400" w:type="dxa"/>
            <w:vAlign w:val="center"/>
            <w:hideMark/>
          </w:tcPr>
          <w:p w14:paraId="368AE29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A further wave of smaller banks becomes subject to open</w:t>
            </w:r>
            <w:r w:rsidRPr="00876E8C">
              <w:rPr>
                <w:sz w:val="16"/>
                <w:szCs w:val="16"/>
              </w:rPr>
              <w:noBreakHyphen/>
              <w:t>banking obligations</w:t>
            </w:r>
            <w:hyperlink r:id="rId29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 This incremental rollout supports broadening fintech access to consumer data.</w:t>
            </w:r>
          </w:p>
        </w:tc>
        <w:tc>
          <w:tcPr>
            <w:tcW w:w="510" w:type="dxa"/>
            <w:vAlign w:val="center"/>
            <w:hideMark/>
          </w:tcPr>
          <w:p w14:paraId="092318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2265B92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2029]</w:t>
            </w:r>
          </w:p>
        </w:tc>
        <w:tc>
          <w:tcPr>
            <w:tcW w:w="510" w:type="dxa"/>
            <w:vAlign w:val="center"/>
            <w:hideMark/>
          </w:tcPr>
          <w:p w14:paraId="337CAA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30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https://www.consumerfinance.gov</w:t>
              </w:r>
            </w:hyperlink>
          </w:p>
        </w:tc>
        <w:tc>
          <w:tcPr>
            <w:tcW w:w="855" w:type="dxa"/>
            <w:vAlign w:val="center"/>
            <w:hideMark/>
          </w:tcPr>
          <w:p w14:paraId="509BD248" w14:textId="77777777" w:rsidR="00876E8C" w:rsidRPr="00876E8C" w:rsidRDefault="00876E8C" w:rsidP="00876E8C">
            <w:pPr>
              <w:rPr>
                <w:sz w:val="16"/>
                <w:szCs w:val="16"/>
              </w:rPr>
            </w:pPr>
          </w:p>
        </w:tc>
      </w:tr>
      <w:tr w:rsidR="00E83EF9" w:rsidRPr="00876E8C" w14:paraId="4A684CF5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7FB3A3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2029</w:t>
            </w:r>
          </w:p>
        </w:tc>
        <w:tc>
          <w:tcPr>
            <w:tcW w:w="690" w:type="dxa"/>
            <w:vAlign w:val="center"/>
            <w:hideMark/>
          </w:tcPr>
          <w:p w14:paraId="7BF46D1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year</w:t>
            </w:r>
          </w:p>
        </w:tc>
        <w:tc>
          <w:tcPr>
            <w:tcW w:w="510" w:type="dxa"/>
            <w:vAlign w:val="center"/>
            <w:hideMark/>
          </w:tcPr>
          <w:p w14:paraId="6B0954B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60047A4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ECB targets first issuance of digital euro</w:t>
            </w:r>
          </w:p>
        </w:tc>
        <w:tc>
          <w:tcPr>
            <w:tcW w:w="600" w:type="dxa"/>
            <w:vAlign w:val="center"/>
            <w:hideMark/>
          </w:tcPr>
          <w:p w14:paraId="26D2CDE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510" w:type="dxa"/>
            <w:vAlign w:val="center"/>
            <w:hideMark/>
          </w:tcPr>
          <w:p w14:paraId="0031086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CB</w:t>
            </w:r>
          </w:p>
        </w:tc>
        <w:tc>
          <w:tcPr>
            <w:tcW w:w="870" w:type="dxa"/>
            <w:vAlign w:val="center"/>
            <w:hideMark/>
          </w:tcPr>
          <w:p w14:paraId="741C452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CBDC Launch</w:t>
            </w:r>
          </w:p>
        </w:tc>
        <w:tc>
          <w:tcPr>
            <w:tcW w:w="600" w:type="dxa"/>
            <w:vAlign w:val="center"/>
            <w:hideMark/>
          </w:tcPr>
          <w:p w14:paraId="7B97203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6FBD08F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Central Bank</w:t>
            </w:r>
          </w:p>
        </w:tc>
        <w:tc>
          <w:tcPr>
            <w:tcW w:w="2400" w:type="dxa"/>
            <w:vAlign w:val="center"/>
            <w:hideMark/>
          </w:tcPr>
          <w:p w14:paraId="420EFF12" w14:textId="47ACA7FF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ECB President Christine Lagarde has </w:t>
            </w:r>
            <w:proofErr w:type="gramStart"/>
            <w:r w:rsidRPr="00876E8C">
              <w:rPr>
                <w:sz w:val="16"/>
                <w:szCs w:val="16"/>
              </w:rPr>
              <w:t>publicly set</w:t>
            </w:r>
            <w:proofErr w:type="gramEnd"/>
            <w:r w:rsidRPr="00876E8C">
              <w:rPr>
                <w:sz w:val="16"/>
                <w:szCs w:val="16"/>
              </w:rPr>
              <w:t xml:space="preserve"> a 2029 target for the first issuance of the digital euro, provided EU legislation is adopted in 2026. The CBDC </w:t>
            </w:r>
            <w:proofErr w:type="gramStart"/>
            <w:r w:rsidRPr="00876E8C">
              <w:rPr>
                <w:sz w:val="16"/>
                <w:szCs w:val="16"/>
              </w:rPr>
              <w:t xml:space="preserve">is </w:t>
            </w:r>
            <w:r w:rsidRPr="00876E8C">
              <w:rPr>
                <w:sz w:val="16"/>
                <w:szCs w:val="16"/>
              </w:rPr>
              <w:lastRenderedPageBreak/>
              <w:t>intended</w:t>
            </w:r>
            <w:proofErr w:type="gramEnd"/>
            <w:r w:rsidRPr="00876E8C">
              <w:rPr>
                <w:sz w:val="16"/>
                <w:szCs w:val="16"/>
              </w:rPr>
              <w:t xml:space="preserve"> to maintain monetary sovereignty and complement cash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2B0159EE" wp14:editId="5FB89804">
                      <wp:extent cx="304800" cy="304800"/>
                      <wp:effectExtent l="0" t="0" r="0" b="0"/>
                      <wp:docPr id="1737441649" name="Rectangle 10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CF4A07" id="Rectangle 1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coinedition.com.</w:t>
            </w:r>
          </w:p>
        </w:tc>
        <w:tc>
          <w:tcPr>
            <w:tcW w:w="510" w:type="dxa"/>
            <w:vAlign w:val="center"/>
            <w:hideMark/>
          </w:tcPr>
          <w:p w14:paraId="545C26A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Target</w:t>
            </w:r>
          </w:p>
        </w:tc>
        <w:tc>
          <w:tcPr>
            <w:tcW w:w="690" w:type="dxa"/>
            <w:vAlign w:val="center"/>
            <w:hideMark/>
          </w:tcPr>
          <w:p w14:paraId="6E44FCE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[Digital Euro 2029]</w:t>
            </w:r>
          </w:p>
        </w:tc>
        <w:tc>
          <w:tcPr>
            <w:tcW w:w="510" w:type="dxa"/>
            <w:vAlign w:val="center"/>
            <w:hideMark/>
          </w:tcPr>
          <w:p w14:paraId="67A761B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31" w:tgtFrame="_new" w:history="1">
              <w:r w:rsidRPr="00876E8C">
                <w:rPr>
                  <w:rStyle w:val="Hyperlink"/>
                  <w:sz w:val="16"/>
                  <w:szCs w:val="16"/>
                </w:rPr>
                <w:t>https://coinedition.com/ecb-</w:t>
              </w:r>
              <w:r w:rsidRPr="00876E8C">
                <w:rPr>
                  <w:rStyle w:val="Hyperlink"/>
                  <w:sz w:val="16"/>
                  <w:szCs w:val="16"/>
                </w:rPr>
                <w:lastRenderedPageBreak/>
                <w:t>digital-euro-rollout-timeline-2029-2027-pilot</w:t>
              </w:r>
            </w:hyperlink>
          </w:p>
        </w:tc>
        <w:tc>
          <w:tcPr>
            <w:tcW w:w="855" w:type="dxa"/>
            <w:vAlign w:val="center"/>
            <w:hideMark/>
          </w:tcPr>
          <w:p w14:paraId="1B5C990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 xml:space="preserve">Target date subject to legislative approval </w:t>
            </w:r>
            <w:r w:rsidRPr="00876E8C">
              <w:rPr>
                <w:sz w:val="16"/>
                <w:szCs w:val="16"/>
              </w:rPr>
              <w:lastRenderedPageBreak/>
              <w:t>and pilot results.</w:t>
            </w:r>
          </w:p>
        </w:tc>
      </w:tr>
      <w:tr w:rsidR="00E83EF9" w:rsidRPr="00876E8C" w14:paraId="34B19DDE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E5D268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lastRenderedPageBreak/>
              <w:t>2030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04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01</w:t>
            </w:r>
          </w:p>
        </w:tc>
        <w:tc>
          <w:tcPr>
            <w:tcW w:w="690" w:type="dxa"/>
            <w:vAlign w:val="center"/>
            <w:hideMark/>
          </w:tcPr>
          <w:p w14:paraId="769CB70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day</w:t>
            </w:r>
          </w:p>
        </w:tc>
        <w:tc>
          <w:tcPr>
            <w:tcW w:w="510" w:type="dxa"/>
            <w:vAlign w:val="center"/>
            <w:hideMark/>
          </w:tcPr>
          <w:p w14:paraId="75257BA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3A058AD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banks with US$850 m–1.5 bn assets complete open</w:t>
            </w:r>
            <w:r w:rsidRPr="00876E8C">
              <w:rPr>
                <w:sz w:val="16"/>
                <w:szCs w:val="16"/>
              </w:rPr>
              <w:noBreakHyphen/>
              <w:t>banking compliance</w:t>
            </w:r>
          </w:p>
        </w:tc>
        <w:tc>
          <w:tcPr>
            <w:tcW w:w="600" w:type="dxa"/>
            <w:vAlign w:val="center"/>
            <w:hideMark/>
          </w:tcPr>
          <w:p w14:paraId="01AD07F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</w:t>
            </w:r>
          </w:p>
        </w:tc>
        <w:tc>
          <w:tcPr>
            <w:tcW w:w="510" w:type="dxa"/>
            <w:vAlign w:val="center"/>
            <w:hideMark/>
          </w:tcPr>
          <w:p w14:paraId="66186E9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DW</w:t>
            </w:r>
          </w:p>
        </w:tc>
        <w:tc>
          <w:tcPr>
            <w:tcW w:w="870" w:type="dxa"/>
            <w:vAlign w:val="center"/>
            <w:hideMark/>
          </w:tcPr>
          <w:p w14:paraId="5257967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600" w:type="dxa"/>
            <w:vAlign w:val="center"/>
            <w:hideMark/>
          </w:tcPr>
          <w:p w14:paraId="0534042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1770" w:type="dxa"/>
            <w:vAlign w:val="center"/>
            <w:hideMark/>
          </w:tcPr>
          <w:p w14:paraId="379063D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CFPB, banks</w:t>
            </w:r>
          </w:p>
        </w:tc>
        <w:tc>
          <w:tcPr>
            <w:tcW w:w="2400" w:type="dxa"/>
            <w:vAlign w:val="center"/>
            <w:hideMark/>
          </w:tcPr>
          <w:p w14:paraId="395261B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Final wave of small banks must provide consumer</w:t>
            </w:r>
            <w:r w:rsidRPr="00876E8C">
              <w:rPr>
                <w:sz w:val="16"/>
                <w:szCs w:val="16"/>
              </w:rPr>
              <w:noBreakHyphen/>
              <w:t>permissioned data access by April 1 2030</w:t>
            </w:r>
            <w:hyperlink r:id="rId32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 By this date open banking becomes ubiquitous across the U.S. banking system, enabling a mature embedded</w:t>
            </w:r>
            <w:r w:rsidRPr="00876E8C">
              <w:rPr>
                <w:sz w:val="16"/>
                <w:szCs w:val="16"/>
              </w:rPr>
              <w:noBreakHyphen/>
              <w:t>finance ecosystem.</w:t>
            </w:r>
          </w:p>
        </w:tc>
        <w:tc>
          <w:tcPr>
            <w:tcW w:w="510" w:type="dxa"/>
            <w:vAlign w:val="center"/>
            <w:hideMark/>
          </w:tcPr>
          <w:p w14:paraId="287B1E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690" w:type="dxa"/>
            <w:vAlign w:val="center"/>
            <w:hideMark/>
          </w:tcPr>
          <w:p w14:paraId="164400E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2030]</w:t>
            </w:r>
          </w:p>
        </w:tc>
        <w:tc>
          <w:tcPr>
            <w:tcW w:w="510" w:type="dxa"/>
            <w:vAlign w:val="center"/>
            <w:hideMark/>
          </w:tcPr>
          <w:p w14:paraId="49E433C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33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https://www.consumerfinance.gov</w:t>
              </w:r>
            </w:hyperlink>
          </w:p>
        </w:tc>
        <w:tc>
          <w:tcPr>
            <w:tcW w:w="855" w:type="dxa"/>
            <w:vAlign w:val="center"/>
            <w:hideMark/>
          </w:tcPr>
          <w:p w14:paraId="52A23AAB" w14:textId="77777777" w:rsidR="00876E8C" w:rsidRPr="00876E8C" w:rsidRDefault="00876E8C" w:rsidP="00876E8C">
            <w:pPr>
              <w:rPr>
                <w:sz w:val="16"/>
                <w:szCs w:val="16"/>
              </w:rPr>
            </w:pPr>
          </w:p>
        </w:tc>
      </w:tr>
      <w:tr w:rsidR="00E83EF9" w:rsidRPr="00876E8C" w14:paraId="6509FC13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D022F2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2030</w:t>
            </w:r>
          </w:p>
        </w:tc>
        <w:tc>
          <w:tcPr>
            <w:tcW w:w="690" w:type="dxa"/>
            <w:vAlign w:val="center"/>
            <w:hideMark/>
          </w:tcPr>
          <w:p w14:paraId="77D6EAE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year</w:t>
            </w:r>
          </w:p>
        </w:tc>
        <w:tc>
          <w:tcPr>
            <w:tcW w:w="510" w:type="dxa"/>
            <w:vAlign w:val="center"/>
            <w:hideMark/>
          </w:tcPr>
          <w:p w14:paraId="0AFE07D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4E809DC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Digital Decade target – 80 % of citizens using a digital ID</w:t>
            </w:r>
          </w:p>
        </w:tc>
        <w:tc>
          <w:tcPr>
            <w:tcW w:w="600" w:type="dxa"/>
            <w:vAlign w:val="center"/>
            <w:hideMark/>
          </w:tcPr>
          <w:p w14:paraId="3732864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510" w:type="dxa"/>
            <w:vAlign w:val="center"/>
            <w:hideMark/>
          </w:tcPr>
          <w:p w14:paraId="2855621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EF</w:t>
            </w:r>
          </w:p>
        </w:tc>
        <w:tc>
          <w:tcPr>
            <w:tcW w:w="870" w:type="dxa"/>
            <w:vAlign w:val="center"/>
            <w:hideMark/>
          </w:tcPr>
          <w:p w14:paraId="6EA0536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600" w:type="dxa"/>
            <w:vAlign w:val="center"/>
            <w:hideMark/>
          </w:tcPr>
          <w:p w14:paraId="17ACBB3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1770" w:type="dxa"/>
            <w:vAlign w:val="center"/>
            <w:hideMark/>
          </w:tcPr>
          <w:p w14:paraId="5895E46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</w:t>
            </w:r>
          </w:p>
        </w:tc>
        <w:tc>
          <w:tcPr>
            <w:tcW w:w="2400" w:type="dxa"/>
            <w:vAlign w:val="center"/>
            <w:hideMark/>
          </w:tcPr>
          <w:p w14:paraId="0967ED3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The EU’s “Digital Decade” </w:t>
            </w:r>
            <w:proofErr w:type="spellStart"/>
            <w:r w:rsidRPr="00876E8C">
              <w:rPr>
                <w:sz w:val="16"/>
                <w:szCs w:val="16"/>
              </w:rPr>
              <w:t>programme</w:t>
            </w:r>
            <w:proofErr w:type="spellEnd"/>
            <w:r w:rsidRPr="00876E8C">
              <w:rPr>
                <w:sz w:val="16"/>
                <w:szCs w:val="16"/>
              </w:rPr>
              <w:t xml:space="preserve"> aims for 80 % of Europeans to be using a digital identity solution by 2030</w:t>
            </w:r>
            <w:hyperlink r:id="rId34" w:anchor=":~:text=by%20late%20December%202026.,28" w:tgtFrame="_blank" w:history="1">
              <w:r w:rsidRPr="00876E8C">
                <w:rPr>
                  <w:rStyle w:val="Hyperlink"/>
                  <w:sz w:val="16"/>
                  <w:szCs w:val="16"/>
                </w:rPr>
                <w:t>en.wikipedia.org</w:t>
              </w:r>
            </w:hyperlink>
            <w:r w:rsidRPr="00876E8C">
              <w:rPr>
                <w:sz w:val="16"/>
                <w:szCs w:val="16"/>
              </w:rPr>
              <w:t>. Meeting this target would cement the role of digital wallets and ID credentials in everyday transactions.</w:t>
            </w:r>
          </w:p>
        </w:tc>
        <w:tc>
          <w:tcPr>
            <w:tcW w:w="510" w:type="dxa"/>
            <w:vAlign w:val="center"/>
            <w:hideMark/>
          </w:tcPr>
          <w:p w14:paraId="7304B18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690" w:type="dxa"/>
            <w:vAlign w:val="center"/>
            <w:hideMark/>
          </w:tcPr>
          <w:p w14:paraId="161C1BC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[EUDI Adoption 2030]</w:t>
            </w:r>
          </w:p>
        </w:tc>
        <w:tc>
          <w:tcPr>
            <w:tcW w:w="510" w:type="dxa"/>
            <w:vAlign w:val="center"/>
            <w:hideMark/>
          </w:tcPr>
          <w:p w14:paraId="4F628BE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https://en.wikipedia.org/wiki/European_Digital_Identity</w:t>
            </w:r>
          </w:p>
        </w:tc>
        <w:tc>
          <w:tcPr>
            <w:tcW w:w="855" w:type="dxa"/>
            <w:vAlign w:val="center"/>
            <w:hideMark/>
          </w:tcPr>
          <w:p w14:paraId="129E7C0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Ambitious adoption goal; depends on member</w:t>
            </w:r>
            <w:r w:rsidRPr="00876E8C">
              <w:rPr>
                <w:sz w:val="16"/>
                <w:szCs w:val="16"/>
              </w:rPr>
              <w:noBreakHyphen/>
              <w:t>state initiatives.</w:t>
            </w:r>
          </w:p>
        </w:tc>
      </w:tr>
      <w:tr w:rsidR="00E83EF9" w:rsidRPr="00876E8C" w14:paraId="25FAC6A5" w14:textId="77777777" w:rsidTr="00E83EF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B1860A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2030</w:t>
            </w:r>
            <w:r w:rsidRPr="00876E8C">
              <w:rPr>
                <w:b/>
                <w:bCs/>
                <w:sz w:val="16"/>
                <w:szCs w:val="16"/>
              </w:rPr>
              <w:noBreakHyphen/>
              <w:t>end</w:t>
            </w:r>
          </w:p>
        </w:tc>
        <w:tc>
          <w:tcPr>
            <w:tcW w:w="690" w:type="dxa"/>
            <w:vAlign w:val="center"/>
            <w:hideMark/>
          </w:tcPr>
          <w:p w14:paraId="0141F61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year</w:t>
            </w:r>
          </w:p>
        </w:tc>
        <w:tc>
          <w:tcPr>
            <w:tcW w:w="510" w:type="dxa"/>
            <w:vAlign w:val="center"/>
            <w:hideMark/>
          </w:tcPr>
          <w:p w14:paraId="5A8B768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2025–2030</w:t>
            </w:r>
          </w:p>
        </w:tc>
        <w:tc>
          <w:tcPr>
            <w:tcW w:w="1050" w:type="dxa"/>
            <w:gridSpan w:val="2"/>
            <w:vAlign w:val="center"/>
            <w:hideMark/>
          </w:tcPr>
          <w:p w14:paraId="334ED12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Final G20 cross</w:t>
            </w:r>
            <w:r w:rsidRPr="00876E8C">
              <w:rPr>
                <w:sz w:val="16"/>
                <w:szCs w:val="16"/>
              </w:rPr>
              <w:noBreakHyphen/>
              <w:t>border payments targets</w:t>
            </w:r>
          </w:p>
        </w:tc>
        <w:tc>
          <w:tcPr>
            <w:tcW w:w="600" w:type="dxa"/>
            <w:vAlign w:val="center"/>
            <w:hideMark/>
          </w:tcPr>
          <w:p w14:paraId="71BB1F6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510" w:type="dxa"/>
            <w:vAlign w:val="center"/>
            <w:hideMark/>
          </w:tcPr>
          <w:p w14:paraId="32B1C3B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CB, DW, RTP/A2A</w:t>
            </w:r>
          </w:p>
        </w:tc>
        <w:tc>
          <w:tcPr>
            <w:tcW w:w="870" w:type="dxa"/>
            <w:vAlign w:val="center"/>
            <w:hideMark/>
          </w:tcPr>
          <w:p w14:paraId="68AED80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600" w:type="dxa"/>
            <w:vAlign w:val="center"/>
            <w:hideMark/>
          </w:tcPr>
          <w:p w14:paraId="16A2E22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1770" w:type="dxa"/>
            <w:vAlign w:val="center"/>
            <w:hideMark/>
          </w:tcPr>
          <w:p w14:paraId="01CBE3C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G20, FSB, BIS, CPMI</w:t>
            </w:r>
          </w:p>
        </w:tc>
        <w:tc>
          <w:tcPr>
            <w:tcW w:w="2400" w:type="dxa"/>
            <w:vAlign w:val="center"/>
            <w:hideMark/>
          </w:tcPr>
          <w:p w14:paraId="05EE978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The G20 roadmap has longer</w:t>
            </w:r>
            <w:r w:rsidRPr="00876E8C">
              <w:rPr>
                <w:sz w:val="16"/>
                <w:szCs w:val="16"/>
              </w:rPr>
              <w:noBreakHyphen/>
              <w:t xml:space="preserve">term targets for 2030, including a global average cost of ≤3 % and ≤5 % for any remittance corridor, improved speed and transparency, and broad access. These goals guide ongoing investment in </w:t>
            </w:r>
            <w:r w:rsidRPr="00876E8C">
              <w:rPr>
                <w:sz w:val="16"/>
                <w:szCs w:val="16"/>
              </w:rPr>
              <w:lastRenderedPageBreak/>
              <w:t>cross</w:t>
            </w:r>
            <w:r w:rsidRPr="00876E8C">
              <w:rPr>
                <w:sz w:val="16"/>
                <w:szCs w:val="16"/>
              </w:rPr>
              <w:noBreakHyphen/>
              <w:t>border and real</w:t>
            </w:r>
            <w:r w:rsidRPr="00876E8C">
              <w:rPr>
                <w:sz w:val="16"/>
                <w:szCs w:val="16"/>
              </w:rPr>
              <w:noBreakHyphen/>
              <w:t>time payment infrastructure.</w:t>
            </w:r>
          </w:p>
        </w:tc>
        <w:tc>
          <w:tcPr>
            <w:tcW w:w="510" w:type="dxa"/>
            <w:vAlign w:val="center"/>
            <w:hideMark/>
          </w:tcPr>
          <w:p w14:paraId="2D36B82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Target</w:t>
            </w:r>
          </w:p>
        </w:tc>
        <w:tc>
          <w:tcPr>
            <w:tcW w:w="690" w:type="dxa"/>
            <w:vAlign w:val="center"/>
            <w:hideMark/>
          </w:tcPr>
          <w:p w14:paraId="2744B3C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2030]</w:t>
            </w:r>
          </w:p>
        </w:tc>
        <w:tc>
          <w:tcPr>
            <w:tcW w:w="510" w:type="dxa"/>
            <w:vAlign w:val="center"/>
            <w:hideMark/>
          </w:tcPr>
          <w:p w14:paraId="11B1227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hyperlink r:id="rId35" w:tgtFrame="_new" w:history="1">
              <w:r w:rsidRPr="00876E8C">
                <w:rPr>
                  <w:rStyle w:val="Hyperlink"/>
                  <w:sz w:val="16"/>
                  <w:szCs w:val="16"/>
                </w:rPr>
                <w:t>https://www.bankofcanada.ca</w:t>
              </w:r>
            </w:hyperlink>
          </w:p>
        </w:tc>
        <w:tc>
          <w:tcPr>
            <w:tcW w:w="855" w:type="dxa"/>
            <w:vAlign w:val="center"/>
            <w:hideMark/>
          </w:tcPr>
          <w:p w14:paraId="5384BAB0" w14:textId="77777777" w:rsidR="00876E8C" w:rsidRPr="00876E8C" w:rsidRDefault="00876E8C" w:rsidP="00876E8C">
            <w:pPr>
              <w:rPr>
                <w:sz w:val="16"/>
                <w:szCs w:val="16"/>
              </w:rPr>
            </w:pPr>
          </w:p>
        </w:tc>
      </w:tr>
    </w:tbl>
    <w:p w14:paraId="20A37BDD" w14:textId="77777777" w:rsidR="00876E8C" w:rsidRPr="00876E8C" w:rsidRDefault="00876E8C" w:rsidP="00876E8C">
      <w:pPr>
        <w:rPr>
          <w:b/>
          <w:bCs/>
          <w:sz w:val="40"/>
          <w:szCs w:val="40"/>
        </w:rPr>
      </w:pPr>
      <w:r w:rsidRPr="00876E8C">
        <w:rPr>
          <w:b/>
          <w:bCs/>
          <w:sz w:val="40"/>
          <w:szCs w:val="40"/>
        </w:rPr>
        <w:t>Cross</w:t>
      </w:r>
      <w:r w:rsidRPr="00876E8C">
        <w:rPr>
          <w:b/>
          <w:bCs/>
          <w:sz w:val="40"/>
          <w:szCs w:val="40"/>
        </w:rPr>
        <w:noBreakHyphen/>
        <w:t>Border Payments (CB)</w:t>
      </w:r>
    </w:p>
    <w:p w14:paraId="3AD3918C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Topic</w:t>
      </w:r>
      <w:r w:rsidRPr="00876E8C">
        <w:rPr>
          <w:b/>
          <w:bCs/>
          <w:sz w:val="16"/>
          <w:szCs w:val="16"/>
        </w:rPr>
        <w:noBreakHyphen/>
        <w:t>Specific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417"/>
        <w:gridCol w:w="1789"/>
        <w:gridCol w:w="888"/>
        <w:gridCol w:w="1321"/>
        <w:gridCol w:w="3316"/>
        <w:gridCol w:w="918"/>
        <w:gridCol w:w="1443"/>
      </w:tblGrid>
      <w:tr w:rsidR="00876E8C" w:rsidRPr="00876E8C" w14:paraId="61CBE661" w14:textId="77777777" w:rsidTr="0087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36D8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A0E447E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644D4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B558D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876E8C">
              <w:rPr>
                <w:b/>
                <w:bCs/>
                <w:sz w:val="16"/>
                <w:szCs w:val="16"/>
              </w:rPr>
              <w:t>jurisdiction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BDE894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key_actors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02DE3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D392D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759C7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citation_label</w:t>
            </w:r>
            <w:proofErr w:type="spellEnd"/>
          </w:p>
        </w:tc>
      </w:tr>
      <w:tr w:rsidR="00876E8C" w:rsidRPr="00876E8C" w14:paraId="4E3F2F76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153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06</w:t>
            </w:r>
            <w:r w:rsidRPr="00876E8C">
              <w:rPr>
                <w:sz w:val="16"/>
                <w:szCs w:val="16"/>
              </w:rPr>
              <w:noBreakHyphen/>
              <w:t>18</w:t>
            </w:r>
          </w:p>
        </w:tc>
        <w:tc>
          <w:tcPr>
            <w:tcW w:w="0" w:type="auto"/>
            <w:vAlign w:val="center"/>
            <w:hideMark/>
          </w:tcPr>
          <w:p w14:paraId="7603DF9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FATF revises Recommendation 16 to improve cross</w:t>
            </w:r>
            <w:r w:rsidRPr="00876E8C">
              <w:rPr>
                <w:sz w:val="16"/>
                <w:szCs w:val="16"/>
              </w:rPr>
              <w:noBreakHyphen/>
              <w:t>border payment transparency</w:t>
            </w:r>
          </w:p>
        </w:tc>
        <w:tc>
          <w:tcPr>
            <w:tcW w:w="0" w:type="auto"/>
            <w:vAlign w:val="center"/>
            <w:hideMark/>
          </w:tcPr>
          <w:p w14:paraId="0DA5F8E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34992C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8918BC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FATF, national regulators</w:t>
            </w:r>
          </w:p>
        </w:tc>
        <w:tc>
          <w:tcPr>
            <w:tcW w:w="0" w:type="auto"/>
            <w:vAlign w:val="center"/>
            <w:hideMark/>
          </w:tcPr>
          <w:p w14:paraId="72AB375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Strengthens Travel</w:t>
            </w:r>
            <w:r w:rsidRPr="00876E8C">
              <w:rPr>
                <w:sz w:val="16"/>
                <w:szCs w:val="16"/>
              </w:rPr>
              <w:noBreakHyphen/>
              <w:t>Rule requirements for payer/payee data, pushing banks and crypto</w:t>
            </w:r>
            <w:r w:rsidRPr="00876E8C">
              <w:rPr>
                <w:sz w:val="16"/>
                <w:szCs w:val="16"/>
              </w:rPr>
              <w:noBreakHyphen/>
              <w:t>asset providers to upgrade messaging systems</w:t>
            </w:r>
            <w:hyperlink r:id="rId36" w:anchor=":~:text=18%20June%202025" w:tgtFrame="_blank" w:history="1">
              <w:r w:rsidRPr="00876E8C">
                <w:rPr>
                  <w:rStyle w:val="Hyperlink"/>
                  <w:sz w:val="16"/>
                  <w:szCs w:val="16"/>
                </w:rPr>
                <w:t>fatf-gafi.org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75EDD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20328C5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[FATF Rec16 2025]</w:t>
            </w:r>
          </w:p>
        </w:tc>
      </w:tr>
      <w:tr w:rsidR="00876E8C" w:rsidRPr="00876E8C" w14:paraId="3E6A9A3B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A8B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09</w:t>
            </w:r>
            <w:r w:rsidRPr="00876E8C">
              <w:rPr>
                <w:sz w:val="16"/>
                <w:szCs w:val="16"/>
              </w:rPr>
              <w:noBreakHyphen/>
              <w:t>25</w:t>
            </w:r>
          </w:p>
        </w:tc>
        <w:tc>
          <w:tcPr>
            <w:tcW w:w="0" w:type="auto"/>
            <w:vAlign w:val="center"/>
            <w:hideMark/>
          </w:tcPr>
          <w:p w14:paraId="25B269E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SWIFT’s new network rules for retail cross</w:t>
            </w:r>
            <w:r w:rsidRPr="00876E8C">
              <w:rPr>
                <w:sz w:val="16"/>
                <w:szCs w:val="16"/>
              </w:rPr>
              <w:noBreakHyphen/>
              <w:t>border payments</w:t>
            </w:r>
          </w:p>
        </w:tc>
        <w:tc>
          <w:tcPr>
            <w:tcW w:w="0" w:type="auto"/>
            <w:vAlign w:val="center"/>
            <w:hideMark/>
          </w:tcPr>
          <w:p w14:paraId="489667F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Standard/Interoperability</w:t>
            </w:r>
          </w:p>
        </w:tc>
        <w:tc>
          <w:tcPr>
            <w:tcW w:w="0" w:type="auto"/>
            <w:vAlign w:val="center"/>
            <w:hideMark/>
          </w:tcPr>
          <w:p w14:paraId="4D1F316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0B7A2A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SWIFT, global banks</w:t>
            </w:r>
          </w:p>
        </w:tc>
        <w:tc>
          <w:tcPr>
            <w:tcW w:w="0" w:type="auto"/>
            <w:vAlign w:val="center"/>
            <w:hideMark/>
          </w:tcPr>
          <w:p w14:paraId="5FE8814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Enforces full fee transparency, full</w:t>
            </w:r>
            <w:r w:rsidRPr="00876E8C">
              <w:rPr>
                <w:sz w:val="16"/>
                <w:szCs w:val="16"/>
              </w:rPr>
              <w:noBreakHyphen/>
              <w:t>value delivery and predictable settlement times; part of G20 roadmap</w:t>
            </w:r>
            <w:hyperlink r:id="rId37" w:anchor=":~:text=25%20September%202025%20,min%20read" w:tgtFrame="_blank" w:history="1">
              <w:r w:rsidRPr="00876E8C">
                <w:rPr>
                  <w:rStyle w:val="Hyperlink"/>
                  <w:sz w:val="16"/>
                  <w:szCs w:val="16"/>
                </w:rPr>
                <w:t>swift.com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B4E7C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382D56E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[SWIFT Rules 2025]</w:t>
            </w:r>
          </w:p>
        </w:tc>
      </w:tr>
      <w:tr w:rsidR="00876E8C" w:rsidRPr="00876E8C" w14:paraId="6690F473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8E8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10</w:t>
            </w:r>
            <w:r w:rsidRPr="00876E8C">
              <w:rPr>
                <w:sz w:val="16"/>
                <w:szCs w:val="16"/>
              </w:rPr>
              <w:noBreakHyphen/>
              <w:t>09</w:t>
            </w:r>
          </w:p>
        </w:tc>
        <w:tc>
          <w:tcPr>
            <w:tcW w:w="0" w:type="auto"/>
            <w:vAlign w:val="center"/>
            <w:hideMark/>
          </w:tcPr>
          <w:p w14:paraId="428749E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FSB progress report warns 2027 targets risk delay</w:t>
            </w:r>
          </w:p>
        </w:tc>
        <w:tc>
          <w:tcPr>
            <w:tcW w:w="0" w:type="auto"/>
            <w:vAlign w:val="center"/>
            <w:hideMark/>
          </w:tcPr>
          <w:p w14:paraId="5B2BD91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Policy update</w:t>
            </w:r>
          </w:p>
        </w:tc>
        <w:tc>
          <w:tcPr>
            <w:tcW w:w="0" w:type="auto"/>
            <w:vAlign w:val="center"/>
            <w:hideMark/>
          </w:tcPr>
          <w:p w14:paraId="3C3553C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4DCBBA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FSB, G20</w:t>
            </w:r>
          </w:p>
        </w:tc>
        <w:tc>
          <w:tcPr>
            <w:tcW w:w="0" w:type="auto"/>
            <w:vAlign w:val="center"/>
            <w:hideMark/>
          </w:tcPr>
          <w:p w14:paraId="03171FB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Urges jurisdictions to implement remaining recommendations as cross</w:t>
            </w:r>
            <w:r w:rsidRPr="00876E8C">
              <w:rPr>
                <w:sz w:val="16"/>
                <w:szCs w:val="16"/>
              </w:rPr>
              <w:noBreakHyphen/>
              <w:t>border roadmap progress lags</w:t>
            </w:r>
            <w:hyperlink r:id="rId38" w:anchor=":~:text=achieve%20tangible%20improvements%20in%20cross,payments" w:tgtFrame="_blank" w:history="1">
              <w:r w:rsidRPr="00876E8C">
                <w:rPr>
                  <w:rStyle w:val="Hyperlink"/>
                  <w:sz w:val="16"/>
                  <w:szCs w:val="16"/>
                </w:rPr>
                <w:t>fsb.org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28EF4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2271107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[FSB Progress 2025]</w:t>
            </w:r>
          </w:p>
        </w:tc>
      </w:tr>
      <w:tr w:rsidR="00876E8C" w:rsidRPr="00876E8C" w14:paraId="497E68F5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D67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0876624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Deadline for ISO 20022 migration in EU and SWIFT cross</w:t>
            </w:r>
            <w:r w:rsidRPr="00876E8C">
              <w:rPr>
                <w:sz w:val="16"/>
                <w:szCs w:val="16"/>
              </w:rPr>
              <w:noBreakHyphen/>
              <w:t>border messaging</w:t>
            </w:r>
          </w:p>
        </w:tc>
        <w:tc>
          <w:tcPr>
            <w:tcW w:w="0" w:type="auto"/>
            <w:vAlign w:val="center"/>
            <w:hideMark/>
          </w:tcPr>
          <w:p w14:paraId="40A52FD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Standard/Interoperability</w:t>
            </w:r>
          </w:p>
        </w:tc>
        <w:tc>
          <w:tcPr>
            <w:tcW w:w="0" w:type="auto"/>
            <w:vAlign w:val="center"/>
            <w:hideMark/>
          </w:tcPr>
          <w:p w14:paraId="1C28E9C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689C4FC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Commission, SWIFT, EPC</w:t>
            </w:r>
          </w:p>
        </w:tc>
        <w:tc>
          <w:tcPr>
            <w:tcW w:w="0" w:type="auto"/>
            <w:vAlign w:val="center"/>
            <w:hideMark/>
          </w:tcPr>
          <w:p w14:paraId="4FAC734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Rich data messaging becomes mandatory, enabling automated reconciliation and new services.</w:t>
            </w:r>
          </w:p>
        </w:tc>
        <w:tc>
          <w:tcPr>
            <w:tcW w:w="0" w:type="auto"/>
            <w:vAlign w:val="center"/>
            <w:hideMark/>
          </w:tcPr>
          <w:p w14:paraId="25CE842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7EB038C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[ISO2022 EU 2025]</w:t>
            </w:r>
          </w:p>
        </w:tc>
      </w:tr>
      <w:tr w:rsidR="00876E8C" w:rsidRPr="00876E8C" w14:paraId="7417097F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49D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457420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PSD3/PSR entry into force (affects cross</w:t>
            </w:r>
            <w:r w:rsidRPr="00876E8C">
              <w:rPr>
                <w:sz w:val="16"/>
                <w:szCs w:val="16"/>
              </w:rPr>
              <w:noBreakHyphen/>
              <w:t>border payments licensing and rules)</w:t>
            </w:r>
          </w:p>
        </w:tc>
        <w:tc>
          <w:tcPr>
            <w:tcW w:w="0" w:type="auto"/>
            <w:vAlign w:val="center"/>
            <w:hideMark/>
          </w:tcPr>
          <w:p w14:paraId="528C0C5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61C20F5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6CD35D1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Parliament &amp; Council</w:t>
            </w:r>
          </w:p>
        </w:tc>
        <w:tc>
          <w:tcPr>
            <w:tcW w:w="0" w:type="auto"/>
            <w:vAlign w:val="center"/>
            <w:hideMark/>
          </w:tcPr>
          <w:p w14:paraId="03A7F994" w14:textId="4D1F135D" w:rsidR="00876E8C" w:rsidRPr="00876E8C" w:rsidRDefault="00876E8C" w:rsidP="00876E8C">
            <w:pPr>
              <w:rPr>
                <w:sz w:val="16"/>
                <w:szCs w:val="16"/>
              </w:rPr>
            </w:pPr>
            <w:proofErr w:type="spellStart"/>
            <w:r w:rsidRPr="00876E8C">
              <w:rPr>
                <w:sz w:val="16"/>
                <w:szCs w:val="16"/>
              </w:rPr>
              <w:t>Modernises</w:t>
            </w:r>
            <w:proofErr w:type="spellEnd"/>
            <w:r w:rsidRPr="00876E8C">
              <w:rPr>
                <w:sz w:val="16"/>
                <w:szCs w:val="16"/>
              </w:rPr>
              <w:t xml:space="preserve"> EU payment regulation and </w:t>
            </w:r>
            <w:proofErr w:type="spellStart"/>
            <w:r w:rsidRPr="00876E8C">
              <w:rPr>
                <w:sz w:val="16"/>
                <w:szCs w:val="16"/>
              </w:rPr>
              <w:t>harmonises</w:t>
            </w:r>
            <w:proofErr w:type="spellEnd"/>
            <w:r w:rsidRPr="00876E8C">
              <w:rPr>
                <w:sz w:val="16"/>
                <w:szCs w:val="16"/>
              </w:rPr>
              <w:t xml:space="preserve"> consumer protection; </w:t>
            </w:r>
            <w:proofErr w:type="gramStart"/>
            <w:r w:rsidRPr="00876E8C">
              <w:rPr>
                <w:sz w:val="16"/>
                <w:szCs w:val="16"/>
              </w:rPr>
              <w:t>18</w:t>
            </w:r>
            <w:proofErr w:type="gramEnd"/>
            <w:r w:rsidRPr="00876E8C">
              <w:rPr>
                <w:sz w:val="16"/>
                <w:szCs w:val="16"/>
              </w:rPr>
              <w:noBreakHyphen/>
              <w:t>month transition following late</w:t>
            </w:r>
            <w:r w:rsidRPr="00876E8C">
              <w:rPr>
                <w:sz w:val="16"/>
                <w:szCs w:val="16"/>
              </w:rPr>
              <w:noBreakHyphen/>
              <w:t>2024 adoption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6DE3B7E1" wp14:editId="780E0692">
                      <wp:extent cx="304800" cy="304800"/>
                      <wp:effectExtent l="0" t="0" r="0" b="0"/>
                      <wp:docPr id="949440743" name="Rectangle 1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C2AD64" id="Rectangle 1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finextra.com.</w:t>
            </w:r>
          </w:p>
        </w:tc>
        <w:tc>
          <w:tcPr>
            <w:tcW w:w="0" w:type="auto"/>
            <w:vAlign w:val="center"/>
            <w:hideMark/>
          </w:tcPr>
          <w:p w14:paraId="5E1E66B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F57BDB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[PSD3 PSR 2026]</w:t>
            </w:r>
          </w:p>
        </w:tc>
      </w:tr>
      <w:tr w:rsidR="00876E8C" w:rsidRPr="00876E8C" w14:paraId="5CAB5000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476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end</w:t>
            </w:r>
          </w:p>
        </w:tc>
        <w:tc>
          <w:tcPr>
            <w:tcW w:w="0" w:type="auto"/>
            <w:vAlign w:val="center"/>
            <w:hideMark/>
          </w:tcPr>
          <w:p w14:paraId="14C4BE7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 cross</w:t>
            </w:r>
            <w:r w:rsidRPr="00876E8C">
              <w:rPr>
                <w:sz w:val="16"/>
                <w:szCs w:val="16"/>
              </w:rPr>
              <w:noBreakHyphen/>
              <w:t>border payment targets (cost, speed, access, transparency)</w:t>
            </w:r>
          </w:p>
        </w:tc>
        <w:tc>
          <w:tcPr>
            <w:tcW w:w="0" w:type="auto"/>
            <w:vAlign w:val="center"/>
            <w:hideMark/>
          </w:tcPr>
          <w:p w14:paraId="5ACCD3D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EE6F64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7D82FD9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G20, FSB, CPMI</w:t>
            </w:r>
          </w:p>
        </w:tc>
        <w:tc>
          <w:tcPr>
            <w:tcW w:w="0" w:type="auto"/>
            <w:vAlign w:val="center"/>
            <w:hideMark/>
          </w:tcPr>
          <w:p w14:paraId="2546CCF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Seeks ≤1 % average cost and 75 % of transactions credited within 1 hour.</w:t>
            </w:r>
          </w:p>
        </w:tc>
        <w:tc>
          <w:tcPr>
            <w:tcW w:w="0" w:type="auto"/>
            <w:vAlign w:val="center"/>
            <w:hideMark/>
          </w:tcPr>
          <w:p w14:paraId="2830F99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9E4E17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2027]</w:t>
            </w:r>
          </w:p>
        </w:tc>
      </w:tr>
      <w:tr w:rsidR="00876E8C" w:rsidRPr="00876E8C" w14:paraId="03F68478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F6E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2030</w:t>
            </w:r>
            <w:r w:rsidRPr="00876E8C">
              <w:rPr>
                <w:sz w:val="16"/>
                <w:szCs w:val="16"/>
              </w:rPr>
              <w:noBreakHyphen/>
              <w:t>end</w:t>
            </w:r>
          </w:p>
        </w:tc>
        <w:tc>
          <w:tcPr>
            <w:tcW w:w="0" w:type="auto"/>
            <w:vAlign w:val="center"/>
            <w:hideMark/>
          </w:tcPr>
          <w:p w14:paraId="4593D84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Final G20 cross</w:t>
            </w:r>
            <w:r w:rsidRPr="00876E8C">
              <w:rPr>
                <w:sz w:val="16"/>
                <w:szCs w:val="16"/>
              </w:rPr>
              <w:noBreakHyphen/>
              <w:t>border payment targets</w:t>
            </w:r>
          </w:p>
        </w:tc>
        <w:tc>
          <w:tcPr>
            <w:tcW w:w="0" w:type="auto"/>
            <w:vAlign w:val="center"/>
            <w:hideMark/>
          </w:tcPr>
          <w:p w14:paraId="53DCDAA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ABD481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A831A6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G20, FSB, CPMI</w:t>
            </w:r>
          </w:p>
        </w:tc>
        <w:tc>
          <w:tcPr>
            <w:tcW w:w="0" w:type="auto"/>
            <w:vAlign w:val="center"/>
            <w:hideMark/>
          </w:tcPr>
          <w:p w14:paraId="0299CEC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Longer</w:t>
            </w:r>
            <w:r w:rsidRPr="00876E8C">
              <w:rPr>
                <w:sz w:val="16"/>
                <w:szCs w:val="16"/>
              </w:rPr>
              <w:noBreakHyphen/>
              <w:t>term goals for 2030 include ≤3 % global average cost and broad access.</w:t>
            </w:r>
          </w:p>
        </w:tc>
        <w:tc>
          <w:tcPr>
            <w:tcW w:w="0" w:type="auto"/>
            <w:vAlign w:val="center"/>
            <w:hideMark/>
          </w:tcPr>
          <w:p w14:paraId="619E291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B9C3DA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2030]</w:t>
            </w:r>
          </w:p>
        </w:tc>
      </w:tr>
    </w:tbl>
    <w:p w14:paraId="23449DAD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Cross</w:t>
      </w:r>
      <w:r w:rsidRPr="00876E8C">
        <w:rPr>
          <w:b/>
          <w:bCs/>
          <w:sz w:val="16"/>
          <w:szCs w:val="16"/>
        </w:rPr>
        <w:noBreakHyphen/>
        <w:t>Cutting Events (affecting CB + other topics)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030"/>
        <w:gridCol w:w="1458"/>
        <w:gridCol w:w="4931"/>
        <w:gridCol w:w="918"/>
        <w:gridCol w:w="2483"/>
      </w:tblGrid>
      <w:tr w:rsidR="00876E8C" w:rsidRPr="00876E8C" w14:paraId="29C1E376" w14:textId="77777777" w:rsidTr="0087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1C486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BD17E1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9EC59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intersecting_topics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D1BD3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1537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C69C1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citation_label</w:t>
            </w:r>
            <w:proofErr w:type="spellEnd"/>
          </w:p>
        </w:tc>
      </w:tr>
      <w:tr w:rsidR="00876E8C" w:rsidRPr="00876E8C" w14:paraId="48809D00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F14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01</w:t>
            </w:r>
            <w:r w:rsidRPr="00876E8C">
              <w:rPr>
                <w:sz w:val="16"/>
                <w:szCs w:val="16"/>
              </w:rPr>
              <w:noBreakHyphen/>
              <w:t>09</w:t>
            </w:r>
          </w:p>
        </w:tc>
        <w:tc>
          <w:tcPr>
            <w:tcW w:w="0" w:type="auto"/>
            <w:vAlign w:val="center"/>
            <w:hideMark/>
          </w:tcPr>
          <w:p w14:paraId="4616CD6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Instant Payments Regulation obligations begin</w:t>
            </w:r>
          </w:p>
        </w:tc>
        <w:tc>
          <w:tcPr>
            <w:tcW w:w="0" w:type="auto"/>
            <w:vAlign w:val="center"/>
            <w:hideMark/>
          </w:tcPr>
          <w:p w14:paraId="73D21E1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RTP/A2A</w:t>
            </w:r>
          </w:p>
        </w:tc>
        <w:tc>
          <w:tcPr>
            <w:tcW w:w="0" w:type="auto"/>
            <w:vAlign w:val="center"/>
            <w:hideMark/>
          </w:tcPr>
          <w:p w14:paraId="5ED92B0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Mandatory 10</w:t>
            </w:r>
            <w:r w:rsidRPr="00876E8C">
              <w:rPr>
                <w:sz w:val="16"/>
                <w:szCs w:val="16"/>
              </w:rPr>
              <w:noBreakHyphen/>
              <w:t>second instant credit transfers in euros support faster cross</w:t>
            </w:r>
            <w:r w:rsidRPr="00876E8C">
              <w:rPr>
                <w:sz w:val="16"/>
                <w:szCs w:val="16"/>
              </w:rPr>
              <w:noBreakHyphen/>
              <w:t>border euro payments</w:t>
            </w:r>
            <w:hyperlink r:id="rId39" w:anchor=":~:text=Regulation%20,and%209%20October%202025%20respectively" w:tgtFrame="_blank" w:history="1">
              <w:r w:rsidRPr="00876E8C">
                <w:rPr>
                  <w:rStyle w:val="Hyperlink"/>
                  <w:sz w:val="16"/>
                  <w:szCs w:val="16"/>
                </w:rPr>
                <w:t>europeanpaymentscouncil.eu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53865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3B550A8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[EPC IPR 2025]</w:t>
            </w:r>
          </w:p>
        </w:tc>
      </w:tr>
      <w:tr w:rsidR="00876E8C" w:rsidRPr="00876E8C" w14:paraId="58EF2D1F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F44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05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5D8FE5A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GENIUS Act introduced to regulate U.S. payment stablecoins</w:t>
            </w:r>
          </w:p>
        </w:tc>
        <w:tc>
          <w:tcPr>
            <w:tcW w:w="0" w:type="auto"/>
            <w:vAlign w:val="center"/>
            <w:hideMark/>
          </w:tcPr>
          <w:p w14:paraId="7469C33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EF</w:t>
            </w:r>
          </w:p>
        </w:tc>
        <w:tc>
          <w:tcPr>
            <w:tcW w:w="0" w:type="auto"/>
            <w:vAlign w:val="center"/>
            <w:hideMark/>
          </w:tcPr>
          <w:p w14:paraId="1872A10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stablecoin framework could enable regulated dollar</w:t>
            </w:r>
            <w:r w:rsidRPr="00876E8C">
              <w:rPr>
                <w:sz w:val="16"/>
                <w:szCs w:val="16"/>
              </w:rPr>
              <w:noBreakHyphen/>
              <w:t>denominated tokens for cross</w:t>
            </w:r>
            <w:r w:rsidRPr="00876E8C">
              <w:rPr>
                <w:sz w:val="16"/>
                <w:szCs w:val="16"/>
              </w:rPr>
              <w:noBreakHyphen/>
              <w:t>border settlement</w:t>
            </w:r>
            <w:hyperlink r:id="rId40" w:anchor=":~:text=Guiding%20and%20Establishing%20National%20Innovation,Act%20or%20the%20GENIUS%20Act" w:tgtFrame="_blank" w:history="1">
              <w:r w:rsidRPr="00876E8C">
                <w:rPr>
                  <w:rStyle w:val="Hyperlink"/>
                  <w:sz w:val="16"/>
                  <w:szCs w:val="16"/>
                </w:rPr>
                <w:t>congress.gov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99064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9929F1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[GENIUS Act 2025]</w:t>
            </w:r>
          </w:p>
        </w:tc>
      </w:tr>
      <w:tr w:rsidR="00876E8C" w:rsidRPr="00876E8C" w14:paraId="418FAA67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E0D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0598100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ISO 20022 migration deadline</w:t>
            </w:r>
          </w:p>
        </w:tc>
        <w:tc>
          <w:tcPr>
            <w:tcW w:w="0" w:type="auto"/>
            <w:vAlign w:val="center"/>
            <w:hideMark/>
          </w:tcPr>
          <w:p w14:paraId="35AB2B9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RTP/A2A</w:t>
            </w:r>
          </w:p>
        </w:tc>
        <w:tc>
          <w:tcPr>
            <w:tcW w:w="0" w:type="auto"/>
            <w:vAlign w:val="center"/>
            <w:hideMark/>
          </w:tcPr>
          <w:p w14:paraId="02B50EC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proofErr w:type="spellStart"/>
            <w:r w:rsidRPr="00876E8C">
              <w:rPr>
                <w:sz w:val="16"/>
                <w:szCs w:val="16"/>
              </w:rPr>
              <w:t>Harmonised</w:t>
            </w:r>
            <w:proofErr w:type="spellEnd"/>
            <w:r w:rsidRPr="00876E8C">
              <w:rPr>
                <w:sz w:val="16"/>
                <w:szCs w:val="16"/>
              </w:rPr>
              <w:t xml:space="preserve"> messaging standard improves real</w:t>
            </w:r>
            <w:r w:rsidRPr="00876E8C">
              <w:rPr>
                <w:sz w:val="16"/>
                <w:szCs w:val="16"/>
              </w:rPr>
              <w:noBreakHyphen/>
              <w:t>time and cross</w:t>
            </w:r>
            <w:r w:rsidRPr="00876E8C">
              <w:rPr>
                <w:sz w:val="16"/>
                <w:szCs w:val="16"/>
              </w:rPr>
              <w:noBreakHyphen/>
              <w:t>border interoperability.</w:t>
            </w:r>
          </w:p>
        </w:tc>
        <w:tc>
          <w:tcPr>
            <w:tcW w:w="0" w:type="auto"/>
            <w:vAlign w:val="center"/>
            <w:hideMark/>
          </w:tcPr>
          <w:p w14:paraId="77050C4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17B623F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[ISO2022 EU 2025]</w:t>
            </w:r>
          </w:p>
        </w:tc>
      </w:tr>
      <w:tr w:rsidR="00876E8C" w:rsidRPr="00876E8C" w14:paraId="1C881A54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172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94AC01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PSD3/PSR expected to </w:t>
            </w:r>
            <w:proofErr w:type="gramStart"/>
            <w:r w:rsidRPr="00876E8C">
              <w:rPr>
                <w:sz w:val="16"/>
                <w:szCs w:val="16"/>
              </w:rPr>
              <w:t>enter into</w:t>
            </w:r>
            <w:proofErr w:type="gramEnd"/>
            <w:r w:rsidRPr="00876E8C">
              <w:rPr>
                <w:sz w:val="16"/>
                <w:szCs w:val="16"/>
              </w:rPr>
              <w:t xml:space="preserve"> effect</w:t>
            </w:r>
          </w:p>
        </w:tc>
        <w:tc>
          <w:tcPr>
            <w:tcW w:w="0" w:type="auto"/>
            <w:vAlign w:val="center"/>
            <w:hideMark/>
          </w:tcPr>
          <w:p w14:paraId="13B7E25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</w:t>
            </w:r>
          </w:p>
        </w:tc>
        <w:tc>
          <w:tcPr>
            <w:tcW w:w="0" w:type="auto"/>
            <w:vAlign w:val="center"/>
            <w:hideMark/>
          </w:tcPr>
          <w:p w14:paraId="1071D422" w14:textId="4DD39FEF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New licensing and open</w:t>
            </w:r>
            <w:r w:rsidRPr="00876E8C">
              <w:rPr>
                <w:sz w:val="16"/>
                <w:szCs w:val="16"/>
              </w:rPr>
              <w:noBreakHyphen/>
              <w:t>banking rules affect cross</w:t>
            </w:r>
            <w:r w:rsidRPr="00876E8C">
              <w:rPr>
                <w:sz w:val="16"/>
                <w:szCs w:val="16"/>
              </w:rPr>
              <w:noBreakHyphen/>
              <w:t>border payment providers as well as embedded</w:t>
            </w:r>
            <w:r w:rsidRPr="00876E8C">
              <w:rPr>
                <w:sz w:val="16"/>
                <w:szCs w:val="16"/>
              </w:rPr>
              <w:noBreakHyphen/>
              <w:t>finance platforms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54122A53" wp14:editId="61B73E08">
                      <wp:extent cx="304800" cy="304800"/>
                      <wp:effectExtent l="0" t="0" r="0" b="0"/>
                      <wp:docPr id="481117857" name="Rectangle 10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B5D3CD" id="Rectangle 10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finextra.com.</w:t>
            </w:r>
          </w:p>
        </w:tc>
        <w:tc>
          <w:tcPr>
            <w:tcW w:w="0" w:type="auto"/>
            <w:vAlign w:val="center"/>
            <w:hideMark/>
          </w:tcPr>
          <w:p w14:paraId="79E3D13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3DF673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[PSD3 PSR 2026]</w:t>
            </w:r>
          </w:p>
        </w:tc>
      </w:tr>
      <w:tr w:rsidR="00876E8C" w:rsidRPr="00876E8C" w14:paraId="601B9371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BE7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mid</w:t>
            </w:r>
          </w:p>
        </w:tc>
        <w:tc>
          <w:tcPr>
            <w:tcW w:w="0" w:type="auto"/>
            <w:vAlign w:val="center"/>
            <w:hideMark/>
          </w:tcPr>
          <w:p w14:paraId="7CA5ACA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Digital euro pilot begins</w:t>
            </w:r>
          </w:p>
        </w:tc>
        <w:tc>
          <w:tcPr>
            <w:tcW w:w="0" w:type="auto"/>
            <w:vAlign w:val="center"/>
            <w:hideMark/>
          </w:tcPr>
          <w:p w14:paraId="7ADE53B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0" w:type="auto"/>
            <w:vAlign w:val="center"/>
            <w:hideMark/>
          </w:tcPr>
          <w:p w14:paraId="3E3DAE67" w14:textId="5D7BFD8D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A euro CBDC pilot could eventually facilitate near</w:t>
            </w:r>
            <w:r w:rsidRPr="00876E8C">
              <w:rPr>
                <w:sz w:val="16"/>
                <w:szCs w:val="16"/>
              </w:rPr>
              <w:noBreakHyphen/>
              <w:t>instant cross</w:t>
            </w:r>
            <w:r w:rsidRPr="00876E8C">
              <w:rPr>
                <w:sz w:val="16"/>
                <w:szCs w:val="16"/>
              </w:rPr>
              <w:noBreakHyphen/>
              <w:t>border settlements and remittances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57EE8818" wp14:editId="3C7E89DF">
                      <wp:extent cx="304800" cy="304800"/>
                      <wp:effectExtent l="0" t="0" r="0" b="0"/>
                      <wp:docPr id="214127562" name="Rectangle 1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C0A89C" id="Rectangle 1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coinedition.com.</w:t>
            </w:r>
          </w:p>
        </w:tc>
        <w:tc>
          <w:tcPr>
            <w:tcW w:w="0" w:type="auto"/>
            <w:vAlign w:val="center"/>
            <w:hideMark/>
          </w:tcPr>
          <w:p w14:paraId="5F587E0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0E8DAB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[Digital Euro Pilot 2027]</w:t>
            </w:r>
          </w:p>
        </w:tc>
      </w:tr>
      <w:tr w:rsidR="00876E8C" w:rsidRPr="00876E8C" w14:paraId="257CE05F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44A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61FA4BA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Digital euro issuance target</w:t>
            </w:r>
          </w:p>
        </w:tc>
        <w:tc>
          <w:tcPr>
            <w:tcW w:w="0" w:type="auto"/>
            <w:vAlign w:val="center"/>
            <w:hideMark/>
          </w:tcPr>
          <w:p w14:paraId="5A360E9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0" w:type="auto"/>
            <w:vAlign w:val="center"/>
            <w:hideMark/>
          </w:tcPr>
          <w:p w14:paraId="66DB1338" w14:textId="247BA3CE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Full issuance of a euro CBDC may reduce reliance on private stablecoins for cross</w:t>
            </w:r>
            <w:r w:rsidRPr="00876E8C">
              <w:rPr>
                <w:sz w:val="16"/>
                <w:szCs w:val="16"/>
              </w:rPr>
              <w:noBreakHyphen/>
              <w:t>border transfers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74E7E7AB" wp14:editId="767292EE">
                      <wp:extent cx="304800" cy="304800"/>
                      <wp:effectExtent l="0" t="0" r="0" b="0"/>
                      <wp:docPr id="2060644561" name="Rectangle 1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A0066A" id="Rectangle 10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coinedition.com.</w:t>
            </w:r>
          </w:p>
        </w:tc>
        <w:tc>
          <w:tcPr>
            <w:tcW w:w="0" w:type="auto"/>
            <w:vAlign w:val="center"/>
            <w:hideMark/>
          </w:tcPr>
          <w:p w14:paraId="7D7D2D0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636202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[Digital Euro 2029]</w:t>
            </w:r>
          </w:p>
        </w:tc>
      </w:tr>
      <w:tr w:rsidR="00876E8C" w:rsidRPr="00876E8C" w14:paraId="35C8EF8B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72A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2030</w:t>
            </w:r>
          </w:p>
        </w:tc>
        <w:tc>
          <w:tcPr>
            <w:tcW w:w="0" w:type="auto"/>
            <w:vAlign w:val="center"/>
            <w:hideMark/>
          </w:tcPr>
          <w:p w14:paraId="391452B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Open</w:t>
            </w:r>
            <w:r w:rsidRPr="00876E8C">
              <w:rPr>
                <w:sz w:val="16"/>
                <w:szCs w:val="16"/>
              </w:rPr>
              <w:noBreakHyphen/>
              <w:t>banking compliance phasing in the U.S. (multiple dates)</w:t>
            </w:r>
          </w:p>
        </w:tc>
        <w:tc>
          <w:tcPr>
            <w:tcW w:w="0" w:type="auto"/>
            <w:vAlign w:val="center"/>
            <w:hideMark/>
          </w:tcPr>
          <w:p w14:paraId="5BB5A6E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</w:t>
            </w:r>
          </w:p>
        </w:tc>
        <w:tc>
          <w:tcPr>
            <w:tcW w:w="0" w:type="auto"/>
            <w:vAlign w:val="center"/>
            <w:hideMark/>
          </w:tcPr>
          <w:p w14:paraId="62D0816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Permits regulated third</w:t>
            </w:r>
            <w:r w:rsidRPr="00876E8C">
              <w:rPr>
                <w:sz w:val="16"/>
                <w:szCs w:val="16"/>
              </w:rPr>
              <w:noBreakHyphen/>
              <w:t>party access to account data, enabling new cross</w:t>
            </w:r>
            <w:r w:rsidRPr="00876E8C">
              <w:rPr>
                <w:sz w:val="16"/>
                <w:szCs w:val="16"/>
              </w:rPr>
              <w:noBreakHyphen/>
              <w:t>border and multi</w:t>
            </w:r>
            <w:r w:rsidRPr="00876E8C">
              <w:rPr>
                <w:sz w:val="16"/>
                <w:szCs w:val="16"/>
              </w:rPr>
              <w:noBreakHyphen/>
              <w:t>currency payment services</w:t>
            </w:r>
            <w:hyperlink r:id="rId41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01EB1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08A4CFE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2026]</w:t>
            </w:r>
            <w:proofErr w:type="gramStart"/>
            <w:r w:rsidRPr="00876E8C">
              <w:rPr>
                <w:sz w:val="16"/>
                <w:szCs w:val="16"/>
              </w:rPr>
              <w:t>–[</w:t>
            </w:r>
            <w:proofErr w:type="gramEnd"/>
            <w:r w:rsidRPr="00876E8C">
              <w:rPr>
                <w:sz w:val="16"/>
                <w:szCs w:val="16"/>
              </w:rPr>
              <w:t>CFPB 1033 2030]</w:t>
            </w:r>
          </w:p>
        </w:tc>
      </w:tr>
      <w:tr w:rsidR="00876E8C" w:rsidRPr="00876E8C" w14:paraId="53F1DBF8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6F6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12 / 2027</w:t>
            </w:r>
            <w:r w:rsidRPr="00876E8C">
              <w:rPr>
                <w:sz w:val="16"/>
                <w:szCs w:val="16"/>
              </w:rPr>
              <w:noBreakHyphen/>
              <w:t>12 / 2030</w:t>
            </w:r>
          </w:p>
        </w:tc>
        <w:tc>
          <w:tcPr>
            <w:tcW w:w="0" w:type="auto"/>
            <w:vAlign w:val="center"/>
            <w:hideMark/>
          </w:tcPr>
          <w:p w14:paraId="57B190D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Digital Identity wallet rollout and adoption targets</w:t>
            </w:r>
          </w:p>
        </w:tc>
        <w:tc>
          <w:tcPr>
            <w:tcW w:w="0" w:type="auto"/>
            <w:vAlign w:val="center"/>
            <w:hideMark/>
          </w:tcPr>
          <w:p w14:paraId="520DBB9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EF</w:t>
            </w:r>
          </w:p>
        </w:tc>
        <w:tc>
          <w:tcPr>
            <w:tcW w:w="0" w:type="auto"/>
            <w:vAlign w:val="center"/>
            <w:hideMark/>
          </w:tcPr>
          <w:p w14:paraId="73E2F1B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Government</w:t>
            </w:r>
            <w:r w:rsidRPr="00876E8C">
              <w:rPr>
                <w:sz w:val="16"/>
                <w:szCs w:val="16"/>
              </w:rPr>
              <w:noBreakHyphen/>
              <w:t>issued identity wallets support secure cross</w:t>
            </w:r>
            <w:r w:rsidRPr="00876E8C">
              <w:rPr>
                <w:sz w:val="16"/>
                <w:szCs w:val="16"/>
              </w:rPr>
              <w:noBreakHyphen/>
              <w:t>border payment initiation and KYC</w:t>
            </w:r>
            <w:hyperlink r:id="rId42" w:anchor=":~:text=by%20late%20December%202026.,28" w:tgtFrame="_blank" w:history="1">
              <w:r w:rsidRPr="00876E8C">
                <w:rPr>
                  <w:rStyle w:val="Hyperlink"/>
                  <w:sz w:val="16"/>
                  <w:szCs w:val="16"/>
                </w:rPr>
                <w:t>en.wikipedia.org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5ED89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Firm/Target</w:t>
            </w:r>
          </w:p>
        </w:tc>
        <w:tc>
          <w:tcPr>
            <w:tcW w:w="0" w:type="auto"/>
            <w:vAlign w:val="center"/>
            <w:hideMark/>
          </w:tcPr>
          <w:p w14:paraId="25A8B34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[EUDI Wallet 2026], [EUDI Accept 2027], [EUDI Adoption 2030]</w:t>
            </w:r>
          </w:p>
        </w:tc>
      </w:tr>
    </w:tbl>
    <w:p w14:paraId="00908FA4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Embedded Finance (EF)</w:t>
      </w:r>
    </w:p>
    <w:p w14:paraId="44E33230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lastRenderedPageBreak/>
        <w:t>Topic</w:t>
      </w:r>
      <w:r w:rsidRPr="00876E8C">
        <w:rPr>
          <w:b/>
          <w:bCs/>
          <w:sz w:val="16"/>
          <w:szCs w:val="16"/>
        </w:rPr>
        <w:noBreakHyphen/>
        <w:t>Specific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916"/>
        <w:gridCol w:w="857"/>
        <w:gridCol w:w="888"/>
        <w:gridCol w:w="1225"/>
        <w:gridCol w:w="4487"/>
        <w:gridCol w:w="918"/>
        <w:gridCol w:w="1801"/>
      </w:tblGrid>
      <w:tr w:rsidR="00876E8C" w:rsidRPr="00876E8C" w14:paraId="09DB78D5" w14:textId="77777777" w:rsidTr="0087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92A56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AA14D0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D34CB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F49A8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876E8C">
              <w:rPr>
                <w:b/>
                <w:bCs/>
                <w:sz w:val="16"/>
                <w:szCs w:val="16"/>
              </w:rPr>
              <w:t>jurisdiction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8979D0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key_actors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2FAD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E5250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8AE16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citation_label</w:t>
            </w:r>
            <w:proofErr w:type="spellEnd"/>
          </w:p>
        </w:tc>
      </w:tr>
      <w:tr w:rsidR="00876E8C" w:rsidRPr="00876E8C" w14:paraId="61AA6B21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3A2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673EBB8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Largest U.S. banks must comply with CFPB Section 1033 open</w:t>
            </w:r>
            <w:r w:rsidRPr="00876E8C">
              <w:rPr>
                <w:sz w:val="16"/>
                <w:szCs w:val="16"/>
              </w:rPr>
              <w:noBreakHyphen/>
              <w:t>banking rule</w:t>
            </w:r>
          </w:p>
        </w:tc>
        <w:tc>
          <w:tcPr>
            <w:tcW w:w="0" w:type="auto"/>
            <w:vAlign w:val="center"/>
            <w:hideMark/>
          </w:tcPr>
          <w:p w14:paraId="6CAD810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573B2EC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147F38B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CFPB, banks</w:t>
            </w:r>
          </w:p>
        </w:tc>
        <w:tc>
          <w:tcPr>
            <w:tcW w:w="0" w:type="auto"/>
            <w:vAlign w:val="center"/>
            <w:hideMark/>
          </w:tcPr>
          <w:p w14:paraId="6FB011A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Launches open banking by requiring data</w:t>
            </w:r>
            <w:r w:rsidRPr="00876E8C">
              <w:rPr>
                <w:sz w:val="16"/>
                <w:szCs w:val="16"/>
              </w:rPr>
              <w:noBreakHyphen/>
              <w:t>sharing APIs, enabling embedded</w:t>
            </w:r>
            <w:r w:rsidRPr="00876E8C">
              <w:rPr>
                <w:sz w:val="16"/>
                <w:szCs w:val="16"/>
              </w:rPr>
              <w:noBreakHyphen/>
              <w:t>finance products and account</w:t>
            </w:r>
            <w:r w:rsidRPr="00876E8C">
              <w:rPr>
                <w:sz w:val="16"/>
                <w:szCs w:val="16"/>
              </w:rPr>
              <w:noBreakHyphen/>
              <w:t>to</w:t>
            </w:r>
            <w:r w:rsidRPr="00876E8C">
              <w:rPr>
                <w:sz w:val="16"/>
                <w:szCs w:val="16"/>
              </w:rPr>
              <w:noBreakHyphen/>
              <w:t>account payment initiation</w:t>
            </w:r>
            <w:hyperlink r:id="rId43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A15A6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5916FB1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2026]</w:t>
            </w:r>
          </w:p>
        </w:tc>
      </w:tr>
      <w:tr w:rsidR="00876E8C" w:rsidRPr="00876E8C" w14:paraId="30823CC8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B46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6B02482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Medium</w:t>
            </w:r>
            <w:r w:rsidRPr="00876E8C">
              <w:rPr>
                <w:sz w:val="16"/>
                <w:szCs w:val="16"/>
              </w:rPr>
              <w:noBreakHyphen/>
              <w:t>sized U.S. banks’ open</w:t>
            </w:r>
            <w:r w:rsidRPr="00876E8C">
              <w:rPr>
                <w:sz w:val="16"/>
                <w:szCs w:val="16"/>
              </w:rPr>
              <w:noBreakHyphen/>
              <w:t>banking compliance</w:t>
            </w:r>
          </w:p>
        </w:tc>
        <w:tc>
          <w:tcPr>
            <w:tcW w:w="0" w:type="auto"/>
            <w:vAlign w:val="center"/>
            <w:hideMark/>
          </w:tcPr>
          <w:p w14:paraId="5196235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07D64BC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4325A0E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</w:t>
            </w:r>
          </w:p>
        </w:tc>
        <w:tc>
          <w:tcPr>
            <w:tcW w:w="0" w:type="auto"/>
            <w:vAlign w:val="center"/>
            <w:hideMark/>
          </w:tcPr>
          <w:p w14:paraId="1599A93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Extends open</w:t>
            </w:r>
            <w:r w:rsidRPr="00876E8C">
              <w:rPr>
                <w:sz w:val="16"/>
                <w:szCs w:val="16"/>
              </w:rPr>
              <w:noBreakHyphen/>
              <w:t>banking obligations to banks with ≥US$10 bn in assets, expanding the market for embedded</w:t>
            </w:r>
            <w:r w:rsidRPr="00876E8C">
              <w:rPr>
                <w:sz w:val="16"/>
                <w:szCs w:val="16"/>
              </w:rPr>
              <w:noBreakHyphen/>
              <w:t>finance integrations</w:t>
            </w:r>
            <w:hyperlink r:id="rId44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FC5AE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6638EA5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2027]</w:t>
            </w:r>
          </w:p>
        </w:tc>
      </w:tr>
      <w:tr w:rsidR="00876E8C" w:rsidRPr="00876E8C" w14:paraId="563D3251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9B3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2028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54E8C57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banks with US$3–10 bn assets comply with open</w:t>
            </w:r>
            <w:r w:rsidRPr="00876E8C">
              <w:rPr>
                <w:sz w:val="16"/>
                <w:szCs w:val="16"/>
              </w:rPr>
              <w:noBreakHyphen/>
              <w:t>banking rule</w:t>
            </w:r>
          </w:p>
        </w:tc>
        <w:tc>
          <w:tcPr>
            <w:tcW w:w="0" w:type="auto"/>
            <w:vAlign w:val="center"/>
            <w:hideMark/>
          </w:tcPr>
          <w:p w14:paraId="00ED8E6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47CC32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3157C92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</w:t>
            </w:r>
          </w:p>
        </w:tc>
        <w:tc>
          <w:tcPr>
            <w:tcW w:w="0" w:type="auto"/>
            <w:vAlign w:val="center"/>
            <w:hideMark/>
          </w:tcPr>
          <w:p w14:paraId="0FCC803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Further broadens open</w:t>
            </w:r>
            <w:r w:rsidRPr="00876E8C">
              <w:rPr>
                <w:sz w:val="16"/>
                <w:szCs w:val="16"/>
              </w:rPr>
              <w:noBreakHyphen/>
              <w:t>banking coverage, enabling more community banks to partner with fintechs</w:t>
            </w:r>
            <w:hyperlink r:id="rId45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5EE80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5AF7246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2028]</w:t>
            </w:r>
          </w:p>
        </w:tc>
      </w:tr>
      <w:tr w:rsidR="00876E8C" w:rsidRPr="00876E8C" w14:paraId="5E66F272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1EF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2029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59701BB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banks with US$1.5–3 bn assets comply with open</w:t>
            </w:r>
            <w:r w:rsidRPr="00876E8C">
              <w:rPr>
                <w:sz w:val="16"/>
                <w:szCs w:val="16"/>
              </w:rPr>
              <w:noBreakHyphen/>
              <w:t>banking rule</w:t>
            </w:r>
          </w:p>
        </w:tc>
        <w:tc>
          <w:tcPr>
            <w:tcW w:w="0" w:type="auto"/>
            <w:vAlign w:val="center"/>
            <w:hideMark/>
          </w:tcPr>
          <w:p w14:paraId="3CE4AB6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2B90596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5BC3574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</w:t>
            </w:r>
          </w:p>
        </w:tc>
        <w:tc>
          <w:tcPr>
            <w:tcW w:w="0" w:type="auto"/>
            <w:vAlign w:val="center"/>
            <w:hideMark/>
          </w:tcPr>
          <w:p w14:paraId="6FF73C5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Continues phased rollout, bringing smaller banks into embedded</w:t>
            </w:r>
            <w:r w:rsidRPr="00876E8C">
              <w:rPr>
                <w:sz w:val="16"/>
                <w:szCs w:val="16"/>
              </w:rPr>
              <w:noBreakHyphen/>
              <w:t>finance ecosystem</w:t>
            </w:r>
            <w:hyperlink r:id="rId46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D2CCB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040567A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2029]</w:t>
            </w:r>
          </w:p>
        </w:tc>
      </w:tr>
      <w:tr w:rsidR="00876E8C" w:rsidRPr="00876E8C" w14:paraId="708496C5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EBC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2030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16B4645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Final wave of small U.S. banks completes open</w:t>
            </w:r>
            <w:r w:rsidRPr="00876E8C">
              <w:rPr>
                <w:sz w:val="16"/>
                <w:szCs w:val="16"/>
              </w:rPr>
              <w:noBreakHyphen/>
              <w:t>banking compliance</w:t>
            </w:r>
          </w:p>
        </w:tc>
        <w:tc>
          <w:tcPr>
            <w:tcW w:w="0" w:type="auto"/>
            <w:vAlign w:val="center"/>
            <w:hideMark/>
          </w:tcPr>
          <w:p w14:paraId="217A48E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6B4BA3F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4FDD9FE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</w:t>
            </w:r>
          </w:p>
        </w:tc>
        <w:tc>
          <w:tcPr>
            <w:tcW w:w="0" w:type="auto"/>
            <w:vAlign w:val="center"/>
            <w:hideMark/>
          </w:tcPr>
          <w:p w14:paraId="044C603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By 2030 open banking is universal among U.S. banks, enabling widespread embedded</w:t>
            </w:r>
            <w:r w:rsidRPr="00876E8C">
              <w:rPr>
                <w:sz w:val="16"/>
                <w:szCs w:val="16"/>
              </w:rPr>
              <w:noBreakHyphen/>
              <w:t>finance applications</w:t>
            </w:r>
            <w:hyperlink r:id="rId47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14357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7F54BA8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2030]</w:t>
            </w:r>
          </w:p>
        </w:tc>
      </w:tr>
      <w:tr w:rsidR="00876E8C" w:rsidRPr="00876E8C" w14:paraId="4CD27A70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051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E662BF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PSD3/PSR expected to </w:t>
            </w:r>
            <w:proofErr w:type="gramStart"/>
            <w:r w:rsidRPr="00876E8C">
              <w:rPr>
                <w:sz w:val="16"/>
                <w:szCs w:val="16"/>
              </w:rPr>
              <w:t>enter into</w:t>
            </w:r>
            <w:proofErr w:type="gramEnd"/>
            <w:r w:rsidRPr="00876E8C">
              <w:rPr>
                <w:sz w:val="16"/>
                <w:szCs w:val="16"/>
              </w:rPr>
              <w:t xml:space="preserve"> effect</w:t>
            </w:r>
          </w:p>
        </w:tc>
        <w:tc>
          <w:tcPr>
            <w:tcW w:w="0" w:type="auto"/>
            <w:vAlign w:val="center"/>
            <w:hideMark/>
          </w:tcPr>
          <w:p w14:paraId="60B2457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21F43F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74801A5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Parliament, Council</w:t>
            </w:r>
          </w:p>
        </w:tc>
        <w:tc>
          <w:tcPr>
            <w:tcW w:w="0" w:type="auto"/>
            <w:vAlign w:val="center"/>
            <w:hideMark/>
          </w:tcPr>
          <w:p w14:paraId="7180AA11" w14:textId="28258760" w:rsidR="00876E8C" w:rsidRPr="00876E8C" w:rsidRDefault="00876E8C" w:rsidP="00876E8C">
            <w:pPr>
              <w:rPr>
                <w:sz w:val="16"/>
                <w:szCs w:val="16"/>
              </w:rPr>
            </w:pPr>
            <w:proofErr w:type="spellStart"/>
            <w:r w:rsidRPr="00876E8C">
              <w:rPr>
                <w:sz w:val="16"/>
                <w:szCs w:val="16"/>
              </w:rPr>
              <w:t>Modernises</w:t>
            </w:r>
            <w:proofErr w:type="spellEnd"/>
            <w:r w:rsidRPr="00876E8C">
              <w:rPr>
                <w:sz w:val="16"/>
                <w:szCs w:val="16"/>
              </w:rPr>
              <w:t xml:space="preserve"> EU payment services; mandates robust API performance and risk</w:t>
            </w:r>
            <w:r w:rsidRPr="00876E8C">
              <w:rPr>
                <w:sz w:val="16"/>
                <w:szCs w:val="16"/>
              </w:rPr>
              <w:noBreakHyphen/>
              <w:t>based fraud prevention, creating a foundation for embedded</w:t>
            </w:r>
            <w:r w:rsidRPr="00876E8C">
              <w:rPr>
                <w:sz w:val="16"/>
                <w:szCs w:val="16"/>
              </w:rPr>
              <w:noBreakHyphen/>
              <w:t>finance providers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7FAF7AFC" wp14:editId="0C154C87">
                      <wp:extent cx="304800" cy="304800"/>
                      <wp:effectExtent l="0" t="0" r="0" b="0"/>
                      <wp:docPr id="1637248433" name="Rectangle 1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A5B444" id="Rectangle 10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finextra.com.</w:t>
            </w:r>
          </w:p>
        </w:tc>
        <w:tc>
          <w:tcPr>
            <w:tcW w:w="0" w:type="auto"/>
            <w:vAlign w:val="center"/>
            <w:hideMark/>
          </w:tcPr>
          <w:p w14:paraId="70093C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D59104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[PSD3 PSR 2026]</w:t>
            </w:r>
          </w:p>
        </w:tc>
      </w:tr>
      <w:tr w:rsidR="00876E8C" w:rsidRPr="00876E8C" w14:paraId="7A6FC84F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043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07</w:t>
            </w:r>
          </w:p>
        </w:tc>
        <w:tc>
          <w:tcPr>
            <w:tcW w:w="0" w:type="auto"/>
            <w:vAlign w:val="center"/>
            <w:hideMark/>
          </w:tcPr>
          <w:p w14:paraId="189D75B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PSD3/PSR compliance obligations </w:t>
            </w:r>
            <w:proofErr w:type="gramStart"/>
            <w:r w:rsidRPr="00876E8C">
              <w:rPr>
                <w:sz w:val="16"/>
                <w:szCs w:val="16"/>
              </w:rPr>
              <w:t>likely start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B8A90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2638F49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720D161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Commission, banks</w:t>
            </w:r>
          </w:p>
        </w:tc>
        <w:tc>
          <w:tcPr>
            <w:tcW w:w="0" w:type="auto"/>
            <w:vAlign w:val="center"/>
            <w:hideMark/>
          </w:tcPr>
          <w:p w14:paraId="7B15F94C" w14:textId="67BAAAA3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Financial institutions expected to meet new licensing, </w:t>
            </w:r>
            <w:proofErr w:type="gramStart"/>
            <w:r w:rsidRPr="00876E8C">
              <w:rPr>
                <w:sz w:val="16"/>
                <w:szCs w:val="16"/>
              </w:rPr>
              <w:t>authentication</w:t>
            </w:r>
            <w:proofErr w:type="gramEnd"/>
            <w:r w:rsidRPr="00876E8C">
              <w:rPr>
                <w:sz w:val="16"/>
                <w:szCs w:val="16"/>
              </w:rPr>
              <w:t xml:space="preserve"> and open</w:t>
            </w:r>
            <w:r w:rsidRPr="00876E8C">
              <w:rPr>
                <w:sz w:val="16"/>
                <w:szCs w:val="16"/>
              </w:rPr>
              <w:noBreakHyphen/>
              <w:t>banking requirements from late 2027 or early 2028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0A0E1D19" wp14:editId="735D9218">
                      <wp:extent cx="304800" cy="304800"/>
                      <wp:effectExtent l="0" t="0" r="0" b="0"/>
                      <wp:docPr id="188870072" name="Rectangle 9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2A339F" id="Rectangle 9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finologee.com.</w:t>
            </w:r>
          </w:p>
        </w:tc>
        <w:tc>
          <w:tcPr>
            <w:tcW w:w="0" w:type="auto"/>
            <w:vAlign w:val="center"/>
            <w:hideMark/>
          </w:tcPr>
          <w:p w14:paraId="1509E39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76D62B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[PSD3 Compliance 2027]</w:t>
            </w:r>
          </w:p>
        </w:tc>
      </w:tr>
    </w:tbl>
    <w:p w14:paraId="2D647EC1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Cross</w:t>
      </w:r>
      <w:r w:rsidRPr="00876E8C">
        <w:rPr>
          <w:b/>
          <w:bCs/>
          <w:sz w:val="16"/>
          <w:szCs w:val="16"/>
        </w:rPr>
        <w:noBreakHyphen/>
        <w:t>Cutting Events (affecting EF + other topics)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852"/>
        <w:gridCol w:w="1458"/>
        <w:gridCol w:w="5475"/>
        <w:gridCol w:w="918"/>
        <w:gridCol w:w="2057"/>
      </w:tblGrid>
      <w:tr w:rsidR="00876E8C" w:rsidRPr="00876E8C" w14:paraId="070B1634" w14:textId="77777777" w:rsidTr="0087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F75ED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003BC757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AF79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intersecting_topics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97BC2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D74C9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60E9B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citation_label</w:t>
            </w:r>
            <w:proofErr w:type="spellEnd"/>
          </w:p>
        </w:tc>
      </w:tr>
      <w:tr w:rsidR="00876E8C" w:rsidRPr="00876E8C" w14:paraId="5976F9BD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6FE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05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1B55115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GENIUS Act introduced</w:t>
            </w:r>
          </w:p>
        </w:tc>
        <w:tc>
          <w:tcPr>
            <w:tcW w:w="0" w:type="auto"/>
            <w:vAlign w:val="center"/>
            <w:hideMark/>
          </w:tcPr>
          <w:p w14:paraId="2986546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CB</w:t>
            </w:r>
          </w:p>
        </w:tc>
        <w:tc>
          <w:tcPr>
            <w:tcW w:w="0" w:type="auto"/>
            <w:vAlign w:val="center"/>
            <w:hideMark/>
          </w:tcPr>
          <w:p w14:paraId="215FBBB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U.S. stablecoin regulation would enable banks and </w:t>
            </w:r>
            <w:proofErr w:type="spellStart"/>
            <w:r w:rsidRPr="00876E8C">
              <w:rPr>
                <w:sz w:val="16"/>
                <w:szCs w:val="16"/>
              </w:rPr>
              <w:t>fintechs</w:t>
            </w:r>
            <w:proofErr w:type="spellEnd"/>
            <w:r w:rsidRPr="00876E8C">
              <w:rPr>
                <w:sz w:val="16"/>
                <w:szCs w:val="16"/>
              </w:rPr>
              <w:t xml:space="preserve"> to embed dollar</w:t>
            </w:r>
            <w:r w:rsidRPr="00876E8C">
              <w:rPr>
                <w:sz w:val="16"/>
                <w:szCs w:val="16"/>
              </w:rPr>
              <w:noBreakHyphen/>
              <w:t>backed tokens into payment flows</w:t>
            </w:r>
            <w:hyperlink r:id="rId48" w:anchor=":~:text=Guiding%20and%20Establishing%20National%20Innovation,Act%20or%20the%20GENIUS%20Act" w:tgtFrame="_blank" w:history="1">
              <w:r w:rsidRPr="00876E8C">
                <w:rPr>
                  <w:rStyle w:val="Hyperlink"/>
                  <w:sz w:val="16"/>
                  <w:szCs w:val="16"/>
                </w:rPr>
                <w:t>congress.gov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B066D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A6540E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[GENIUS Act 2025]</w:t>
            </w:r>
          </w:p>
        </w:tc>
      </w:tr>
      <w:tr w:rsidR="00876E8C" w:rsidRPr="00876E8C" w14:paraId="70748338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A71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12 / 2027</w:t>
            </w:r>
            <w:r w:rsidRPr="00876E8C">
              <w:rPr>
                <w:sz w:val="16"/>
                <w:szCs w:val="16"/>
              </w:rPr>
              <w:noBreakHyphen/>
              <w:t>12 / 2030</w:t>
            </w:r>
          </w:p>
        </w:tc>
        <w:tc>
          <w:tcPr>
            <w:tcW w:w="0" w:type="auto"/>
            <w:vAlign w:val="center"/>
            <w:hideMark/>
          </w:tcPr>
          <w:p w14:paraId="71B3137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Digital Identity wallet rollout and targets</w:t>
            </w:r>
          </w:p>
        </w:tc>
        <w:tc>
          <w:tcPr>
            <w:tcW w:w="0" w:type="auto"/>
            <w:vAlign w:val="center"/>
            <w:hideMark/>
          </w:tcPr>
          <w:p w14:paraId="7DFEE02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0" w:type="auto"/>
            <w:vAlign w:val="center"/>
            <w:hideMark/>
          </w:tcPr>
          <w:p w14:paraId="35EAE24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Digital wallets tied to government IDs enable secure user onboarding for embedded</w:t>
            </w:r>
            <w:r w:rsidRPr="00876E8C">
              <w:rPr>
                <w:sz w:val="16"/>
                <w:szCs w:val="16"/>
              </w:rPr>
              <w:noBreakHyphen/>
              <w:t>finance platforms</w:t>
            </w:r>
            <w:hyperlink r:id="rId49" w:anchor=":~:text=by%20late%20December%202026.,28" w:tgtFrame="_blank" w:history="1">
              <w:r w:rsidRPr="00876E8C">
                <w:rPr>
                  <w:rStyle w:val="Hyperlink"/>
                  <w:sz w:val="16"/>
                  <w:szCs w:val="16"/>
                </w:rPr>
                <w:t>en.wikipedia.org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F8C0F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Firm/Target</w:t>
            </w:r>
          </w:p>
        </w:tc>
        <w:tc>
          <w:tcPr>
            <w:tcW w:w="0" w:type="auto"/>
            <w:vAlign w:val="center"/>
            <w:hideMark/>
          </w:tcPr>
          <w:p w14:paraId="780EF25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[EUDI Wallet 2026]</w:t>
            </w:r>
            <w:proofErr w:type="gramStart"/>
            <w:r w:rsidRPr="00876E8C">
              <w:rPr>
                <w:sz w:val="16"/>
                <w:szCs w:val="16"/>
              </w:rPr>
              <w:t>–[</w:t>
            </w:r>
            <w:proofErr w:type="gramEnd"/>
            <w:r w:rsidRPr="00876E8C">
              <w:rPr>
                <w:sz w:val="16"/>
                <w:szCs w:val="16"/>
              </w:rPr>
              <w:t>EUDI Adoption 2030]</w:t>
            </w:r>
          </w:p>
        </w:tc>
      </w:tr>
      <w:tr w:rsidR="00876E8C" w:rsidRPr="00876E8C" w14:paraId="60DDF044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E66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2030</w:t>
            </w:r>
          </w:p>
        </w:tc>
        <w:tc>
          <w:tcPr>
            <w:tcW w:w="0" w:type="auto"/>
            <w:vAlign w:val="center"/>
            <w:hideMark/>
          </w:tcPr>
          <w:p w14:paraId="28C6601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open</w:t>
            </w:r>
            <w:r w:rsidRPr="00876E8C">
              <w:rPr>
                <w:sz w:val="16"/>
                <w:szCs w:val="16"/>
              </w:rPr>
              <w:noBreakHyphen/>
              <w:t>banking compliance (multiple dates)</w:t>
            </w:r>
          </w:p>
        </w:tc>
        <w:tc>
          <w:tcPr>
            <w:tcW w:w="0" w:type="auto"/>
            <w:vAlign w:val="center"/>
            <w:hideMark/>
          </w:tcPr>
          <w:p w14:paraId="5D60A47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DW, RTP/A2A</w:t>
            </w:r>
          </w:p>
        </w:tc>
        <w:tc>
          <w:tcPr>
            <w:tcW w:w="0" w:type="auto"/>
            <w:vAlign w:val="center"/>
            <w:hideMark/>
          </w:tcPr>
          <w:p w14:paraId="5F93960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Data</w:t>
            </w:r>
            <w:r w:rsidRPr="00876E8C">
              <w:rPr>
                <w:sz w:val="16"/>
                <w:szCs w:val="16"/>
              </w:rPr>
              <w:noBreakHyphen/>
              <w:t>sharing rules allow third</w:t>
            </w:r>
            <w:r w:rsidRPr="00876E8C">
              <w:rPr>
                <w:sz w:val="16"/>
                <w:szCs w:val="16"/>
              </w:rPr>
              <w:noBreakHyphen/>
              <w:t>party payment initiation and account</w:t>
            </w:r>
            <w:r w:rsidRPr="00876E8C">
              <w:rPr>
                <w:sz w:val="16"/>
                <w:szCs w:val="16"/>
              </w:rPr>
              <w:noBreakHyphen/>
              <w:t>to</w:t>
            </w:r>
            <w:r w:rsidRPr="00876E8C">
              <w:rPr>
                <w:sz w:val="16"/>
                <w:szCs w:val="16"/>
              </w:rPr>
              <w:noBreakHyphen/>
              <w:t>account transfers, foundational for real</w:t>
            </w:r>
            <w:r w:rsidRPr="00876E8C">
              <w:rPr>
                <w:sz w:val="16"/>
                <w:szCs w:val="16"/>
              </w:rPr>
              <w:noBreakHyphen/>
              <w:t>time and cross</w:t>
            </w:r>
            <w:r w:rsidRPr="00876E8C">
              <w:rPr>
                <w:sz w:val="16"/>
                <w:szCs w:val="16"/>
              </w:rPr>
              <w:noBreakHyphen/>
              <w:t>border use cases</w:t>
            </w:r>
            <w:hyperlink r:id="rId50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F0122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03F4C95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2026]</w:t>
            </w:r>
            <w:proofErr w:type="gramStart"/>
            <w:r w:rsidRPr="00876E8C">
              <w:rPr>
                <w:sz w:val="16"/>
                <w:szCs w:val="16"/>
              </w:rPr>
              <w:t>–[</w:t>
            </w:r>
            <w:proofErr w:type="gramEnd"/>
            <w:r w:rsidRPr="00876E8C">
              <w:rPr>
                <w:sz w:val="16"/>
                <w:szCs w:val="16"/>
              </w:rPr>
              <w:t>CFPB 1033 2030]</w:t>
            </w:r>
          </w:p>
        </w:tc>
      </w:tr>
      <w:tr w:rsidR="00876E8C" w:rsidRPr="00876E8C" w14:paraId="5563CB27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47B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867A16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PSD3/PSR effect</w:t>
            </w:r>
          </w:p>
        </w:tc>
        <w:tc>
          <w:tcPr>
            <w:tcW w:w="0" w:type="auto"/>
            <w:vAlign w:val="center"/>
            <w:hideMark/>
          </w:tcPr>
          <w:p w14:paraId="1AA7EFC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14:paraId="37A61C01" w14:textId="13DD0A32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New EU framework influences embedded finance providers across Europe and cross</w:t>
            </w:r>
            <w:r w:rsidRPr="00876E8C">
              <w:rPr>
                <w:sz w:val="16"/>
                <w:szCs w:val="16"/>
              </w:rPr>
              <w:noBreakHyphen/>
              <w:t>border operations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5A7EEBD2" wp14:editId="154504FD">
                      <wp:extent cx="304800" cy="304800"/>
                      <wp:effectExtent l="0" t="0" r="0" b="0"/>
                      <wp:docPr id="729674042" name="Rectangle 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345E76" id="Rectangle 9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finextra.com.</w:t>
            </w:r>
          </w:p>
        </w:tc>
        <w:tc>
          <w:tcPr>
            <w:tcW w:w="0" w:type="auto"/>
            <w:vAlign w:val="center"/>
            <w:hideMark/>
          </w:tcPr>
          <w:p w14:paraId="7A8D181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1E33B3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[PSD3 PSR 2026]</w:t>
            </w:r>
          </w:p>
        </w:tc>
      </w:tr>
      <w:tr w:rsidR="00876E8C" w:rsidRPr="00876E8C" w14:paraId="0B30CBBF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820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end &amp; 2030</w:t>
            </w:r>
            <w:r w:rsidRPr="00876E8C">
              <w:rPr>
                <w:sz w:val="16"/>
                <w:szCs w:val="16"/>
              </w:rPr>
              <w:noBreakHyphen/>
              <w:t>end</w:t>
            </w:r>
          </w:p>
        </w:tc>
        <w:tc>
          <w:tcPr>
            <w:tcW w:w="0" w:type="auto"/>
            <w:vAlign w:val="center"/>
            <w:hideMark/>
          </w:tcPr>
          <w:p w14:paraId="6709AE0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 cross</w:t>
            </w:r>
            <w:r w:rsidRPr="00876E8C">
              <w:rPr>
                <w:sz w:val="16"/>
                <w:szCs w:val="16"/>
              </w:rPr>
              <w:noBreakHyphen/>
              <w:t>border payment targets</w:t>
            </w:r>
          </w:p>
        </w:tc>
        <w:tc>
          <w:tcPr>
            <w:tcW w:w="0" w:type="auto"/>
            <w:vAlign w:val="center"/>
            <w:hideMark/>
          </w:tcPr>
          <w:p w14:paraId="7966A6B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CB, RTP/A2A</w:t>
            </w:r>
          </w:p>
        </w:tc>
        <w:tc>
          <w:tcPr>
            <w:tcW w:w="0" w:type="auto"/>
            <w:vAlign w:val="center"/>
            <w:hideMark/>
          </w:tcPr>
          <w:p w14:paraId="7215FE8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Achieving cost and speed targets will support embedded</w:t>
            </w:r>
            <w:r w:rsidRPr="00876E8C">
              <w:rPr>
                <w:sz w:val="16"/>
                <w:szCs w:val="16"/>
              </w:rPr>
              <w:noBreakHyphen/>
              <w:t>finance services reliant on cheap, fast cross</w:t>
            </w:r>
            <w:r w:rsidRPr="00876E8C">
              <w:rPr>
                <w:sz w:val="16"/>
                <w:szCs w:val="16"/>
              </w:rPr>
              <w:noBreakHyphen/>
              <w:t>border transfers.</w:t>
            </w:r>
          </w:p>
        </w:tc>
        <w:tc>
          <w:tcPr>
            <w:tcW w:w="0" w:type="auto"/>
            <w:vAlign w:val="center"/>
            <w:hideMark/>
          </w:tcPr>
          <w:p w14:paraId="50D2C1F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068AFE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2027]</w:t>
            </w:r>
            <w:proofErr w:type="gramStart"/>
            <w:r w:rsidRPr="00876E8C">
              <w:rPr>
                <w:sz w:val="16"/>
                <w:szCs w:val="16"/>
              </w:rPr>
              <w:t>–[</w:t>
            </w:r>
            <w:proofErr w:type="gramEnd"/>
            <w:r w:rsidRPr="00876E8C">
              <w:rPr>
                <w:sz w:val="16"/>
                <w:szCs w:val="16"/>
              </w:rPr>
              <w:t>G20 Targets 2030]</w:t>
            </w:r>
          </w:p>
        </w:tc>
      </w:tr>
    </w:tbl>
    <w:p w14:paraId="6A0512E9" w14:textId="77777777" w:rsidR="00876E8C" w:rsidRPr="00876E8C" w:rsidRDefault="00876E8C" w:rsidP="00876E8C">
      <w:pPr>
        <w:rPr>
          <w:b/>
          <w:bCs/>
          <w:sz w:val="40"/>
          <w:szCs w:val="40"/>
        </w:rPr>
      </w:pPr>
      <w:r w:rsidRPr="00876E8C">
        <w:rPr>
          <w:b/>
          <w:bCs/>
          <w:sz w:val="40"/>
          <w:szCs w:val="40"/>
        </w:rPr>
        <w:t>Digital Wallets &amp; Assets (DW)</w:t>
      </w:r>
    </w:p>
    <w:p w14:paraId="5FB35B25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Topic</w:t>
      </w:r>
      <w:r w:rsidRPr="00876E8C">
        <w:rPr>
          <w:b/>
          <w:bCs/>
          <w:sz w:val="16"/>
          <w:szCs w:val="16"/>
        </w:rPr>
        <w:noBreakHyphen/>
        <w:t>Specific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774"/>
        <w:gridCol w:w="899"/>
        <w:gridCol w:w="888"/>
        <w:gridCol w:w="1503"/>
        <w:gridCol w:w="4432"/>
        <w:gridCol w:w="918"/>
        <w:gridCol w:w="1678"/>
      </w:tblGrid>
      <w:tr w:rsidR="00876E8C" w:rsidRPr="00876E8C" w14:paraId="6A6AC2D1" w14:textId="77777777" w:rsidTr="0087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C86DC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18E9FC2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39670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F3308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876E8C">
              <w:rPr>
                <w:b/>
                <w:bCs/>
                <w:sz w:val="16"/>
                <w:szCs w:val="16"/>
              </w:rPr>
              <w:t>jurisdiction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55ACEC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key_actors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7ACAF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86BF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3045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citation_label</w:t>
            </w:r>
            <w:proofErr w:type="spellEnd"/>
          </w:p>
        </w:tc>
      </w:tr>
      <w:tr w:rsidR="00876E8C" w:rsidRPr="00876E8C" w14:paraId="3AB84C9B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A8C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05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26171CB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GENIUS Act introduced to regulate payment stablecoins</w:t>
            </w:r>
          </w:p>
        </w:tc>
        <w:tc>
          <w:tcPr>
            <w:tcW w:w="0" w:type="auto"/>
            <w:vAlign w:val="center"/>
            <w:hideMark/>
          </w:tcPr>
          <w:p w14:paraId="5FB4F36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BEA208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1FEF267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Senate</w:t>
            </w:r>
          </w:p>
        </w:tc>
        <w:tc>
          <w:tcPr>
            <w:tcW w:w="0" w:type="auto"/>
            <w:vAlign w:val="center"/>
            <w:hideMark/>
          </w:tcPr>
          <w:p w14:paraId="34A3CFB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Establishes licensing and reserve requirements for payment stablecoins and clarifies they are not securities</w:t>
            </w:r>
            <w:hyperlink r:id="rId51" w:anchor=":~:text=Guiding%20and%20Establishing%20National%20Innovation,Act%20or%20the%20GENIUS%20Act" w:tgtFrame="_blank" w:history="1">
              <w:r w:rsidRPr="00876E8C">
                <w:rPr>
                  <w:rStyle w:val="Hyperlink"/>
                  <w:sz w:val="16"/>
                  <w:szCs w:val="16"/>
                </w:rPr>
                <w:t>congress.gov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647E9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958476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[GENIUS Act 2025]</w:t>
            </w:r>
          </w:p>
        </w:tc>
      </w:tr>
      <w:tr w:rsidR="00876E8C" w:rsidRPr="00876E8C" w14:paraId="449EAED1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986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12</w:t>
            </w:r>
          </w:p>
        </w:tc>
        <w:tc>
          <w:tcPr>
            <w:tcW w:w="0" w:type="auto"/>
            <w:vAlign w:val="center"/>
            <w:hideMark/>
          </w:tcPr>
          <w:p w14:paraId="2D663C7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Member states must provide at least one EU Digital Identity wallet</w:t>
            </w:r>
          </w:p>
        </w:tc>
        <w:tc>
          <w:tcPr>
            <w:tcW w:w="0" w:type="auto"/>
            <w:vAlign w:val="center"/>
            <w:hideMark/>
          </w:tcPr>
          <w:p w14:paraId="462AC95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27C0C1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1BE7B7C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Commission, national governments</w:t>
            </w:r>
          </w:p>
        </w:tc>
        <w:tc>
          <w:tcPr>
            <w:tcW w:w="0" w:type="auto"/>
            <w:vAlign w:val="center"/>
            <w:hideMark/>
          </w:tcPr>
          <w:p w14:paraId="238116F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Ensures citizens have access to a government</w:t>
            </w:r>
            <w:r w:rsidRPr="00876E8C">
              <w:rPr>
                <w:sz w:val="16"/>
                <w:szCs w:val="16"/>
              </w:rPr>
              <w:noBreakHyphen/>
              <w:t>issued digital identity wallet, enabling secure storage of identity and, potentially, payment credentials</w:t>
            </w:r>
            <w:hyperlink r:id="rId52" w:anchor=":~:text=by%20late%20December%202026.,28" w:tgtFrame="_blank" w:history="1">
              <w:r w:rsidRPr="00876E8C">
                <w:rPr>
                  <w:rStyle w:val="Hyperlink"/>
                  <w:sz w:val="16"/>
                  <w:szCs w:val="16"/>
                </w:rPr>
                <w:t>en.wikipedia.org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5BEAB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23490DA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[EUDI Wallet 2026]</w:t>
            </w:r>
          </w:p>
        </w:tc>
      </w:tr>
      <w:tr w:rsidR="00876E8C" w:rsidRPr="00876E8C" w14:paraId="15619115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634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mid</w:t>
            </w:r>
          </w:p>
        </w:tc>
        <w:tc>
          <w:tcPr>
            <w:tcW w:w="0" w:type="auto"/>
            <w:vAlign w:val="center"/>
            <w:hideMark/>
          </w:tcPr>
          <w:p w14:paraId="61DDEB4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ECB digital euro pilot begins</w:t>
            </w:r>
          </w:p>
        </w:tc>
        <w:tc>
          <w:tcPr>
            <w:tcW w:w="0" w:type="auto"/>
            <w:vAlign w:val="center"/>
            <w:hideMark/>
          </w:tcPr>
          <w:p w14:paraId="1998499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CBDC Pilot</w:t>
            </w:r>
          </w:p>
        </w:tc>
        <w:tc>
          <w:tcPr>
            <w:tcW w:w="0" w:type="auto"/>
            <w:vAlign w:val="center"/>
            <w:hideMark/>
          </w:tcPr>
          <w:p w14:paraId="024B887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26BFCF1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Central Bank</w:t>
            </w:r>
          </w:p>
        </w:tc>
        <w:tc>
          <w:tcPr>
            <w:tcW w:w="0" w:type="auto"/>
            <w:vAlign w:val="center"/>
            <w:hideMark/>
          </w:tcPr>
          <w:p w14:paraId="2778A197" w14:textId="30481096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Mid</w:t>
            </w:r>
            <w:r w:rsidRPr="00876E8C">
              <w:rPr>
                <w:sz w:val="16"/>
                <w:szCs w:val="16"/>
              </w:rPr>
              <w:noBreakHyphen/>
              <w:t xml:space="preserve">2027 pilot of euro CBDC </w:t>
            </w:r>
            <w:proofErr w:type="gramStart"/>
            <w:r w:rsidRPr="00876E8C">
              <w:rPr>
                <w:sz w:val="16"/>
                <w:szCs w:val="16"/>
              </w:rPr>
              <w:t>tests</w:t>
            </w:r>
            <w:proofErr w:type="gramEnd"/>
            <w:r w:rsidRPr="00876E8C">
              <w:rPr>
                <w:sz w:val="16"/>
                <w:szCs w:val="16"/>
              </w:rPr>
              <w:t xml:space="preserve"> technical readiness and market engagement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5229C9C7" wp14:editId="70F2DE53">
                      <wp:extent cx="304800" cy="304800"/>
                      <wp:effectExtent l="0" t="0" r="0" b="0"/>
                      <wp:docPr id="1843484481" name="Rectangle 9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FA31C2" id="Rectangle 9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coinedition.com.</w:t>
            </w:r>
          </w:p>
        </w:tc>
        <w:tc>
          <w:tcPr>
            <w:tcW w:w="0" w:type="auto"/>
            <w:vAlign w:val="center"/>
            <w:hideMark/>
          </w:tcPr>
          <w:p w14:paraId="59DBEE7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558A9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[Digital Euro Pilot 2027]</w:t>
            </w:r>
          </w:p>
        </w:tc>
      </w:tr>
      <w:tr w:rsidR="00876E8C" w:rsidRPr="00876E8C" w14:paraId="177BEF98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992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2027</w:t>
            </w:r>
            <w:r w:rsidRPr="00876E8C">
              <w:rPr>
                <w:sz w:val="16"/>
                <w:szCs w:val="16"/>
              </w:rPr>
              <w:noBreakHyphen/>
              <w:t>12</w:t>
            </w:r>
          </w:p>
        </w:tc>
        <w:tc>
          <w:tcPr>
            <w:tcW w:w="0" w:type="auto"/>
            <w:vAlign w:val="center"/>
            <w:hideMark/>
          </w:tcPr>
          <w:p w14:paraId="4D8AAAA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Mandatory acceptance of EUDI wallets by high</w:t>
            </w:r>
            <w:r w:rsidRPr="00876E8C">
              <w:rPr>
                <w:sz w:val="16"/>
                <w:szCs w:val="16"/>
              </w:rPr>
              <w:noBreakHyphen/>
              <w:t>impact private firms</w:t>
            </w:r>
          </w:p>
        </w:tc>
        <w:tc>
          <w:tcPr>
            <w:tcW w:w="0" w:type="auto"/>
            <w:vAlign w:val="center"/>
            <w:hideMark/>
          </w:tcPr>
          <w:p w14:paraId="5BC0D74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101085A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64E3577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Commission, banks, telecoms</w:t>
            </w:r>
          </w:p>
        </w:tc>
        <w:tc>
          <w:tcPr>
            <w:tcW w:w="0" w:type="auto"/>
            <w:vAlign w:val="center"/>
            <w:hideMark/>
          </w:tcPr>
          <w:p w14:paraId="009F52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Banks and other entities that require strong authentication must accept EU digital identity wallets by December 2027</w:t>
            </w:r>
            <w:hyperlink r:id="rId53" w:anchor=":~:text=by%20late%20December%202026.,28" w:tgtFrame="_blank" w:history="1">
              <w:r w:rsidRPr="00876E8C">
                <w:rPr>
                  <w:rStyle w:val="Hyperlink"/>
                  <w:sz w:val="16"/>
                  <w:szCs w:val="16"/>
                </w:rPr>
                <w:t>en.wikipedia.org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22B81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7DFE151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[EUDI Accept 2027]</w:t>
            </w:r>
          </w:p>
        </w:tc>
      </w:tr>
      <w:tr w:rsidR="00876E8C" w:rsidRPr="00876E8C" w14:paraId="4F598E02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64C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7F5DCF8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ECB targets first issuance of digital euro</w:t>
            </w:r>
          </w:p>
        </w:tc>
        <w:tc>
          <w:tcPr>
            <w:tcW w:w="0" w:type="auto"/>
            <w:vAlign w:val="center"/>
            <w:hideMark/>
          </w:tcPr>
          <w:p w14:paraId="4CEE5DF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CBDC Launch</w:t>
            </w:r>
          </w:p>
        </w:tc>
        <w:tc>
          <w:tcPr>
            <w:tcW w:w="0" w:type="auto"/>
            <w:vAlign w:val="center"/>
            <w:hideMark/>
          </w:tcPr>
          <w:p w14:paraId="6F974E9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1AAF588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53E483DE" w14:textId="2FE521F1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 for full issuance of euro CBDC, subject to 2026 legislation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282EC61D" wp14:editId="16435373">
                      <wp:extent cx="304800" cy="304800"/>
                      <wp:effectExtent l="0" t="0" r="0" b="0"/>
                      <wp:docPr id="1675667178" name="Rectangle 9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B38013" id="Rectangle 9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coinedition.com.</w:t>
            </w:r>
          </w:p>
        </w:tc>
        <w:tc>
          <w:tcPr>
            <w:tcW w:w="0" w:type="auto"/>
            <w:vAlign w:val="center"/>
            <w:hideMark/>
          </w:tcPr>
          <w:p w14:paraId="00A3BE6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4CC5EB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[Digital Euro 2029]</w:t>
            </w:r>
          </w:p>
        </w:tc>
      </w:tr>
      <w:tr w:rsidR="00876E8C" w:rsidRPr="00876E8C" w14:paraId="2D6B9279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C2A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409E1DD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Digital Decade goal – 80 % of citizens using digital ID</w:t>
            </w:r>
          </w:p>
        </w:tc>
        <w:tc>
          <w:tcPr>
            <w:tcW w:w="0" w:type="auto"/>
            <w:vAlign w:val="center"/>
            <w:hideMark/>
          </w:tcPr>
          <w:p w14:paraId="0CEBCDC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D40EFE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4F4050C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European Commission</w:t>
            </w:r>
          </w:p>
        </w:tc>
        <w:tc>
          <w:tcPr>
            <w:tcW w:w="0" w:type="auto"/>
            <w:vAlign w:val="center"/>
            <w:hideMark/>
          </w:tcPr>
          <w:p w14:paraId="7166BBC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Ambitious adoption goal for digital identity solutions and wallets</w:t>
            </w:r>
            <w:hyperlink r:id="rId54" w:anchor=":~:text=by%20late%20December%202026.,28" w:tgtFrame="_blank" w:history="1">
              <w:r w:rsidRPr="00876E8C">
                <w:rPr>
                  <w:rStyle w:val="Hyperlink"/>
                  <w:sz w:val="16"/>
                  <w:szCs w:val="16"/>
                </w:rPr>
                <w:t>en.wikipedia.org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3F907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A9551A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[EUDI Adoption 2030]</w:t>
            </w:r>
          </w:p>
        </w:tc>
      </w:tr>
    </w:tbl>
    <w:p w14:paraId="12DEF504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Cross</w:t>
      </w:r>
      <w:r w:rsidRPr="00876E8C">
        <w:rPr>
          <w:b/>
          <w:bCs/>
          <w:sz w:val="16"/>
          <w:szCs w:val="16"/>
        </w:rPr>
        <w:noBreakHyphen/>
        <w:t>Cutting Events (affecting DW + other topics)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127"/>
        <w:gridCol w:w="1458"/>
        <w:gridCol w:w="5338"/>
        <w:gridCol w:w="918"/>
        <w:gridCol w:w="1963"/>
      </w:tblGrid>
      <w:tr w:rsidR="00876E8C" w:rsidRPr="00876E8C" w14:paraId="1D4E4C5E" w14:textId="77777777" w:rsidTr="0087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A51C1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FCF0E8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D8B2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intersecting_topics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0AB97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397D3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43692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citation_label</w:t>
            </w:r>
            <w:proofErr w:type="spellEnd"/>
          </w:p>
        </w:tc>
      </w:tr>
      <w:tr w:rsidR="00876E8C" w:rsidRPr="00876E8C" w14:paraId="414A8523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828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06</w:t>
            </w:r>
            <w:r w:rsidRPr="00876E8C">
              <w:rPr>
                <w:sz w:val="16"/>
                <w:szCs w:val="16"/>
              </w:rPr>
              <w:noBreakHyphen/>
              <w:t>18</w:t>
            </w:r>
          </w:p>
        </w:tc>
        <w:tc>
          <w:tcPr>
            <w:tcW w:w="0" w:type="auto"/>
            <w:vAlign w:val="center"/>
            <w:hideMark/>
          </w:tcPr>
          <w:p w14:paraId="769F9AF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FATF revises Recommendation 16</w:t>
            </w:r>
          </w:p>
        </w:tc>
        <w:tc>
          <w:tcPr>
            <w:tcW w:w="0" w:type="auto"/>
            <w:vAlign w:val="center"/>
            <w:hideMark/>
          </w:tcPr>
          <w:p w14:paraId="6407EC4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14:paraId="1F018E1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Travel</w:t>
            </w:r>
            <w:r w:rsidRPr="00876E8C">
              <w:rPr>
                <w:sz w:val="16"/>
                <w:szCs w:val="16"/>
              </w:rPr>
              <w:noBreakHyphen/>
              <w:t>Rule updates impact custodial wallets and stablecoin issuers, requiring enhanced payer/payee data</w:t>
            </w:r>
            <w:hyperlink r:id="rId55" w:anchor=":~:text=18%20June%202025" w:tgtFrame="_blank" w:history="1">
              <w:r w:rsidRPr="00876E8C">
                <w:rPr>
                  <w:rStyle w:val="Hyperlink"/>
                  <w:sz w:val="16"/>
                  <w:szCs w:val="16"/>
                </w:rPr>
                <w:t>fatf-gafi.org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B581D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6343F6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[FATF Rec16 2025]</w:t>
            </w:r>
          </w:p>
        </w:tc>
      </w:tr>
      <w:tr w:rsidR="00876E8C" w:rsidRPr="00876E8C" w14:paraId="200B9031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56A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2023DED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ISO 20022 migration deadline</w:t>
            </w:r>
          </w:p>
        </w:tc>
        <w:tc>
          <w:tcPr>
            <w:tcW w:w="0" w:type="auto"/>
            <w:vAlign w:val="center"/>
            <w:hideMark/>
          </w:tcPr>
          <w:p w14:paraId="1B2906E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CB, RTP/A2A</w:t>
            </w:r>
          </w:p>
        </w:tc>
        <w:tc>
          <w:tcPr>
            <w:tcW w:w="0" w:type="auto"/>
            <w:vAlign w:val="center"/>
            <w:hideMark/>
          </w:tcPr>
          <w:p w14:paraId="0FFB484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Rich</w:t>
            </w:r>
            <w:r w:rsidRPr="00876E8C">
              <w:rPr>
                <w:sz w:val="16"/>
                <w:szCs w:val="16"/>
              </w:rPr>
              <w:noBreakHyphen/>
              <w:t xml:space="preserve">data messaging underpins </w:t>
            </w:r>
            <w:proofErr w:type="spellStart"/>
            <w:r w:rsidRPr="00876E8C">
              <w:rPr>
                <w:sz w:val="16"/>
                <w:szCs w:val="16"/>
              </w:rPr>
              <w:t>tokenised</w:t>
            </w:r>
            <w:proofErr w:type="spellEnd"/>
            <w:r w:rsidRPr="00876E8C">
              <w:rPr>
                <w:sz w:val="16"/>
                <w:szCs w:val="16"/>
              </w:rPr>
              <w:t xml:space="preserve"> payment instructions and wallet interoperability.</w:t>
            </w:r>
          </w:p>
        </w:tc>
        <w:tc>
          <w:tcPr>
            <w:tcW w:w="0" w:type="auto"/>
            <w:vAlign w:val="center"/>
            <w:hideMark/>
          </w:tcPr>
          <w:p w14:paraId="36109CA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3656190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[ISO2022 EU 2025]</w:t>
            </w:r>
          </w:p>
        </w:tc>
      </w:tr>
      <w:tr w:rsidR="00876E8C" w:rsidRPr="00876E8C" w14:paraId="17A9430C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6F6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06AC1A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PSD3/PSR effect</w:t>
            </w:r>
          </w:p>
        </w:tc>
        <w:tc>
          <w:tcPr>
            <w:tcW w:w="0" w:type="auto"/>
            <w:vAlign w:val="center"/>
            <w:hideMark/>
          </w:tcPr>
          <w:p w14:paraId="6A94E74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CB</w:t>
            </w:r>
          </w:p>
        </w:tc>
        <w:tc>
          <w:tcPr>
            <w:tcW w:w="0" w:type="auto"/>
            <w:vAlign w:val="center"/>
            <w:hideMark/>
          </w:tcPr>
          <w:p w14:paraId="6D79A266" w14:textId="07AA0D23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New EU payment legislation includes provisions for digital wallets, e</w:t>
            </w:r>
            <w:r w:rsidRPr="00876E8C">
              <w:rPr>
                <w:sz w:val="16"/>
                <w:szCs w:val="16"/>
              </w:rPr>
              <w:noBreakHyphen/>
            </w:r>
            <w:proofErr w:type="gramStart"/>
            <w:r w:rsidRPr="00876E8C">
              <w:rPr>
                <w:sz w:val="16"/>
                <w:szCs w:val="16"/>
              </w:rPr>
              <w:t>money</w:t>
            </w:r>
            <w:proofErr w:type="gramEnd"/>
            <w:r w:rsidRPr="00876E8C">
              <w:rPr>
                <w:sz w:val="16"/>
                <w:szCs w:val="16"/>
              </w:rPr>
              <w:t xml:space="preserve"> and open</w:t>
            </w:r>
            <w:r w:rsidRPr="00876E8C">
              <w:rPr>
                <w:sz w:val="16"/>
                <w:szCs w:val="16"/>
              </w:rPr>
              <w:noBreakHyphen/>
              <w:t>banking APIs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257312D0" wp14:editId="07F2C631">
                      <wp:extent cx="304800" cy="304800"/>
                      <wp:effectExtent l="0" t="0" r="0" b="0"/>
                      <wp:docPr id="1501976768" name="Rectangle 9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EE80AD" id="Rectangle 9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finextra.com.</w:t>
            </w:r>
          </w:p>
        </w:tc>
        <w:tc>
          <w:tcPr>
            <w:tcW w:w="0" w:type="auto"/>
            <w:vAlign w:val="center"/>
            <w:hideMark/>
          </w:tcPr>
          <w:p w14:paraId="6E581CD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55637D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[PSD3 PSR 2026]</w:t>
            </w:r>
          </w:p>
        </w:tc>
      </w:tr>
      <w:tr w:rsidR="00876E8C" w:rsidRPr="00876E8C" w14:paraId="63029DBC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D43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2030</w:t>
            </w:r>
          </w:p>
        </w:tc>
        <w:tc>
          <w:tcPr>
            <w:tcW w:w="0" w:type="auto"/>
            <w:vAlign w:val="center"/>
            <w:hideMark/>
          </w:tcPr>
          <w:p w14:paraId="1D4305F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open</w:t>
            </w:r>
            <w:r w:rsidRPr="00876E8C">
              <w:rPr>
                <w:sz w:val="16"/>
                <w:szCs w:val="16"/>
              </w:rPr>
              <w:noBreakHyphen/>
              <w:t>banking roll</w:t>
            </w:r>
            <w:r w:rsidRPr="00876E8C">
              <w:rPr>
                <w:sz w:val="16"/>
                <w:szCs w:val="16"/>
              </w:rPr>
              <w:noBreakHyphen/>
              <w:t>out (multiple dates)</w:t>
            </w:r>
          </w:p>
        </w:tc>
        <w:tc>
          <w:tcPr>
            <w:tcW w:w="0" w:type="auto"/>
            <w:vAlign w:val="center"/>
            <w:hideMark/>
          </w:tcPr>
          <w:p w14:paraId="2F47BEB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</w:t>
            </w:r>
          </w:p>
        </w:tc>
        <w:tc>
          <w:tcPr>
            <w:tcW w:w="0" w:type="auto"/>
            <w:vAlign w:val="center"/>
            <w:hideMark/>
          </w:tcPr>
          <w:p w14:paraId="6E6CA6A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Consumer</w:t>
            </w:r>
            <w:r w:rsidRPr="00876E8C">
              <w:rPr>
                <w:sz w:val="16"/>
                <w:szCs w:val="16"/>
              </w:rPr>
              <w:noBreakHyphen/>
              <w:t>permissioned data enables wallet providers to access bank data and initiate account</w:t>
            </w:r>
            <w:r w:rsidRPr="00876E8C">
              <w:rPr>
                <w:sz w:val="16"/>
                <w:szCs w:val="16"/>
              </w:rPr>
              <w:noBreakHyphen/>
              <w:t>to</w:t>
            </w:r>
            <w:r w:rsidRPr="00876E8C">
              <w:rPr>
                <w:sz w:val="16"/>
                <w:szCs w:val="16"/>
              </w:rPr>
              <w:noBreakHyphen/>
              <w:t>account transfers</w:t>
            </w:r>
            <w:hyperlink r:id="rId56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435B7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0819DB6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2026]</w:t>
            </w:r>
            <w:proofErr w:type="gramStart"/>
            <w:r w:rsidRPr="00876E8C">
              <w:rPr>
                <w:sz w:val="16"/>
                <w:szCs w:val="16"/>
              </w:rPr>
              <w:t>–[</w:t>
            </w:r>
            <w:proofErr w:type="gramEnd"/>
            <w:r w:rsidRPr="00876E8C">
              <w:rPr>
                <w:sz w:val="16"/>
                <w:szCs w:val="16"/>
              </w:rPr>
              <w:t>CFPB 1033 2030]</w:t>
            </w:r>
          </w:p>
        </w:tc>
      </w:tr>
      <w:tr w:rsidR="00876E8C" w:rsidRPr="00876E8C" w14:paraId="0E15BBE1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32A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end &amp; 2030</w:t>
            </w:r>
            <w:r w:rsidRPr="00876E8C">
              <w:rPr>
                <w:sz w:val="16"/>
                <w:szCs w:val="16"/>
              </w:rPr>
              <w:noBreakHyphen/>
              <w:t>end</w:t>
            </w:r>
          </w:p>
        </w:tc>
        <w:tc>
          <w:tcPr>
            <w:tcW w:w="0" w:type="auto"/>
            <w:vAlign w:val="center"/>
            <w:hideMark/>
          </w:tcPr>
          <w:p w14:paraId="6326061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 cross</w:t>
            </w:r>
            <w:r w:rsidRPr="00876E8C">
              <w:rPr>
                <w:sz w:val="16"/>
                <w:szCs w:val="16"/>
              </w:rPr>
              <w:noBreakHyphen/>
              <w:t>border payment targets</w:t>
            </w:r>
          </w:p>
        </w:tc>
        <w:tc>
          <w:tcPr>
            <w:tcW w:w="0" w:type="auto"/>
            <w:vAlign w:val="center"/>
            <w:hideMark/>
          </w:tcPr>
          <w:p w14:paraId="44C4568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14:paraId="3B385F6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Achieving cost and speed targets will affect digital</w:t>
            </w:r>
            <w:r w:rsidRPr="00876E8C">
              <w:rPr>
                <w:sz w:val="16"/>
                <w:szCs w:val="16"/>
              </w:rPr>
              <w:noBreakHyphen/>
              <w:t>asset settlement and wallet use cases.</w:t>
            </w:r>
          </w:p>
        </w:tc>
        <w:tc>
          <w:tcPr>
            <w:tcW w:w="0" w:type="auto"/>
            <w:vAlign w:val="center"/>
            <w:hideMark/>
          </w:tcPr>
          <w:p w14:paraId="7CB0842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ACB8E1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2027]</w:t>
            </w:r>
            <w:proofErr w:type="gramStart"/>
            <w:r w:rsidRPr="00876E8C">
              <w:rPr>
                <w:sz w:val="16"/>
                <w:szCs w:val="16"/>
              </w:rPr>
              <w:t>–[</w:t>
            </w:r>
            <w:proofErr w:type="gramEnd"/>
            <w:r w:rsidRPr="00876E8C">
              <w:rPr>
                <w:sz w:val="16"/>
                <w:szCs w:val="16"/>
              </w:rPr>
              <w:t>G20 Targets 2030]</w:t>
            </w:r>
          </w:p>
        </w:tc>
      </w:tr>
    </w:tbl>
    <w:p w14:paraId="72D565D3" w14:textId="77777777" w:rsidR="00876E8C" w:rsidRPr="00876E8C" w:rsidRDefault="00876E8C" w:rsidP="00876E8C">
      <w:pPr>
        <w:rPr>
          <w:b/>
          <w:bCs/>
          <w:sz w:val="40"/>
          <w:szCs w:val="40"/>
        </w:rPr>
      </w:pPr>
      <w:r w:rsidRPr="00876E8C">
        <w:rPr>
          <w:b/>
          <w:bCs/>
          <w:sz w:val="40"/>
          <w:szCs w:val="40"/>
        </w:rPr>
        <w:t>Real</w:t>
      </w:r>
      <w:r w:rsidRPr="00876E8C">
        <w:rPr>
          <w:b/>
          <w:bCs/>
          <w:sz w:val="40"/>
          <w:szCs w:val="40"/>
        </w:rPr>
        <w:noBreakHyphen/>
        <w:t>Time &amp; Account</w:t>
      </w:r>
      <w:r w:rsidRPr="00876E8C">
        <w:rPr>
          <w:b/>
          <w:bCs/>
          <w:sz w:val="40"/>
          <w:szCs w:val="40"/>
        </w:rPr>
        <w:noBreakHyphen/>
        <w:t>to</w:t>
      </w:r>
      <w:r w:rsidRPr="00876E8C">
        <w:rPr>
          <w:b/>
          <w:bCs/>
          <w:sz w:val="40"/>
          <w:szCs w:val="40"/>
        </w:rPr>
        <w:noBreakHyphen/>
        <w:t>Account Payments (RTP/A2A)</w:t>
      </w:r>
    </w:p>
    <w:p w14:paraId="7FB04D9A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Topic</w:t>
      </w:r>
      <w:r w:rsidRPr="00876E8C">
        <w:rPr>
          <w:b/>
          <w:bCs/>
          <w:sz w:val="16"/>
          <w:szCs w:val="16"/>
        </w:rPr>
        <w:noBreakHyphen/>
        <w:t>Specific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750"/>
        <w:gridCol w:w="1789"/>
        <w:gridCol w:w="888"/>
        <w:gridCol w:w="1194"/>
        <w:gridCol w:w="4188"/>
        <w:gridCol w:w="918"/>
        <w:gridCol w:w="1365"/>
      </w:tblGrid>
      <w:tr w:rsidR="00876E8C" w:rsidRPr="00876E8C" w14:paraId="70D2015D" w14:textId="77777777" w:rsidTr="0087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E1A30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315F660D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AC68F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01A83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876E8C">
              <w:rPr>
                <w:b/>
                <w:bCs/>
                <w:sz w:val="16"/>
                <w:szCs w:val="16"/>
              </w:rPr>
              <w:t>jurisdiction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060720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key_actors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C5A6C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5CE8E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1F7F4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citation_label</w:t>
            </w:r>
            <w:proofErr w:type="spellEnd"/>
          </w:p>
        </w:tc>
      </w:tr>
      <w:tr w:rsidR="00876E8C" w:rsidRPr="00876E8C" w14:paraId="22ADAC97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2FB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01</w:t>
            </w:r>
            <w:r w:rsidRPr="00876E8C">
              <w:rPr>
                <w:sz w:val="16"/>
                <w:szCs w:val="16"/>
              </w:rPr>
              <w:noBreakHyphen/>
              <w:t>09</w:t>
            </w:r>
          </w:p>
        </w:tc>
        <w:tc>
          <w:tcPr>
            <w:tcW w:w="0" w:type="auto"/>
            <w:vAlign w:val="center"/>
            <w:hideMark/>
          </w:tcPr>
          <w:p w14:paraId="4DB16A2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Instant Payments Regulation obligations begin</w:t>
            </w:r>
          </w:p>
        </w:tc>
        <w:tc>
          <w:tcPr>
            <w:tcW w:w="0" w:type="auto"/>
            <w:vAlign w:val="center"/>
            <w:hideMark/>
          </w:tcPr>
          <w:p w14:paraId="2A420D4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4303E54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077F02FA" w14:textId="77777777" w:rsidR="00876E8C" w:rsidRPr="00876E8C" w:rsidRDefault="00876E8C" w:rsidP="00876E8C">
            <w:pPr>
              <w:rPr>
                <w:sz w:val="16"/>
                <w:szCs w:val="16"/>
                <w:lang w:val="it-IT"/>
              </w:rPr>
            </w:pPr>
            <w:proofErr w:type="spellStart"/>
            <w:r w:rsidRPr="00876E8C">
              <w:rPr>
                <w:sz w:val="16"/>
                <w:szCs w:val="16"/>
                <w:lang w:val="it-IT"/>
              </w:rPr>
              <w:t>European</w:t>
            </w:r>
            <w:proofErr w:type="spellEnd"/>
            <w:r w:rsidRPr="00876E8C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876E8C">
              <w:rPr>
                <w:sz w:val="16"/>
                <w:szCs w:val="16"/>
                <w:lang w:val="it-IT"/>
              </w:rPr>
              <w:t>Parliament</w:t>
            </w:r>
            <w:proofErr w:type="spellEnd"/>
            <w:r w:rsidRPr="00876E8C">
              <w:rPr>
                <w:sz w:val="16"/>
                <w:szCs w:val="16"/>
                <w:lang w:val="it-IT"/>
              </w:rPr>
              <w:t>, euro</w:t>
            </w:r>
            <w:r w:rsidRPr="00876E8C">
              <w:rPr>
                <w:sz w:val="16"/>
                <w:szCs w:val="16"/>
                <w:lang w:val="it-IT"/>
              </w:rPr>
              <w:noBreakHyphen/>
              <w:t>zone banks</w:t>
            </w:r>
          </w:p>
        </w:tc>
        <w:tc>
          <w:tcPr>
            <w:tcW w:w="0" w:type="auto"/>
            <w:vAlign w:val="center"/>
            <w:hideMark/>
          </w:tcPr>
          <w:p w14:paraId="2EA1D6C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Requires euro</w:t>
            </w:r>
            <w:r w:rsidRPr="00876E8C">
              <w:rPr>
                <w:sz w:val="16"/>
                <w:szCs w:val="16"/>
              </w:rPr>
              <w:noBreakHyphen/>
              <w:t xml:space="preserve">area banks to process instant payments within 10 seconds, </w:t>
            </w:r>
            <w:proofErr w:type="spellStart"/>
            <w:r w:rsidRPr="00876E8C">
              <w:rPr>
                <w:sz w:val="16"/>
                <w:szCs w:val="16"/>
              </w:rPr>
              <w:t>catalysing</w:t>
            </w:r>
            <w:proofErr w:type="spellEnd"/>
            <w:r w:rsidRPr="00876E8C">
              <w:rPr>
                <w:sz w:val="16"/>
                <w:szCs w:val="16"/>
              </w:rPr>
              <w:t xml:space="preserve"> A2A payment adoption</w:t>
            </w:r>
            <w:hyperlink r:id="rId57" w:anchor=":~:text=Regulation%20,and%209%20October%202025%20respectively" w:tgtFrame="_blank" w:history="1">
              <w:r w:rsidRPr="00876E8C">
                <w:rPr>
                  <w:rStyle w:val="Hyperlink"/>
                  <w:sz w:val="16"/>
                  <w:szCs w:val="16"/>
                </w:rPr>
                <w:t>europeanpaymentscouncil.eu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BAA09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3FAE743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[EPC IPR 2025]</w:t>
            </w:r>
          </w:p>
        </w:tc>
      </w:tr>
      <w:tr w:rsidR="00876E8C" w:rsidRPr="00876E8C" w14:paraId="377C14ED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D65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7CA5143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ISO 20022 migration deadline for cross</w:t>
            </w:r>
            <w:r w:rsidRPr="00876E8C">
              <w:rPr>
                <w:sz w:val="16"/>
                <w:szCs w:val="16"/>
              </w:rPr>
              <w:noBreakHyphen/>
              <w:t>border and high</w:t>
            </w:r>
            <w:r w:rsidRPr="00876E8C">
              <w:rPr>
                <w:sz w:val="16"/>
                <w:szCs w:val="16"/>
              </w:rPr>
              <w:noBreakHyphen/>
              <w:t>value payments</w:t>
            </w:r>
          </w:p>
        </w:tc>
        <w:tc>
          <w:tcPr>
            <w:tcW w:w="0" w:type="auto"/>
            <w:vAlign w:val="center"/>
            <w:hideMark/>
          </w:tcPr>
          <w:p w14:paraId="6404F80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Standard/Interoperability</w:t>
            </w:r>
          </w:p>
        </w:tc>
        <w:tc>
          <w:tcPr>
            <w:tcW w:w="0" w:type="auto"/>
            <w:vAlign w:val="center"/>
            <w:hideMark/>
          </w:tcPr>
          <w:p w14:paraId="2DAB854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EU/global</w:t>
            </w:r>
          </w:p>
        </w:tc>
        <w:tc>
          <w:tcPr>
            <w:tcW w:w="0" w:type="auto"/>
            <w:vAlign w:val="center"/>
            <w:hideMark/>
          </w:tcPr>
          <w:p w14:paraId="2825984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SWIFT, EPC, banks</w:t>
            </w:r>
          </w:p>
        </w:tc>
        <w:tc>
          <w:tcPr>
            <w:tcW w:w="0" w:type="auto"/>
            <w:vAlign w:val="center"/>
            <w:hideMark/>
          </w:tcPr>
          <w:p w14:paraId="454F328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proofErr w:type="spellStart"/>
            <w:r w:rsidRPr="00876E8C">
              <w:rPr>
                <w:sz w:val="16"/>
                <w:szCs w:val="16"/>
              </w:rPr>
              <w:t>Standardised</w:t>
            </w:r>
            <w:proofErr w:type="spellEnd"/>
            <w:r w:rsidRPr="00876E8C">
              <w:rPr>
                <w:sz w:val="16"/>
                <w:szCs w:val="16"/>
              </w:rPr>
              <w:t xml:space="preserve"> messaging supports real</w:t>
            </w:r>
            <w:r w:rsidRPr="00876E8C">
              <w:rPr>
                <w:sz w:val="16"/>
                <w:szCs w:val="16"/>
              </w:rPr>
              <w:noBreakHyphen/>
              <w:t>time payment routing and automation.</w:t>
            </w:r>
          </w:p>
        </w:tc>
        <w:tc>
          <w:tcPr>
            <w:tcW w:w="0" w:type="auto"/>
            <w:vAlign w:val="center"/>
            <w:hideMark/>
          </w:tcPr>
          <w:p w14:paraId="0A517BD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7308E66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[ISO2022 EU 2025]</w:t>
            </w:r>
          </w:p>
        </w:tc>
      </w:tr>
      <w:tr w:rsidR="00876E8C" w:rsidRPr="00876E8C" w14:paraId="2913C6C3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865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3C9E757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Open</w:t>
            </w:r>
            <w:r w:rsidRPr="00876E8C">
              <w:rPr>
                <w:sz w:val="16"/>
                <w:szCs w:val="16"/>
              </w:rPr>
              <w:noBreakHyphen/>
              <w:t>banking rule applies to largest U.S. banks (enabling A2A initiation)</w:t>
            </w:r>
          </w:p>
        </w:tc>
        <w:tc>
          <w:tcPr>
            <w:tcW w:w="0" w:type="auto"/>
            <w:vAlign w:val="center"/>
            <w:hideMark/>
          </w:tcPr>
          <w:p w14:paraId="260CAA8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4EF79AA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0BF57BD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CFPB, banks</w:t>
            </w:r>
          </w:p>
        </w:tc>
        <w:tc>
          <w:tcPr>
            <w:tcW w:w="0" w:type="auto"/>
            <w:vAlign w:val="center"/>
            <w:hideMark/>
          </w:tcPr>
          <w:p w14:paraId="639CF29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Mandates API access for consumer data, allowing </w:t>
            </w:r>
            <w:proofErr w:type="spellStart"/>
            <w:r w:rsidRPr="00876E8C">
              <w:rPr>
                <w:sz w:val="16"/>
                <w:szCs w:val="16"/>
              </w:rPr>
              <w:t>fintechs</w:t>
            </w:r>
            <w:proofErr w:type="spellEnd"/>
            <w:r w:rsidRPr="00876E8C">
              <w:rPr>
                <w:sz w:val="16"/>
                <w:szCs w:val="16"/>
              </w:rPr>
              <w:t xml:space="preserve"> to initiate real</w:t>
            </w:r>
            <w:r w:rsidRPr="00876E8C">
              <w:rPr>
                <w:sz w:val="16"/>
                <w:szCs w:val="16"/>
              </w:rPr>
              <w:noBreakHyphen/>
              <w:t>time account transfers and alternative payment methods</w:t>
            </w:r>
            <w:hyperlink r:id="rId58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149FD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0D44F26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2026]</w:t>
            </w:r>
          </w:p>
        </w:tc>
      </w:tr>
      <w:tr w:rsidR="00876E8C" w:rsidRPr="00876E8C" w14:paraId="3A98BBAA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F7E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4A7F940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Open</w:t>
            </w:r>
            <w:r w:rsidRPr="00876E8C">
              <w:rPr>
                <w:sz w:val="16"/>
                <w:szCs w:val="16"/>
              </w:rPr>
              <w:noBreakHyphen/>
              <w:t>banking rule extends to mid</w:t>
            </w:r>
            <w:r w:rsidRPr="00876E8C">
              <w:rPr>
                <w:sz w:val="16"/>
                <w:szCs w:val="16"/>
              </w:rPr>
              <w:noBreakHyphen/>
              <w:t>sized U.S. banks</w:t>
            </w:r>
          </w:p>
        </w:tc>
        <w:tc>
          <w:tcPr>
            <w:tcW w:w="0" w:type="auto"/>
            <w:vAlign w:val="center"/>
            <w:hideMark/>
          </w:tcPr>
          <w:p w14:paraId="1B5E265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05F2672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3F6BDA7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</w:t>
            </w:r>
          </w:p>
        </w:tc>
        <w:tc>
          <w:tcPr>
            <w:tcW w:w="0" w:type="auto"/>
            <w:vAlign w:val="center"/>
            <w:hideMark/>
          </w:tcPr>
          <w:p w14:paraId="27A91A3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Expands the base for real</w:t>
            </w:r>
            <w:r w:rsidRPr="00876E8C">
              <w:rPr>
                <w:sz w:val="16"/>
                <w:szCs w:val="16"/>
              </w:rPr>
              <w:noBreakHyphen/>
              <w:t>time account</w:t>
            </w:r>
            <w:r w:rsidRPr="00876E8C">
              <w:rPr>
                <w:sz w:val="16"/>
                <w:szCs w:val="16"/>
              </w:rPr>
              <w:noBreakHyphen/>
              <w:t>to</w:t>
            </w:r>
            <w:r w:rsidRPr="00876E8C">
              <w:rPr>
                <w:sz w:val="16"/>
                <w:szCs w:val="16"/>
              </w:rPr>
              <w:noBreakHyphen/>
              <w:t>account payments and request</w:t>
            </w:r>
            <w:r w:rsidRPr="00876E8C">
              <w:rPr>
                <w:sz w:val="16"/>
                <w:szCs w:val="16"/>
              </w:rPr>
              <w:noBreakHyphen/>
              <w:t>for</w:t>
            </w:r>
            <w:r w:rsidRPr="00876E8C">
              <w:rPr>
                <w:sz w:val="16"/>
                <w:szCs w:val="16"/>
              </w:rPr>
              <w:noBreakHyphen/>
              <w:t>payment services</w:t>
            </w:r>
            <w:hyperlink r:id="rId59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607E8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19E3289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2027]</w:t>
            </w:r>
          </w:p>
        </w:tc>
      </w:tr>
      <w:tr w:rsidR="00876E8C" w:rsidRPr="00876E8C" w14:paraId="1FA322E7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32F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2028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6F02F44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Open</w:t>
            </w:r>
            <w:r w:rsidRPr="00876E8C">
              <w:rPr>
                <w:sz w:val="16"/>
                <w:szCs w:val="16"/>
              </w:rPr>
              <w:noBreakHyphen/>
              <w:t>banking rule applies to US$3–10 bn banks</w:t>
            </w:r>
          </w:p>
        </w:tc>
        <w:tc>
          <w:tcPr>
            <w:tcW w:w="0" w:type="auto"/>
            <w:vAlign w:val="center"/>
            <w:hideMark/>
          </w:tcPr>
          <w:p w14:paraId="5F6258D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5AF7963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674A687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</w:t>
            </w:r>
          </w:p>
        </w:tc>
        <w:tc>
          <w:tcPr>
            <w:tcW w:w="0" w:type="auto"/>
            <w:vAlign w:val="center"/>
            <w:hideMark/>
          </w:tcPr>
          <w:p w14:paraId="2C97593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Further broadens real</w:t>
            </w:r>
            <w:r w:rsidRPr="00876E8C">
              <w:rPr>
                <w:sz w:val="16"/>
                <w:szCs w:val="16"/>
              </w:rPr>
              <w:noBreakHyphen/>
              <w:t>time A2A capabilities beyond major banks</w:t>
            </w:r>
            <w:hyperlink r:id="rId60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45F8E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286AAE0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2028]</w:t>
            </w:r>
          </w:p>
        </w:tc>
      </w:tr>
      <w:tr w:rsidR="00876E8C" w:rsidRPr="00876E8C" w14:paraId="0A4A6C80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C20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2029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29E62C4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Open</w:t>
            </w:r>
            <w:r w:rsidRPr="00876E8C">
              <w:rPr>
                <w:sz w:val="16"/>
                <w:szCs w:val="16"/>
              </w:rPr>
              <w:noBreakHyphen/>
              <w:t>banking rule applies to US$1.5–3 bn banks</w:t>
            </w:r>
          </w:p>
        </w:tc>
        <w:tc>
          <w:tcPr>
            <w:tcW w:w="0" w:type="auto"/>
            <w:vAlign w:val="center"/>
            <w:hideMark/>
          </w:tcPr>
          <w:p w14:paraId="7E3E9B2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42D319C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3791F0B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</w:t>
            </w:r>
          </w:p>
        </w:tc>
        <w:tc>
          <w:tcPr>
            <w:tcW w:w="0" w:type="auto"/>
            <w:vAlign w:val="center"/>
            <w:hideMark/>
          </w:tcPr>
          <w:p w14:paraId="74CD7AF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Real</w:t>
            </w:r>
            <w:r w:rsidRPr="00876E8C">
              <w:rPr>
                <w:sz w:val="16"/>
                <w:szCs w:val="16"/>
              </w:rPr>
              <w:noBreakHyphen/>
              <w:t>time A2A payments become more widely available across community banks</w:t>
            </w:r>
            <w:hyperlink r:id="rId61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F4578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7DCF06F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2029]</w:t>
            </w:r>
          </w:p>
        </w:tc>
      </w:tr>
      <w:tr w:rsidR="00876E8C" w:rsidRPr="00876E8C" w14:paraId="129EF5AC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244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2030</w:t>
            </w:r>
            <w:r w:rsidRPr="00876E8C">
              <w:rPr>
                <w:sz w:val="16"/>
                <w:szCs w:val="16"/>
              </w:rPr>
              <w:noBreakHyphen/>
              <w:t>04</w:t>
            </w:r>
            <w:r w:rsidRPr="00876E8C">
              <w:rPr>
                <w:sz w:val="16"/>
                <w:szCs w:val="16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4C4946A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Final wave of small banks completes open</w:t>
            </w:r>
            <w:r w:rsidRPr="00876E8C">
              <w:rPr>
                <w:sz w:val="16"/>
                <w:szCs w:val="16"/>
              </w:rPr>
              <w:noBreakHyphen/>
              <w:t>banking compliance</w:t>
            </w:r>
          </w:p>
        </w:tc>
        <w:tc>
          <w:tcPr>
            <w:tcW w:w="0" w:type="auto"/>
            <w:vAlign w:val="center"/>
            <w:hideMark/>
          </w:tcPr>
          <w:p w14:paraId="322766F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2CA6728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088408CC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CFPB</w:t>
            </w:r>
          </w:p>
        </w:tc>
        <w:tc>
          <w:tcPr>
            <w:tcW w:w="0" w:type="auto"/>
            <w:vAlign w:val="center"/>
            <w:hideMark/>
          </w:tcPr>
          <w:p w14:paraId="4C52419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By 2030 open banking is fully implemented, enabling ubiquitous account</w:t>
            </w:r>
            <w:r w:rsidRPr="00876E8C">
              <w:rPr>
                <w:sz w:val="16"/>
                <w:szCs w:val="16"/>
              </w:rPr>
              <w:noBreakHyphen/>
              <w:t>to</w:t>
            </w:r>
            <w:r w:rsidRPr="00876E8C">
              <w:rPr>
                <w:sz w:val="16"/>
                <w:szCs w:val="16"/>
              </w:rPr>
              <w:noBreakHyphen/>
              <w:t>account and request</w:t>
            </w:r>
            <w:r w:rsidRPr="00876E8C">
              <w:rPr>
                <w:sz w:val="16"/>
                <w:szCs w:val="16"/>
              </w:rPr>
              <w:noBreakHyphen/>
              <w:t>for</w:t>
            </w:r>
            <w:r w:rsidRPr="00876E8C">
              <w:rPr>
                <w:sz w:val="16"/>
                <w:szCs w:val="16"/>
              </w:rPr>
              <w:noBreakHyphen/>
              <w:t>pay services</w:t>
            </w:r>
            <w:hyperlink r:id="rId62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AB22A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625C867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2030]</w:t>
            </w:r>
          </w:p>
        </w:tc>
      </w:tr>
      <w:tr w:rsidR="00876E8C" w:rsidRPr="00876E8C" w14:paraId="31B910D4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7FAD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end</w:t>
            </w:r>
          </w:p>
        </w:tc>
        <w:tc>
          <w:tcPr>
            <w:tcW w:w="0" w:type="auto"/>
            <w:vAlign w:val="center"/>
            <w:hideMark/>
          </w:tcPr>
          <w:p w14:paraId="738618E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 cross</w:t>
            </w:r>
            <w:r w:rsidRPr="00876E8C">
              <w:rPr>
                <w:sz w:val="16"/>
                <w:szCs w:val="16"/>
              </w:rPr>
              <w:noBreakHyphen/>
              <w:t>border targets (speed ≥75 % credited within one hour)</w:t>
            </w:r>
          </w:p>
        </w:tc>
        <w:tc>
          <w:tcPr>
            <w:tcW w:w="0" w:type="auto"/>
            <w:vAlign w:val="center"/>
            <w:hideMark/>
          </w:tcPr>
          <w:p w14:paraId="7A75C53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31B6F2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E82F59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G20, FSB, CPMI</w:t>
            </w:r>
          </w:p>
        </w:tc>
        <w:tc>
          <w:tcPr>
            <w:tcW w:w="0" w:type="auto"/>
            <w:vAlign w:val="center"/>
            <w:hideMark/>
          </w:tcPr>
          <w:p w14:paraId="211583D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Encourages domestic real</w:t>
            </w:r>
            <w:r w:rsidRPr="00876E8C">
              <w:rPr>
                <w:sz w:val="16"/>
                <w:szCs w:val="16"/>
              </w:rPr>
              <w:noBreakHyphen/>
              <w:t>time payment systems to link internationally and meet speed goals.</w:t>
            </w:r>
          </w:p>
        </w:tc>
        <w:tc>
          <w:tcPr>
            <w:tcW w:w="0" w:type="auto"/>
            <w:vAlign w:val="center"/>
            <w:hideMark/>
          </w:tcPr>
          <w:p w14:paraId="516EC57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19A263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2027]</w:t>
            </w:r>
          </w:p>
        </w:tc>
      </w:tr>
      <w:tr w:rsidR="00876E8C" w:rsidRPr="00876E8C" w14:paraId="2AD96C57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70B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lastRenderedPageBreak/>
              <w:t>2030</w:t>
            </w:r>
            <w:r w:rsidRPr="00876E8C">
              <w:rPr>
                <w:sz w:val="16"/>
                <w:szCs w:val="16"/>
              </w:rPr>
              <w:noBreakHyphen/>
              <w:t>end</w:t>
            </w:r>
          </w:p>
        </w:tc>
        <w:tc>
          <w:tcPr>
            <w:tcW w:w="0" w:type="auto"/>
            <w:vAlign w:val="center"/>
            <w:hideMark/>
          </w:tcPr>
          <w:p w14:paraId="353C760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Final G20 targets (cost ≤3 %, access &amp; transparency)</w:t>
            </w:r>
          </w:p>
        </w:tc>
        <w:tc>
          <w:tcPr>
            <w:tcW w:w="0" w:type="auto"/>
            <w:vAlign w:val="center"/>
            <w:hideMark/>
          </w:tcPr>
          <w:p w14:paraId="6B879D1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CA252F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0A54F4C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G20, FSB, CPMI</w:t>
            </w:r>
          </w:p>
        </w:tc>
        <w:tc>
          <w:tcPr>
            <w:tcW w:w="0" w:type="auto"/>
            <w:vAlign w:val="center"/>
            <w:hideMark/>
          </w:tcPr>
          <w:p w14:paraId="783FD24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Guides real</w:t>
            </w:r>
            <w:r w:rsidRPr="00876E8C">
              <w:rPr>
                <w:sz w:val="16"/>
                <w:szCs w:val="16"/>
              </w:rPr>
              <w:noBreakHyphen/>
              <w:t>time system enhancements and international interoperability.</w:t>
            </w:r>
          </w:p>
        </w:tc>
        <w:tc>
          <w:tcPr>
            <w:tcW w:w="0" w:type="auto"/>
            <w:vAlign w:val="center"/>
            <w:hideMark/>
          </w:tcPr>
          <w:p w14:paraId="4372F96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CD60DB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2030]</w:t>
            </w:r>
          </w:p>
        </w:tc>
      </w:tr>
    </w:tbl>
    <w:p w14:paraId="721E224A" w14:textId="77777777" w:rsidR="00876E8C" w:rsidRPr="00876E8C" w:rsidRDefault="00876E8C" w:rsidP="00876E8C">
      <w:pPr>
        <w:rPr>
          <w:b/>
          <w:bCs/>
          <w:sz w:val="40"/>
          <w:szCs w:val="40"/>
        </w:rPr>
      </w:pPr>
      <w:r w:rsidRPr="00876E8C">
        <w:rPr>
          <w:b/>
          <w:bCs/>
          <w:sz w:val="40"/>
          <w:szCs w:val="40"/>
        </w:rPr>
        <w:t>Cross</w:t>
      </w:r>
      <w:r w:rsidRPr="00876E8C">
        <w:rPr>
          <w:b/>
          <w:bCs/>
          <w:sz w:val="40"/>
          <w:szCs w:val="40"/>
        </w:rPr>
        <w:noBreakHyphen/>
        <w:t>Cutting Events (affecting RTP/A2A + other topics)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955"/>
        <w:gridCol w:w="1458"/>
        <w:gridCol w:w="5423"/>
        <w:gridCol w:w="918"/>
        <w:gridCol w:w="2071"/>
      </w:tblGrid>
      <w:tr w:rsidR="00876E8C" w:rsidRPr="00876E8C" w14:paraId="21709AD6" w14:textId="77777777" w:rsidTr="0087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6652D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r w:rsidRPr="00876E8C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B341F3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event_title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ED088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intersecting_topics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2D0CA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impact_summary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0B7FD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F4040" w14:textId="77777777" w:rsidR="00876E8C" w:rsidRPr="00876E8C" w:rsidRDefault="00876E8C" w:rsidP="00876E8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76E8C">
              <w:rPr>
                <w:b/>
                <w:bCs/>
                <w:sz w:val="16"/>
                <w:szCs w:val="16"/>
              </w:rPr>
              <w:t>citation_label</w:t>
            </w:r>
            <w:proofErr w:type="spellEnd"/>
          </w:p>
        </w:tc>
      </w:tr>
      <w:tr w:rsidR="00876E8C" w:rsidRPr="00876E8C" w14:paraId="07717F56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D76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01</w:t>
            </w:r>
            <w:r w:rsidRPr="00876E8C">
              <w:rPr>
                <w:sz w:val="16"/>
                <w:szCs w:val="16"/>
              </w:rPr>
              <w:noBreakHyphen/>
              <w:t>09</w:t>
            </w:r>
          </w:p>
        </w:tc>
        <w:tc>
          <w:tcPr>
            <w:tcW w:w="0" w:type="auto"/>
            <w:vAlign w:val="center"/>
            <w:hideMark/>
          </w:tcPr>
          <w:p w14:paraId="6D85B96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EU Instant Payments Regulation obligations begin</w:t>
            </w:r>
          </w:p>
        </w:tc>
        <w:tc>
          <w:tcPr>
            <w:tcW w:w="0" w:type="auto"/>
            <w:vAlign w:val="center"/>
            <w:hideMark/>
          </w:tcPr>
          <w:p w14:paraId="3E269CD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14:paraId="6A5B46F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Supports cross</w:t>
            </w:r>
            <w:r w:rsidRPr="00876E8C">
              <w:rPr>
                <w:sz w:val="16"/>
                <w:szCs w:val="16"/>
              </w:rPr>
              <w:noBreakHyphen/>
              <w:t>border instant euro payments and sets expectations for real</w:t>
            </w:r>
            <w:r w:rsidRPr="00876E8C">
              <w:rPr>
                <w:sz w:val="16"/>
                <w:szCs w:val="16"/>
              </w:rPr>
              <w:noBreakHyphen/>
              <w:t>time settlement</w:t>
            </w:r>
            <w:hyperlink r:id="rId63" w:anchor=":~:text=Regulation%20,and%209%20October%202025%20respectively" w:tgtFrame="_blank" w:history="1">
              <w:r w:rsidRPr="00876E8C">
                <w:rPr>
                  <w:rStyle w:val="Hyperlink"/>
                  <w:sz w:val="16"/>
                  <w:szCs w:val="16"/>
                </w:rPr>
                <w:t>europeanpaymentscouncil.eu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BE0BF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77DD7F8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[EPC IPR 2025]</w:t>
            </w:r>
          </w:p>
        </w:tc>
      </w:tr>
      <w:tr w:rsidR="00876E8C" w:rsidRPr="00876E8C" w14:paraId="2CBCD6E2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C94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2025</w:t>
            </w:r>
            <w:r w:rsidRPr="00876E8C">
              <w:rPr>
                <w:sz w:val="16"/>
                <w:szCs w:val="16"/>
              </w:rPr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25ED7E9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ISO 20022 migration deadline</w:t>
            </w:r>
          </w:p>
        </w:tc>
        <w:tc>
          <w:tcPr>
            <w:tcW w:w="0" w:type="auto"/>
            <w:vAlign w:val="center"/>
            <w:hideMark/>
          </w:tcPr>
          <w:p w14:paraId="231F3F9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14:paraId="00D7C660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Enables interoperability between real</w:t>
            </w:r>
            <w:r w:rsidRPr="00876E8C">
              <w:rPr>
                <w:sz w:val="16"/>
                <w:szCs w:val="16"/>
              </w:rPr>
              <w:noBreakHyphen/>
              <w:t>time payment systems and cross</w:t>
            </w:r>
            <w:r w:rsidRPr="00876E8C">
              <w:rPr>
                <w:sz w:val="16"/>
                <w:szCs w:val="16"/>
              </w:rPr>
              <w:noBreakHyphen/>
              <w:t>border networks.</w:t>
            </w:r>
          </w:p>
        </w:tc>
        <w:tc>
          <w:tcPr>
            <w:tcW w:w="0" w:type="auto"/>
            <w:vAlign w:val="center"/>
            <w:hideMark/>
          </w:tcPr>
          <w:p w14:paraId="70E1F2AA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272760E4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[ISO2022 EU 2025]</w:t>
            </w:r>
          </w:p>
        </w:tc>
      </w:tr>
      <w:tr w:rsidR="00876E8C" w:rsidRPr="00876E8C" w14:paraId="153B6A96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5D96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2026</w:t>
            </w:r>
            <w:r w:rsidRPr="00876E8C">
              <w:rPr>
                <w:sz w:val="16"/>
                <w:szCs w:val="16"/>
              </w:rPr>
              <w:noBreakHyphen/>
              <w:t>2030</w:t>
            </w:r>
          </w:p>
        </w:tc>
        <w:tc>
          <w:tcPr>
            <w:tcW w:w="0" w:type="auto"/>
            <w:vAlign w:val="center"/>
            <w:hideMark/>
          </w:tcPr>
          <w:p w14:paraId="1AEF3A4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U.S. open</w:t>
            </w:r>
            <w:r w:rsidRPr="00876E8C">
              <w:rPr>
                <w:sz w:val="16"/>
                <w:szCs w:val="16"/>
              </w:rPr>
              <w:noBreakHyphen/>
              <w:t>banking compliance phasing in</w:t>
            </w:r>
          </w:p>
        </w:tc>
        <w:tc>
          <w:tcPr>
            <w:tcW w:w="0" w:type="auto"/>
            <w:vAlign w:val="center"/>
            <w:hideMark/>
          </w:tcPr>
          <w:p w14:paraId="669AA5A1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EF, DW</w:t>
            </w:r>
          </w:p>
        </w:tc>
        <w:tc>
          <w:tcPr>
            <w:tcW w:w="0" w:type="auto"/>
            <w:vAlign w:val="center"/>
            <w:hideMark/>
          </w:tcPr>
          <w:p w14:paraId="55D0FF6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 xml:space="preserve">Provides necessary APIs for </w:t>
            </w:r>
            <w:proofErr w:type="spellStart"/>
            <w:r w:rsidRPr="00876E8C">
              <w:rPr>
                <w:sz w:val="16"/>
                <w:szCs w:val="16"/>
              </w:rPr>
              <w:t>fintechs</w:t>
            </w:r>
            <w:proofErr w:type="spellEnd"/>
            <w:r w:rsidRPr="00876E8C">
              <w:rPr>
                <w:sz w:val="16"/>
                <w:szCs w:val="16"/>
              </w:rPr>
              <w:t xml:space="preserve"> to initiate real</w:t>
            </w:r>
            <w:r w:rsidRPr="00876E8C">
              <w:rPr>
                <w:sz w:val="16"/>
                <w:szCs w:val="16"/>
              </w:rPr>
              <w:noBreakHyphen/>
              <w:t>time account transfers and request</w:t>
            </w:r>
            <w:r w:rsidRPr="00876E8C">
              <w:rPr>
                <w:sz w:val="16"/>
                <w:szCs w:val="16"/>
              </w:rPr>
              <w:noBreakHyphen/>
              <w:t>for</w:t>
            </w:r>
            <w:r w:rsidRPr="00876E8C">
              <w:rPr>
                <w:sz w:val="16"/>
                <w:szCs w:val="16"/>
              </w:rPr>
              <w:noBreakHyphen/>
              <w:t>payment services</w:t>
            </w:r>
            <w:hyperlink r:id="rId64" w:anchor=":~:text=%28b%29%20Initial%20compliance%20dates,of%20this%20part%20beginning%20on" w:tgtFrame="_blank" w:history="1">
              <w:r w:rsidRPr="00876E8C">
                <w:rPr>
                  <w:rStyle w:val="Hyperlink"/>
                  <w:sz w:val="16"/>
                  <w:szCs w:val="16"/>
                </w:rPr>
                <w:t>consumerfinance.gov</w:t>
              </w:r>
            </w:hyperlink>
            <w:r w:rsidRPr="00876E8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E3248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Firm</w:t>
            </w:r>
          </w:p>
        </w:tc>
        <w:tc>
          <w:tcPr>
            <w:tcW w:w="0" w:type="auto"/>
            <w:vAlign w:val="center"/>
            <w:hideMark/>
          </w:tcPr>
          <w:p w14:paraId="1DFD308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[CFPB 1033 2026]</w:t>
            </w:r>
            <w:proofErr w:type="gramStart"/>
            <w:r w:rsidRPr="00876E8C">
              <w:rPr>
                <w:sz w:val="16"/>
                <w:szCs w:val="16"/>
              </w:rPr>
              <w:t>–[</w:t>
            </w:r>
            <w:proofErr w:type="gramEnd"/>
            <w:r w:rsidRPr="00876E8C">
              <w:rPr>
                <w:sz w:val="16"/>
                <w:szCs w:val="16"/>
              </w:rPr>
              <w:t>CFPB 1033 2030]</w:t>
            </w:r>
          </w:p>
        </w:tc>
      </w:tr>
      <w:tr w:rsidR="00876E8C" w:rsidRPr="00876E8C" w14:paraId="2E55B9F0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B12B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mid</w:t>
            </w:r>
          </w:p>
        </w:tc>
        <w:tc>
          <w:tcPr>
            <w:tcW w:w="0" w:type="auto"/>
            <w:vAlign w:val="center"/>
            <w:hideMark/>
          </w:tcPr>
          <w:p w14:paraId="4EBD8CB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Digital euro pilot</w:t>
            </w:r>
          </w:p>
        </w:tc>
        <w:tc>
          <w:tcPr>
            <w:tcW w:w="0" w:type="auto"/>
            <w:vAlign w:val="center"/>
            <w:hideMark/>
          </w:tcPr>
          <w:p w14:paraId="58CB6CD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0" w:type="auto"/>
            <w:vAlign w:val="center"/>
            <w:hideMark/>
          </w:tcPr>
          <w:p w14:paraId="0F1B6EB1" w14:textId="167E564A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A euro CBDC may interact with real</w:t>
            </w:r>
            <w:r w:rsidRPr="00876E8C">
              <w:rPr>
                <w:sz w:val="16"/>
                <w:szCs w:val="16"/>
              </w:rPr>
              <w:noBreakHyphen/>
              <w:t>time systems for instant settlement across the euro area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4AA58BF4" wp14:editId="1DCE82D8">
                      <wp:extent cx="304800" cy="304800"/>
                      <wp:effectExtent l="0" t="0" r="0" b="0"/>
                      <wp:docPr id="1141440431" name="Rectangle 9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853A75" id="Rectangle 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coinedition.com.</w:t>
            </w:r>
          </w:p>
        </w:tc>
        <w:tc>
          <w:tcPr>
            <w:tcW w:w="0" w:type="auto"/>
            <w:vAlign w:val="center"/>
            <w:hideMark/>
          </w:tcPr>
          <w:p w14:paraId="2A72361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A912C1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[Digital Euro Pilot 2027]</w:t>
            </w:r>
          </w:p>
        </w:tc>
      </w:tr>
      <w:tr w:rsidR="00876E8C" w:rsidRPr="00876E8C" w14:paraId="253EA8EF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F399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69EFEC07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Digital euro issuance target</w:t>
            </w:r>
          </w:p>
        </w:tc>
        <w:tc>
          <w:tcPr>
            <w:tcW w:w="0" w:type="auto"/>
            <w:vAlign w:val="center"/>
            <w:hideMark/>
          </w:tcPr>
          <w:p w14:paraId="343EB24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DW</w:t>
            </w:r>
          </w:p>
        </w:tc>
        <w:tc>
          <w:tcPr>
            <w:tcW w:w="0" w:type="auto"/>
            <w:vAlign w:val="center"/>
            <w:hideMark/>
          </w:tcPr>
          <w:p w14:paraId="6449BFDB" w14:textId="4AD6F7C5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Full launch of euro CBDC could integrate with real</w:t>
            </w:r>
            <w:r w:rsidRPr="00876E8C">
              <w:rPr>
                <w:sz w:val="16"/>
                <w:szCs w:val="16"/>
              </w:rPr>
              <w:noBreakHyphen/>
              <w:t>time payment rails and unify retail and wholesale settlements</w:t>
            </w:r>
            <w:r w:rsidRPr="00876E8C"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4BF6FA0A" wp14:editId="280B0BF8">
                      <wp:extent cx="304800" cy="304800"/>
                      <wp:effectExtent l="0" t="0" r="0" b="0"/>
                      <wp:docPr id="471191564" name="Rectangle 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B3943F" id="Rectangle 9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6E8C">
              <w:rPr>
                <w:sz w:val="16"/>
                <w:szCs w:val="16"/>
              </w:rPr>
              <w:t>coinedition.com.</w:t>
            </w:r>
          </w:p>
        </w:tc>
        <w:tc>
          <w:tcPr>
            <w:tcW w:w="0" w:type="auto"/>
            <w:vAlign w:val="center"/>
            <w:hideMark/>
          </w:tcPr>
          <w:p w14:paraId="7C5216A3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43B627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[Digital Euro 2029]</w:t>
            </w:r>
          </w:p>
        </w:tc>
      </w:tr>
      <w:tr w:rsidR="00876E8C" w:rsidRPr="00876E8C" w14:paraId="08F30B74" w14:textId="77777777" w:rsidTr="0087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A9F8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2027</w:t>
            </w:r>
            <w:r w:rsidRPr="00876E8C">
              <w:rPr>
                <w:sz w:val="16"/>
                <w:szCs w:val="16"/>
              </w:rPr>
              <w:noBreakHyphen/>
              <w:t>end &amp; 2030</w:t>
            </w:r>
            <w:r w:rsidRPr="00876E8C">
              <w:rPr>
                <w:sz w:val="16"/>
                <w:szCs w:val="16"/>
              </w:rPr>
              <w:noBreakHyphen/>
              <w:t>end</w:t>
            </w:r>
          </w:p>
        </w:tc>
        <w:tc>
          <w:tcPr>
            <w:tcW w:w="0" w:type="auto"/>
            <w:vAlign w:val="center"/>
            <w:hideMark/>
          </w:tcPr>
          <w:p w14:paraId="0BFC846F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G20 cross</w:t>
            </w:r>
            <w:r w:rsidRPr="00876E8C">
              <w:rPr>
                <w:sz w:val="16"/>
                <w:szCs w:val="16"/>
              </w:rPr>
              <w:noBreakHyphen/>
              <w:t>border targets</w:t>
            </w:r>
          </w:p>
        </w:tc>
        <w:tc>
          <w:tcPr>
            <w:tcW w:w="0" w:type="auto"/>
            <w:vAlign w:val="center"/>
            <w:hideMark/>
          </w:tcPr>
          <w:p w14:paraId="71715B2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CB, EF</w:t>
            </w:r>
          </w:p>
        </w:tc>
        <w:tc>
          <w:tcPr>
            <w:tcW w:w="0" w:type="auto"/>
            <w:vAlign w:val="center"/>
            <w:hideMark/>
          </w:tcPr>
          <w:p w14:paraId="24C3F125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Achieving these goals necessitates linking domestic real</w:t>
            </w:r>
            <w:r w:rsidRPr="00876E8C">
              <w:rPr>
                <w:sz w:val="16"/>
                <w:szCs w:val="16"/>
              </w:rPr>
              <w:noBreakHyphen/>
              <w:t>time systems across borders and improving transparency.</w:t>
            </w:r>
          </w:p>
        </w:tc>
        <w:tc>
          <w:tcPr>
            <w:tcW w:w="0" w:type="auto"/>
            <w:vAlign w:val="center"/>
            <w:hideMark/>
          </w:tcPr>
          <w:p w14:paraId="0C06CE9E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C314362" w14:textId="77777777" w:rsidR="00876E8C" w:rsidRPr="00876E8C" w:rsidRDefault="00876E8C" w:rsidP="00876E8C">
            <w:pPr>
              <w:rPr>
                <w:sz w:val="16"/>
                <w:szCs w:val="16"/>
              </w:rPr>
            </w:pPr>
            <w:r w:rsidRPr="00876E8C">
              <w:rPr>
                <w:sz w:val="16"/>
                <w:szCs w:val="16"/>
              </w:rPr>
              <w:t>[G20 Targets 2027]</w:t>
            </w:r>
            <w:proofErr w:type="gramStart"/>
            <w:r w:rsidRPr="00876E8C">
              <w:rPr>
                <w:sz w:val="16"/>
                <w:szCs w:val="16"/>
              </w:rPr>
              <w:t>–[</w:t>
            </w:r>
            <w:proofErr w:type="gramEnd"/>
            <w:r w:rsidRPr="00876E8C">
              <w:rPr>
                <w:sz w:val="16"/>
                <w:szCs w:val="16"/>
              </w:rPr>
              <w:t>G20 Targets 2030]</w:t>
            </w:r>
          </w:p>
        </w:tc>
      </w:tr>
    </w:tbl>
    <w:p w14:paraId="6F0B1690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Narrative Synthesis (Executive Summary)</w:t>
      </w:r>
    </w:p>
    <w:p w14:paraId="176D7FB6" w14:textId="062CDB6A" w:rsidR="00876E8C" w:rsidRPr="00876E8C" w:rsidRDefault="00876E8C" w:rsidP="00876E8C">
      <w:p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1. Cross</w:t>
      </w:r>
      <w:r w:rsidRPr="00876E8C">
        <w:rPr>
          <w:b/>
          <w:bCs/>
          <w:sz w:val="16"/>
          <w:szCs w:val="16"/>
        </w:rPr>
        <w:noBreakHyphen/>
        <w:t>Border Payments (CB)</w:t>
      </w:r>
      <w:r w:rsidRPr="00876E8C">
        <w:rPr>
          <w:sz w:val="16"/>
          <w:szCs w:val="16"/>
        </w:rPr>
        <w:t xml:space="preserve"> – The cross</w:t>
      </w:r>
      <w:r w:rsidRPr="00876E8C">
        <w:rPr>
          <w:sz w:val="16"/>
          <w:szCs w:val="16"/>
        </w:rPr>
        <w:noBreakHyphen/>
        <w:t xml:space="preserve">border payments landscape is dominated by regulatory and interoperability initiatives targeted at lowering cost, boosting </w:t>
      </w:r>
      <w:proofErr w:type="gramStart"/>
      <w:r w:rsidRPr="00876E8C">
        <w:rPr>
          <w:sz w:val="16"/>
          <w:szCs w:val="16"/>
        </w:rPr>
        <w:t>speed</w:t>
      </w:r>
      <w:proofErr w:type="gramEnd"/>
      <w:r w:rsidRPr="00876E8C">
        <w:rPr>
          <w:sz w:val="16"/>
          <w:szCs w:val="16"/>
        </w:rPr>
        <w:t xml:space="preserve"> and increasing access. Europe’s Instant Payments Regulation goes live in January 2025, obliging euro</w:t>
      </w:r>
      <w:r w:rsidRPr="00876E8C">
        <w:rPr>
          <w:sz w:val="16"/>
          <w:szCs w:val="16"/>
        </w:rPr>
        <w:noBreakHyphen/>
        <w:t>zone banks to process instant credit transfers within 10 seconds and requiring adoption of ISO 20022 messaging by November 2025</w:t>
      </w:r>
      <w:hyperlink r:id="rId65" w:anchor=":~:text=Regulation%20,and%209%20October%202025%20respectively" w:tgtFrame="_blank" w:history="1">
        <w:r w:rsidRPr="00876E8C">
          <w:rPr>
            <w:rStyle w:val="Hyperlink"/>
            <w:sz w:val="16"/>
            <w:szCs w:val="16"/>
          </w:rPr>
          <w:t>europeanpaymentscouncil.eu</w:t>
        </w:r>
      </w:hyperlink>
      <w:r w:rsidRPr="00876E8C">
        <w:rPr>
          <w:sz w:val="16"/>
          <w:szCs w:val="16"/>
        </w:rPr>
        <w:t>. At the global level, the FATF’s June 2025 revision of Recommendation 16 imposes stronger Travel</w:t>
      </w:r>
      <w:r w:rsidRPr="00876E8C">
        <w:rPr>
          <w:sz w:val="16"/>
          <w:szCs w:val="16"/>
        </w:rPr>
        <w:noBreakHyphen/>
        <w:t>Rule obligations on banks and crypto</w:t>
      </w:r>
      <w:r w:rsidRPr="00876E8C">
        <w:rPr>
          <w:sz w:val="16"/>
          <w:szCs w:val="16"/>
        </w:rPr>
        <w:noBreakHyphen/>
        <w:t xml:space="preserve">asset providers, pushing for </w:t>
      </w:r>
      <w:proofErr w:type="spellStart"/>
      <w:r w:rsidRPr="00876E8C">
        <w:rPr>
          <w:sz w:val="16"/>
          <w:szCs w:val="16"/>
        </w:rPr>
        <w:t>standardised</w:t>
      </w:r>
      <w:proofErr w:type="spellEnd"/>
      <w:r w:rsidRPr="00876E8C">
        <w:rPr>
          <w:sz w:val="16"/>
          <w:szCs w:val="16"/>
        </w:rPr>
        <w:t xml:space="preserve"> payer and payee data in cross</w:t>
      </w:r>
      <w:r w:rsidRPr="00876E8C">
        <w:rPr>
          <w:sz w:val="16"/>
          <w:szCs w:val="16"/>
        </w:rPr>
        <w:noBreakHyphen/>
        <w:t>border messages</w:t>
      </w:r>
      <w:hyperlink r:id="rId66" w:anchor=":~:text=18%20June%202025" w:tgtFrame="_blank" w:history="1">
        <w:r w:rsidRPr="00876E8C">
          <w:rPr>
            <w:rStyle w:val="Hyperlink"/>
            <w:sz w:val="16"/>
            <w:szCs w:val="16"/>
          </w:rPr>
          <w:t>fatf-gafi.org</w:t>
        </w:r>
      </w:hyperlink>
      <w:r w:rsidRPr="00876E8C">
        <w:rPr>
          <w:sz w:val="16"/>
          <w:szCs w:val="16"/>
        </w:rPr>
        <w:t>. SWIFT’s September 2025 network rules similarly mandate full fee disclosure and predictable settlement for retail cross</w:t>
      </w:r>
      <w:r w:rsidRPr="00876E8C">
        <w:rPr>
          <w:sz w:val="16"/>
          <w:szCs w:val="16"/>
        </w:rPr>
        <w:noBreakHyphen/>
        <w:t>border payments</w:t>
      </w:r>
      <w:hyperlink r:id="rId67" w:anchor=":~:text=25%20September%202025%20,min%20read" w:tgtFrame="_blank" w:history="1">
        <w:r w:rsidRPr="00876E8C">
          <w:rPr>
            <w:rStyle w:val="Hyperlink"/>
            <w:sz w:val="16"/>
            <w:szCs w:val="16"/>
          </w:rPr>
          <w:t>swift.com</w:t>
        </w:r>
      </w:hyperlink>
      <w:r w:rsidRPr="00876E8C">
        <w:rPr>
          <w:sz w:val="16"/>
          <w:szCs w:val="16"/>
        </w:rPr>
        <w:t>. Despite this momentum, the FSB’s October 2025 progress report warns that end</w:t>
      </w:r>
      <w:r w:rsidRPr="00876E8C">
        <w:rPr>
          <w:sz w:val="16"/>
          <w:szCs w:val="16"/>
        </w:rPr>
        <w:noBreakHyphen/>
        <w:t>2027 G20 targets – including average costs under 1 % and 75 % of payments credited within one hour – are unlikely to be met</w:t>
      </w:r>
      <w:hyperlink r:id="rId68" w:anchor=":~:text=achieve%20tangible%20improvements%20in%20cross,payments" w:tgtFrame="_blank" w:history="1">
        <w:r w:rsidRPr="00876E8C">
          <w:rPr>
            <w:rStyle w:val="Hyperlink"/>
            <w:sz w:val="16"/>
            <w:szCs w:val="16"/>
          </w:rPr>
          <w:t>fsb.org</w:t>
        </w:r>
      </w:hyperlink>
      <w:r w:rsidRPr="00876E8C">
        <w:rPr>
          <w:sz w:val="16"/>
          <w:szCs w:val="16"/>
        </w:rPr>
        <w:t xml:space="preserve">. These targets remain influential anchor points, with a subsequent phase targeting 2030 for </w:t>
      </w:r>
      <w:r w:rsidRPr="00876E8C">
        <w:rPr>
          <w:sz w:val="16"/>
          <w:szCs w:val="16"/>
        </w:rPr>
        <w:lastRenderedPageBreak/>
        <w:t>average costs ≤3 %. European legislative reforms through PSD3/PSR, expected to take effect in 2026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5CE328C6" wp14:editId="5160B5D7">
                <wp:extent cx="304800" cy="304800"/>
                <wp:effectExtent l="0" t="0" r="0" b="0"/>
                <wp:docPr id="2019199240" name="Rectangl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EC979" id="Rectangle 9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 xml:space="preserve">finextra.com, will further </w:t>
      </w:r>
      <w:proofErr w:type="spellStart"/>
      <w:r w:rsidRPr="00876E8C">
        <w:rPr>
          <w:sz w:val="16"/>
          <w:szCs w:val="16"/>
        </w:rPr>
        <w:t>harmonise</w:t>
      </w:r>
      <w:proofErr w:type="spellEnd"/>
      <w:r w:rsidRPr="00876E8C">
        <w:rPr>
          <w:sz w:val="16"/>
          <w:szCs w:val="16"/>
        </w:rPr>
        <w:t xml:space="preserve"> licensing, anti</w:t>
      </w:r>
      <w:r w:rsidRPr="00876E8C">
        <w:rPr>
          <w:sz w:val="16"/>
          <w:szCs w:val="16"/>
        </w:rPr>
        <w:noBreakHyphen/>
        <w:t xml:space="preserve">fraud </w:t>
      </w:r>
      <w:proofErr w:type="gramStart"/>
      <w:r w:rsidRPr="00876E8C">
        <w:rPr>
          <w:sz w:val="16"/>
          <w:szCs w:val="16"/>
        </w:rPr>
        <w:t>measures</w:t>
      </w:r>
      <w:proofErr w:type="gramEnd"/>
      <w:r w:rsidRPr="00876E8C">
        <w:rPr>
          <w:sz w:val="16"/>
          <w:szCs w:val="16"/>
        </w:rPr>
        <w:t xml:space="preserve"> and open</w:t>
      </w:r>
      <w:r w:rsidRPr="00876E8C">
        <w:rPr>
          <w:sz w:val="16"/>
          <w:szCs w:val="16"/>
        </w:rPr>
        <w:noBreakHyphen/>
        <w:t>banking performance, indirectly influencing cross</w:t>
      </w:r>
      <w:r w:rsidRPr="00876E8C">
        <w:rPr>
          <w:sz w:val="16"/>
          <w:szCs w:val="16"/>
        </w:rPr>
        <w:noBreakHyphen/>
        <w:t>border providers. Cross</w:t>
      </w:r>
      <w:r w:rsidRPr="00876E8C">
        <w:rPr>
          <w:sz w:val="16"/>
          <w:szCs w:val="16"/>
        </w:rPr>
        <w:noBreakHyphen/>
        <w:t>cutting initiatives—such as the digital</w:t>
      </w:r>
      <w:r w:rsidRPr="00876E8C">
        <w:rPr>
          <w:sz w:val="16"/>
          <w:szCs w:val="16"/>
        </w:rPr>
        <w:noBreakHyphen/>
        <w:t>euro pilot (mid</w:t>
      </w:r>
      <w:r w:rsidRPr="00876E8C">
        <w:rPr>
          <w:sz w:val="16"/>
          <w:szCs w:val="16"/>
        </w:rPr>
        <w:noBreakHyphen/>
        <w:t>2027) and eventual launch (2029)—signal Europe’s ambition to control monetary sovereignty and offer a public settlement instrument that could integrate with instant</w:t>
      </w:r>
      <w:r w:rsidRPr="00876E8C">
        <w:rPr>
          <w:sz w:val="16"/>
          <w:szCs w:val="16"/>
        </w:rPr>
        <w:noBreakHyphen/>
        <w:t>payment systems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11A0174A" wp14:editId="598FA6F6">
                <wp:extent cx="304800" cy="304800"/>
                <wp:effectExtent l="0" t="0" r="0" b="0"/>
                <wp:docPr id="1696923485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7EF58" id="Rectangle 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 xml:space="preserve">coinedition.com. Overall, the 2025–2030 period is </w:t>
      </w:r>
      <w:proofErr w:type="spellStart"/>
      <w:r w:rsidRPr="00876E8C">
        <w:rPr>
          <w:sz w:val="16"/>
          <w:szCs w:val="16"/>
        </w:rPr>
        <w:t>characterised</w:t>
      </w:r>
      <w:proofErr w:type="spellEnd"/>
      <w:r w:rsidRPr="00876E8C">
        <w:rPr>
          <w:sz w:val="16"/>
          <w:szCs w:val="16"/>
        </w:rPr>
        <w:t xml:space="preserve"> by regulatory convergence and technology upgrades that seek to build a foundation for cheaper, </w:t>
      </w:r>
      <w:proofErr w:type="gramStart"/>
      <w:r w:rsidRPr="00876E8C">
        <w:rPr>
          <w:sz w:val="16"/>
          <w:szCs w:val="16"/>
        </w:rPr>
        <w:t>faster</w:t>
      </w:r>
      <w:proofErr w:type="gramEnd"/>
      <w:r w:rsidRPr="00876E8C">
        <w:rPr>
          <w:sz w:val="16"/>
          <w:szCs w:val="16"/>
        </w:rPr>
        <w:t xml:space="preserve"> and more predictable cross</w:t>
      </w:r>
      <w:r w:rsidRPr="00876E8C">
        <w:rPr>
          <w:sz w:val="16"/>
          <w:szCs w:val="16"/>
        </w:rPr>
        <w:noBreakHyphen/>
        <w:t>border flows.</w:t>
      </w:r>
    </w:p>
    <w:p w14:paraId="5EC92416" w14:textId="14EA4464" w:rsidR="00876E8C" w:rsidRPr="00876E8C" w:rsidRDefault="00876E8C" w:rsidP="00876E8C">
      <w:p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2. Embedded Finance (EF)</w:t>
      </w:r>
      <w:r w:rsidRPr="00876E8C">
        <w:rPr>
          <w:sz w:val="16"/>
          <w:szCs w:val="16"/>
        </w:rPr>
        <w:t xml:space="preserve"> – Embedded finance will </w:t>
      </w:r>
      <w:proofErr w:type="gramStart"/>
      <w:r w:rsidRPr="00876E8C">
        <w:rPr>
          <w:sz w:val="16"/>
          <w:szCs w:val="16"/>
        </w:rPr>
        <w:t>be shaped</w:t>
      </w:r>
      <w:proofErr w:type="gramEnd"/>
      <w:r w:rsidRPr="00876E8C">
        <w:rPr>
          <w:sz w:val="16"/>
          <w:szCs w:val="16"/>
        </w:rPr>
        <w:t xml:space="preserve"> by open</w:t>
      </w:r>
      <w:r w:rsidRPr="00876E8C">
        <w:rPr>
          <w:sz w:val="16"/>
          <w:szCs w:val="16"/>
        </w:rPr>
        <w:noBreakHyphen/>
        <w:t>banking regulation. The U.S. CFPB’s final personal</w:t>
      </w:r>
      <w:r w:rsidRPr="00876E8C">
        <w:rPr>
          <w:sz w:val="16"/>
          <w:szCs w:val="16"/>
        </w:rPr>
        <w:noBreakHyphen/>
        <w:t>data</w:t>
      </w:r>
      <w:r w:rsidRPr="00876E8C">
        <w:rPr>
          <w:sz w:val="16"/>
          <w:szCs w:val="16"/>
        </w:rPr>
        <w:noBreakHyphen/>
        <w:t>rights rule (Section 1033) introduces a phased compliance schedule from April 2026 through April 2030. The largest banks and non</w:t>
      </w:r>
      <w:r w:rsidRPr="00876E8C">
        <w:rPr>
          <w:sz w:val="16"/>
          <w:szCs w:val="16"/>
        </w:rPr>
        <w:noBreakHyphen/>
        <w:t>bank payment giants must enable customer</w:t>
      </w:r>
      <w:r w:rsidRPr="00876E8C">
        <w:rPr>
          <w:sz w:val="16"/>
          <w:szCs w:val="16"/>
        </w:rPr>
        <w:noBreakHyphen/>
        <w:t>permissioned API access by 2026, with progressively smaller banks following annually</w:t>
      </w:r>
      <w:hyperlink r:id="rId69" w:anchor=":~:text=%28b%29%20Initial%20compliance%20dates,of%20this%20part%20beginning%20on" w:tgtFrame="_blank" w:history="1">
        <w:r w:rsidRPr="00876E8C">
          <w:rPr>
            <w:rStyle w:val="Hyperlink"/>
            <w:sz w:val="16"/>
            <w:szCs w:val="16"/>
          </w:rPr>
          <w:t>consumerfinance.gov</w:t>
        </w:r>
      </w:hyperlink>
      <w:r w:rsidRPr="00876E8C">
        <w:rPr>
          <w:sz w:val="16"/>
          <w:szCs w:val="16"/>
        </w:rPr>
        <w:t xml:space="preserve">. These firm dates are anchor points that will gradually </w:t>
      </w:r>
      <w:proofErr w:type="spellStart"/>
      <w:r w:rsidRPr="00876E8C">
        <w:rPr>
          <w:sz w:val="16"/>
          <w:szCs w:val="16"/>
        </w:rPr>
        <w:t>democratise</w:t>
      </w:r>
      <w:proofErr w:type="spellEnd"/>
      <w:r w:rsidRPr="00876E8C">
        <w:rPr>
          <w:sz w:val="16"/>
          <w:szCs w:val="16"/>
        </w:rPr>
        <w:t xml:space="preserve"> data access, lower onboarding friction and allow </w:t>
      </w:r>
      <w:proofErr w:type="spellStart"/>
      <w:r w:rsidRPr="00876E8C">
        <w:rPr>
          <w:sz w:val="16"/>
          <w:szCs w:val="16"/>
        </w:rPr>
        <w:t>fintechs</w:t>
      </w:r>
      <w:proofErr w:type="spellEnd"/>
      <w:r w:rsidRPr="00876E8C">
        <w:rPr>
          <w:sz w:val="16"/>
          <w:szCs w:val="16"/>
        </w:rPr>
        <w:t xml:space="preserve"> to embed account</w:t>
      </w:r>
      <w:r w:rsidRPr="00876E8C">
        <w:rPr>
          <w:sz w:val="16"/>
          <w:szCs w:val="16"/>
        </w:rPr>
        <w:noBreakHyphen/>
        <w:t>to</w:t>
      </w:r>
      <w:r w:rsidRPr="00876E8C">
        <w:rPr>
          <w:sz w:val="16"/>
          <w:szCs w:val="16"/>
        </w:rPr>
        <w:noBreakHyphen/>
        <w:t xml:space="preserve">account payments, </w:t>
      </w:r>
      <w:proofErr w:type="gramStart"/>
      <w:r w:rsidRPr="00876E8C">
        <w:rPr>
          <w:sz w:val="16"/>
          <w:szCs w:val="16"/>
        </w:rPr>
        <w:t>lending</w:t>
      </w:r>
      <w:proofErr w:type="gramEnd"/>
      <w:r w:rsidRPr="00876E8C">
        <w:rPr>
          <w:sz w:val="16"/>
          <w:szCs w:val="16"/>
        </w:rPr>
        <w:t xml:space="preserve"> and insurance into non</w:t>
      </w:r>
      <w:r w:rsidRPr="00876E8C">
        <w:rPr>
          <w:sz w:val="16"/>
          <w:szCs w:val="16"/>
        </w:rPr>
        <w:noBreakHyphen/>
        <w:t>financial platforms. In Europe, PSD3/PSR – expected in 2026 – similarly extends strong</w:t>
      </w:r>
      <w:r w:rsidRPr="00876E8C">
        <w:rPr>
          <w:sz w:val="16"/>
          <w:szCs w:val="16"/>
        </w:rPr>
        <w:noBreakHyphen/>
        <w:t>customer</w:t>
      </w:r>
      <w:r w:rsidRPr="00876E8C">
        <w:rPr>
          <w:sz w:val="16"/>
          <w:szCs w:val="16"/>
        </w:rPr>
        <w:noBreakHyphen/>
        <w:t>authentication rules, introduces stricter API</w:t>
      </w:r>
      <w:r w:rsidRPr="00876E8C">
        <w:rPr>
          <w:sz w:val="16"/>
          <w:szCs w:val="16"/>
        </w:rPr>
        <w:noBreakHyphen/>
        <w:t xml:space="preserve">performance </w:t>
      </w:r>
      <w:proofErr w:type="gramStart"/>
      <w:r w:rsidRPr="00876E8C">
        <w:rPr>
          <w:sz w:val="16"/>
          <w:szCs w:val="16"/>
        </w:rPr>
        <w:t>requirements</w:t>
      </w:r>
      <w:proofErr w:type="gramEnd"/>
      <w:r w:rsidRPr="00876E8C">
        <w:rPr>
          <w:sz w:val="16"/>
          <w:szCs w:val="16"/>
        </w:rPr>
        <w:t xml:space="preserve"> and </w:t>
      </w:r>
      <w:proofErr w:type="spellStart"/>
      <w:r w:rsidRPr="00876E8C">
        <w:rPr>
          <w:sz w:val="16"/>
          <w:szCs w:val="16"/>
        </w:rPr>
        <w:t>harmonises</w:t>
      </w:r>
      <w:proofErr w:type="spellEnd"/>
      <w:r w:rsidRPr="00876E8C">
        <w:rPr>
          <w:sz w:val="16"/>
          <w:szCs w:val="16"/>
        </w:rPr>
        <w:t xml:space="preserve"> licensing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45AA1FD0" wp14:editId="00032D37">
                <wp:extent cx="304800" cy="304800"/>
                <wp:effectExtent l="0" t="0" r="0" b="0"/>
                <wp:docPr id="1904306275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CFD16" id="Rectangle 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 xml:space="preserve">finextra.com. Industry commentary suggests compliance obligations will </w:t>
      </w:r>
      <w:proofErr w:type="gramStart"/>
      <w:r w:rsidRPr="00876E8C">
        <w:rPr>
          <w:sz w:val="16"/>
          <w:szCs w:val="16"/>
        </w:rPr>
        <w:t>likely begin</w:t>
      </w:r>
      <w:proofErr w:type="gramEnd"/>
      <w:r w:rsidRPr="00876E8C">
        <w:rPr>
          <w:sz w:val="16"/>
          <w:szCs w:val="16"/>
        </w:rPr>
        <w:t xml:space="preserve"> in late 2027 or early 2028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2A9355AA" wp14:editId="1A3AB7F3">
                <wp:extent cx="304800" cy="304800"/>
                <wp:effectExtent l="0" t="0" r="0" b="0"/>
                <wp:docPr id="1587336728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8D8C4" id="Rectangle 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>finologee.com, aligning with cross</w:t>
      </w:r>
      <w:r w:rsidRPr="00876E8C">
        <w:rPr>
          <w:sz w:val="16"/>
          <w:szCs w:val="16"/>
        </w:rPr>
        <w:noBreakHyphen/>
        <w:t>border payment deadlines and the EU’s instant</w:t>
      </w:r>
      <w:r w:rsidRPr="00876E8C">
        <w:rPr>
          <w:sz w:val="16"/>
          <w:szCs w:val="16"/>
        </w:rPr>
        <w:noBreakHyphen/>
        <w:t>payments regulation. These frameworks create the regulatory plumbing for embedded finance, but cross</w:t>
      </w:r>
      <w:r w:rsidRPr="00876E8C">
        <w:rPr>
          <w:sz w:val="16"/>
          <w:szCs w:val="16"/>
        </w:rPr>
        <w:noBreakHyphen/>
        <w:t>cutting factors such as stablecoin legislation (e.g., the U.S. GENIUS Act introduced May 2025</w:t>
      </w:r>
      <w:hyperlink r:id="rId70" w:anchor=":~:text=Guiding%20and%20Establishing%20National%20Innovation,Act%20or%20the%20GENIUS%20Act" w:tgtFrame="_blank" w:history="1">
        <w:r w:rsidRPr="00876E8C">
          <w:rPr>
            <w:rStyle w:val="Hyperlink"/>
            <w:sz w:val="16"/>
            <w:szCs w:val="16"/>
          </w:rPr>
          <w:t>congress.gov</w:t>
        </w:r>
      </w:hyperlink>
      <w:r w:rsidRPr="00876E8C">
        <w:rPr>
          <w:sz w:val="16"/>
          <w:szCs w:val="16"/>
        </w:rPr>
        <w:t>) and digital identity adoption (EUDI wallets by December 2026</w:t>
      </w:r>
      <w:hyperlink r:id="rId71" w:anchor=":~:text=by%20late%20December%202026.,28" w:tgtFrame="_blank" w:history="1">
        <w:r w:rsidRPr="00876E8C">
          <w:rPr>
            <w:rStyle w:val="Hyperlink"/>
            <w:sz w:val="16"/>
            <w:szCs w:val="16"/>
          </w:rPr>
          <w:t>en.wikipedia.org</w:t>
        </w:r>
      </w:hyperlink>
      <w:r w:rsidRPr="00876E8C">
        <w:rPr>
          <w:sz w:val="16"/>
          <w:szCs w:val="16"/>
        </w:rPr>
        <w:t xml:space="preserve">) will influence product design and compliance. </w:t>
      </w:r>
      <w:proofErr w:type="gramStart"/>
      <w:r w:rsidRPr="00876E8C">
        <w:rPr>
          <w:sz w:val="16"/>
          <w:szCs w:val="16"/>
        </w:rPr>
        <w:t>Ultimately, embedded</w:t>
      </w:r>
      <w:proofErr w:type="gramEnd"/>
      <w:r w:rsidRPr="00876E8C">
        <w:rPr>
          <w:sz w:val="16"/>
          <w:szCs w:val="16"/>
        </w:rPr>
        <w:t xml:space="preserve"> finance is moving from a largely unregulated API</w:t>
      </w:r>
      <w:r w:rsidRPr="00876E8C">
        <w:rPr>
          <w:sz w:val="16"/>
          <w:szCs w:val="16"/>
        </w:rPr>
        <w:noBreakHyphen/>
        <w:t>ecosystem to a structured environment with defined data</w:t>
      </w:r>
      <w:r w:rsidRPr="00876E8C">
        <w:rPr>
          <w:sz w:val="16"/>
          <w:szCs w:val="16"/>
        </w:rPr>
        <w:noBreakHyphen/>
        <w:t>sharing rights, licensing standards and digital identity requirements. Achieving the G20 cost and speed targets for cross</w:t>
      </w:r>
      <w:r w:rsidRPr="00876E8C">
        <w:rPr>
          <w:sz w:val="16"/>
          <w:szCs w:val="16"/>
        </w:rPr>
        <w:noBreakHyphen/>
        <w:t>border payments will further reduce friction for embedded</w:t>
      </w:r>
      <w:r w:rsidRPr="00876E8C">
        <w:rPr>
          <w:sz w:val="16"/>
          <w:szCs w:val="16"/>
        </w:rPr>
        <w:noBreakHyphen/>
        <w:t>finance providers serving multi</w:t>
      </w:r>
      <w:r w:rsidRPr="00876E8C">
        <w:rPr>
          <w:sz w:val="16"/>
          <w:szCs w:val="16"/>
        </w:rPr>
        <w:noBreakHyphen/>
        <w:t>country merchants and platforms.</w:t>
      </w:r>
    </w:p>
    <w:p w14:paraId="657A37F5" w14:textId="4390C120" w:rsidR="00876E8C" w:rsidRPr="00876E8C" w:rsidRDefault="00876E8C" w:rsidP="00876E8C">
      <w:p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3. Digital Wallets &amp; Assets (DW)</w:t>
      </w:r>
      <w:r w:rsidRPr="00876E8C">
        <w:rPr>
          <w:sz w:val="16"/>
          <w:szCs w:val="16"/>
        </w:rPr>
        <w:t xml:space="preserve"> – Digital wallets are transitioning from simple card containers to multi</w:t>
      </w:r>
      <w:r w:rsidRPr="00876E8C">
        <w:rPr>
          <w:sz w:val="16"/>
          <w:szCs w:val="16"/>
        </w:rPr>
        <w:noBreakHyphen/>
        <w:t>asset platforms supporting identity credentials, stablecoins and, potentially, central</w:t>
      </w:r>
      <w:r w:rsidRPr="00876E8C">
        <w:rPr>
          <w:sz w:val="16"/>
          <w:szCs w:val="16"/>
        </w:rPr>
        <w:noBreakHyphen/>
        <w:t>bank digital currency (CBDC). Europe’s EUDI regulation requires each member state to issue at least one government</w:t>
      </w:r>
      <w:r w:rsidRPr="00876E8C">
        <w:rPr>
          <w:sz w:val="16"/>
          <w:szCs w:val="16"/>
        </w:rPr>
        <w:noBreakHyphen/>
        <w:t>certified digital identity wallet by December 2026 and obliges banks, telecoms and other high</w:t>
      </w:r>
      <w:r w:rsidRPr="00876E8C">
        <w:rPr>
          <w:sz w:val="16"/>
          <w:szCs w:val="16"/>
        </w:rPr>
        <w:noBreakHyphen/>
        <w:t>impact firms to accept these wallets by December 2027</w:t>
      </w:r>
      <w:hyperlink r:id="rId72" w:anchor=":~:text=by%20late%20December%202026.,28" w:tgtFrame="_blank" w:history="1">
        <w:r w:rsidRPr="00876E8C">
          <w:rPr>
            <w:rStyle w:val="Hyperlink"/>
            <w:sz w:val="16"/>
            <w:szCs w:val="16"/>
          </w:rPr>
          <w:t>en.wikipedia.org</w:t>
        </w:r>
      </w:hyperlink>
      <w:r w:rsidRPr="00876E8C">
        <w:rPr>
          <w:sz w:val="16"/>
          <w:szCs w:val="16"/>
        </w:rPr>
        <w:t>. The EU’s Digital Decade target aims for 80 % of citizens to use such digital IDs by 2030, making digital identity an anchor of wallet ecosystems. In parallel, the ECB’s digital</w:t>
      </w:r>
      <w:r w:rsidRPr="00876E8C">
        <w:rPr>
          <w:sz w:val="16"/>
          <w:szCs w:val="16"/>
        </w:rPr>
        <w:noBreakHyphen/>
        <w:t>euro project will move to a pilot phase in mid</w:t>
      </w:r>
      <w:r w:rsidRPr="00876E8C">
        <w:rPr>
          <w:sz w:val="16"/>
          <w:szCs w:val="16"/>
        </w:rPr>
        <w:noBreakHyphen/>
        <w:t>2027, with President Christine Lagarde targeting first issuance in 2029, subject to 2026 legislation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714A3232" wp14:editId="376BF487">
                <wp:extent cx="304800" cy="304800"/>
                <wp:effectExtent l="0" t="0" r="0" b="0"/>
                <wp:docPr id="765944751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942DE" id="Rectangle 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>coinedition.com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4674A764" wp14:editId="6A821A02">
                <wp:extent cx="304800" cy="304800"/>
                <wp:effectExtent l="0" t="0" r="0" b="0"/>
                <wp:docPr id="349071493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E2AE0" id="Rectangle 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>coinedition.com. A euro CBDC could provide a public, programmable settlement asset for wallets and cross</w:t>
      </w:r>
      <w:r w:rsidRPr="00876E8C">
        <w:rPr>
          <w:sz w:val="16"/>
          <w:szCs w:val="16"/>
        </w:rPr>
        <w:noBreakHyphen/>
        <w:t>border transactions. In the U.S., the GENIUS Act introduced in May 2025 proposes a licensing and reserve regime for payment stablecoins</w:t>
      </w:r>
      <w:hyperlink r:id="rId73" w:anchor=":~:text=Guiding%20and%20Establishing%20National%20Innovation,Act%20or%20the%20GENIUS%20Act" w:tgtFrame="_blank" w:history="1">
        <w:r w:rsidRPr="00876E8C">
          <w:rPr>
            <w:rStyle w:val="Hyperlink"/>
            <w:sz w:val="16"/>
            <w:szCs w:val="16"/>
          </w:rPr>
          <w:t>congress.gov</w:t>
        </w:r>
      </w:hyperlink>
      <w:r w:rsidRPr="00876E8C">
        <w:rPr>
          <w:sz w:val="16"/>
          <w:szCs w:val="16"/>
        </w:rPr>
        <w:t>; while still a bill, it signals lawmakers’ intent to integrate stablecoins into the regulated financial system. Global standards are also evolving: the FATF’s updated Travel Rule applies to crypto</w:t>
      </w:r>
      <w:r w:rsidRPr="00876E8C">
        <w:rPr>
          <w:sz w:val="16"/>
          <w:szCs w:val="16"/>
        </w:rPr>
        <w:noBreakHyphen/>
        <w:t>asset service providers</w:t>
      </w:r>
      <w:hyperlink r:id="rId74" w:anchor=":~:text=18%20June%202025" w:tgtFrame="_blank" w:history="1">
        <w:r w:rsidRPr="00876E8C">
          <w:rPr>
            <w:rStyle w:val="Hyperlink"/>
            <w:sz w:val="16"/>
            <w:szCs w:val="16"/>
          </w:rPr>
          <w:t>fatf-gafi.org</w:t>
        </w:r>
      </w:hyperlink>
      <w:r w:rsidRPr="00876E8C">
        <w:rPr>
          <w:sz w:val="16"/>
          <w:szCs w:val="16"/>
        </w:rPr>
        <w:t xml:space="preserve">, and ISO 20022 migration (November 2025 deadline) provides a common data language for </w:t>
      </w:r>
      <w:proofErr w:type="spellStart"/>
      <w:r w:rsidRPr="00876E8C">
        <w:rPr>
          <w:sz w:val="16"/>
          <w:szCs w:val="16"/>
        </w:rPr>
        <w:t>tokenised</w:t>
      </w:r>
      <w:proofErr w:type="spellEnd"/>
      <w:r w:rsidRPr="00876E8C">
        <w:rPr>
          <w:sz w:val="16"/>
          <w:szCs w:val="16"/>
        </w:rPr>
        <w:t xml:space="preserve"> payments. Together, these developments will determine how digital wallets store and move fiat, stablecoins, tokens and identity credentials. The cross</w:t>
      </w:r>
      <w:r w:rsidRPr="00876E8C">
        <w:rPr>
          <w:sz w:val="16"/>
          <w:szCs w:val="16"/>
        </w:rPr>
        <w:noBreakHyphen/>
        <w:t>cutting nature of these events means wallet providers must design for compliance, interoperability and emerging CBDCs while seizing embedded</w:t>
      </w:r>
      <w:r w:rsidRPr="00876E8C">
        <w:rPr>
          <w:sz w:val="16"/>
          <w:szCs w:val="16"/>
        </w:rPr>
        <w:noBreakHyphen/>
        <w:t>finance and cross</w:t>
      </w:r>
      <w:r w:rsidRPr="00876E8C">
        <w:rPr>
          <w:sz w:val="16"/>
          <w:szCs w:val="16"/>
        </w:rPr>
        <w:noBreakHyphen/>
        <w:t>border opportunities.</w:t>
      </w:r>
    </w:p>
    <w:p w14:paraId="1CC19549" w14:textId="1D6F690B" w:rsidR="00876E8C" w:rsidRPr="00876E8C" w:rsidRDefault="00876E8C" w:rsidP="00876E8C">
      <w:p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4. Real</w:t>
      </w:r>
      <w:r w:rsidRPr="00876E8C">
        <w:rPr>
          <w:b/>
          <w:bCs/>
          <w:sz w:val="16"/>
          <w:szCs w:val="16"/>
        </w:rPr>
        <w:noBreakHyphen/>
        <w:t>Time &amp; Account</w:t>
      </w:r>
      <w:r w:rsidRPr="00876E8C">
        <w:rPr>
          <w:b/>
          <w:bCs/>
          <w:sz w:val="16"/>
          <w:szCs w:val="16"/>
        </w:rPr>
        <w:noBreakHyphen/>
        <w:t>to</w:t>
      </w:r>
      <w:r w:rsidRPr="00876E8C">
        <w:rPr>
          <w:b/>
          <w:bCs/>
          <w:sz w:val="16"/>
          <w:szCs w:val="16"/>
        </w:rPr>
        <w:noBreakHyphen/>
        <w:t>Account Payments (RTP/A2A)</w:t>
      </w:r>
      <w:r w:rsidRPr="00876E8C">
        <w:rPr>
          <w:sz w:val="16"/>
          <w:szCs w:val="16"/>
        </w:rPr>
        <w:t xml:space="preserve"> – Real</w:t>
      </w:r>
      <w:r w:rsidRPr="00876E8C">
        <w:rPr>
          <w:sz w:val="16"/>
          <w:szCs w:val="16"/>
        </w:rPr>
        <w:noBreakHyphen/>
        <w:t>time payment infrastructure continues to expand. Europe’s IPR compels banks to offer 10</w:t>
      </w:r>
      <w:r w:rsidRPr="00876E8C">
        <w:rPr>
          <w:sz w:val="16"/>
          <w:szCs w:val="16"/>
        </w:rPr>
        <w:noBreakHyphen/>
        <w:t>second instant credit transfers from January 2025</w:t>
      </w:r>
      <w:hyperlink r:id="rId75" w:anchor=":~:text=Regulation%20,and%209%20October%202025%20respectively" w:tgtFrame="_blank" w:history="1">
        <w:r w:rsidRPr="00876E8C">
          <w:rPr>
            <w:rStyle w:val="Hyperlink"/>
            <w:sz w:val="16"/>
            <w:szCs w:val="16"/>
          </w:rPr>
          <w:t>europeanpaymentscouncil.eu</w:t>
        </w:r>
      </w:hyperlink>
      <w:r w:rsidRPr="00876E8C">
        <w:rPr>
          <w:sz w:val="16"/>
          <w:szCs w:val="16"/>
        </w:rPr>
        <w:t>, while SWIFT and ISO 20022 migrations improve cross</w:t>
      </w:r>
      <w:r w:rsidRPr="00876E8C">
        <w:rPr>
          <w:sz w:val="16"/>
          <w:szCs w:val="16"/>
        </w:rPr>
        <w:noBreakHyphen/>
        <w:t xml:space="preserve">border alignment. In the U.S., </w:t>
      </w:r>
      <w:proofErr w:type="spellStart"/>
      <w:r w:rsidRPr="00876E8C">
        <w:rPr>
          <w:sz w:val="16"/>
          <w:szCs w:val="16"/>
        </w:rPr>
        <w:t>FedNow</w:t>
      </w:r>
      <w:proofErr w:type="spellEnd"/>
      <w:r w:rsidRPr="00876E8C">
        <w:rPr>
          <w:sz w:val="16"/>
          <w:szCs w:val="16"/>
        </w:rPr>
        <w:t xml:space="preserve"> (launched 2023) and the Clearing House’s RTP network are scaling up; however, the major structural change between 2025 and 2030 is the phased implementation of open</w:t>
      </w:r>
      <w:r w:rsidRPr="00876E8C">
        <w:rPr>
          <w:sz w:val="16"/>
          <w:szCs w:val="16"/>
        </w:rPr>
        <w:noBreakHyphen/>
        <w:t>banking rules. By requiring banks to provide API</w:t>
      </w:r>
      <w:r w:rsidRPr="00876E8C">
        <w:rPr>
          <w:sz w:val="16"/>
          <w:szCs w:val="16"/>
        </w:rPr>
        <w:noBreakHyphen/>
        <w:t xml:space="preserve">based data access, the CFPB’s rule enables </w:t>
      </w:r>
      <w:proofErr w:type="spellStart"/>
      <w:r w:rsidRPr="00876E8C">
        <w:rPr>
          <w:sz w:val="16"/>
          <w:szCs w:val="16"/>
        </w:rPr>
        <w:t>fintechs</w:t>
      </w:r>
      <w:proofErr w:type="spellEnd"/>
      <w:r w:rsidRPr="00876E8C">
        <w:rPr>
          <w:sz w:val="16"/>
          <w:szCs w:val="16"/>
        </w:rPr>
        <w:t xml:space="preserve"> and merchants to initiate account</w:t>
      </w:r>
      <w:r w:rsidRPr="00876E8C">
        <w:rPr>
          <w:sz w:val="16"/>
          <w:szCs w:val="16"/>
        </w:rPr>
        <w:noBreakHyphen/>
        <w:t>to</w:t>
      </w:r>
      <w:r w:rsidRPr="00876E8C">
        <w:rPr>
          <w:sz w:val="16"/>
          <w:szCs w:val="16"/>
        </w:rPr>
        <w:noBreakHyphen/>
        <w:t>account payments directly, bypassing cards. Compliance dates in 2026, 2027, 2028, 2029 and 2030 create clear milestones for adoption</w:t>
      </w:r>
      <w:hyperlink r:id="rId76" w:anchor=":~:text=%28b%29%20Initial%20compliance%20dates,of%20this%20part%20beginning%20on" w:tgtFrame="_blank" w:history="1">
        <w:r w:rsidRPr="00876E8C">
          <w:rPr>
            <w:rStyle w:val="Hyperlink"/>
            <w:sz w:val="16"/>
            <w:szCs w:val="16"/>
          </w:rPr>
          <w:t>consumerfinance.gov</w:t>
        </w:r>
      </w:hyperlink>
      <w:r w:rsidRPr="00876E8C">
        <w:rPr>
          <w:sz w:val="16"/>
          <w:szCs w:val="16"/>
        </w:rPr>
        <w:t xml:space="preserve">. On a global scale, the G20 targets for 2027 and 2030 set expectations for speed (75 % within one hour) and cost (≤3 % by 2030), </w:t>
      </w:r>
      <w:r w:rsidRPr="00876E8C">
        <w:rPr>
          <w:sz w:val="16"/>
          <w:szCs w:val="16"/>
        </w:rPr>
        <w:lastRenderedPageBreak/>
        <w:t>encouraging interlinking of domestic real</w:t>
      </w:r>
      <w:r w:rsidRPr="00876E8C">
        <w:rPr>
          <w:sz w:val="16"/>
          <w:szCs w:val="16"/>
        </w:rPr>
        <w:noBreakHyphen/>
        <w:t>time systems. The digital</w:t>
      </w:r>
      <w:r w:rsidRPr="00876E8C">
        <w:rPr>
          <w:sz w:val="16"/>
          <w:szCs w:val="16"/>
        </w:rPr>
        <w:noBreakHyphen/>
        <w:t>euro pilot and eventual launch may also leverage instant</w:t>
      </w:r>
      <w:r w:rsidRPr="00876E8C">
        <w:rPr>
          <w:sz w:val="16"/>
          <w:szCs w:val="16"/>
        </w:rPr>
        <w:noBreakHyphen/>
        <w:t>payment rails for settlement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044691A8" wp14:editId="43C2A637">
                <wp:extent cx="304800" cy="304800"/>
                <wp:effectExtent l="0" t="0" r="0" b="0"/>
                <wp:docPr id="735945130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9CD07F" id="Rectangle 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>coinedition.com. Real</w:t>
      </w:r>
      <w:r w:rsidRPr="00876E8C">
        <w:rPr>
          <w:sz w:val="16"/>
          <w:szCs w:val="16"/>
        </w:rPr>
        <w:noBreakHyphen/>
        <w:t>time payment platforms will therefore evolve from domestic rails to components of an interconnected network supporting cross</w:t>
      </w:r>
      <w:r w:rsidRPr="00876E8C">
        <w:rPr>
          <w:sz w:val="16"/>
          <w:szCs w:val="16"/>
        </w:rPr>
        <w:noBreakHyphen/>
        <w:t xml:space="preserve">border transfers, digital </w:t>
      </w:r>
      <w:proofErr w:type="gramStart"/>
      <w:r w:rsidRPr="00876E8C">
        <w:rPr>
          <w:sz w:val="16"/>
          <w:szCs w:val="16"/>
        </w:rPr>
        <w:t>identities</w:t>
      </w:r>
      <w:proofErr w:type="gramEnd"/>
      <w:r w:rsidRPr="00876E8C">
        <w:rPr>
          <w:sz w:val="16"/>
          <w:szCs w:val="16"/>
        </w:rPr>
        <w:t xml:space="preserve"> and </w:t>
      </w:r>
      <w:proofErr w:type="spellStart"/>
      <w:r w:rsidRPr="00876E8C">
        <w:rPr>
          <w:sz w:val="16"/>
          <w:szCs w:val="16"/>
        </w:rPr>
        <w:t>tokenised</w:t>
      </w:r>
      <w:proofErr w:type="spellEnd"/>
      <w:r w:rsidRPr="00876E8C">
        <w:rPr>
          <w:sz w:val="16"/>
          <w:szCs w:val="16"/>
        </w:rPr>
        <w:t xml:space="preserve"> assets.</w:t>
      </w:r>
    </w:p>
    <w:p w14:paraId="4988DED8" w14:textId="77777777" w:rsidR="00876E8C" w:rsidRPr="00876E8C" w:rsidRDefault="00876E8C" w:rsidP="00876E8C">
      <w:p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Concluding Insight</w:t>
      </w:r>
      <w:r w:rsidRPr="00876E8C">
        <w:rPr>
          <w:sz w:val="16"/>
          <w:szCs w:val="16"/>
        </w:rPr>
        <w:t xml:space="preserve"> – The 2025–2030 horizon for payments </w:t>
      </w:r>
      <w:proofErr w:type="gramStart"/>
      <w:r w:rsidRPr="00876E8C">
        <w:rPr>
          <w:sz w:val="16"/>
          <w:szCs w:val="16"/>
        </w:rPr>
        <w:t>is defined</w:t>
      </w:r>
      <w:proofErr w:type="gramEnd"/>
      <w:r w:rsidRPr="00876E8C">
        <w:rPr>
          <w:sz w:val="16"/>
          <w:szCs w:val="16"/>
        </w:rPr>
        <w:t xml:space="preserve"> by policy implementation rather than entirely new inventions. Major regulations—IPR, PSD3/PSR, Section 1033 open banking, EUDI and the FATF Travel</w:t>
      </w:r>
      <w:r w:rsidRPr="00876E8C">
        <w:rPr>
          <w:sz w:val="16"/>
          <w:szCs w:val="16"/>
        </w:rPr>
        <w:noBreakHyphen/>
        <w:t xml:space="preserve">Rule update—are due to take effect or reach enforcement thresholds within this window, compelling banks and </w:t>
      </w:r>
      <w:proofErr w:type="spellStart"/>
      <w:r w:rsidRPr="00876E8C">
        <w:rPr>
          <w:sz w:val="16"/>
          <w:szCs w:val="16"/>
        </w:rPr>
        <w:t>fintechs</w:t>
      </w:r>
      <w:proofErr w:type="spellEnd"/>
      <w:r w:rsidRPr="00876E8C">
        <w:rPr>
          <w:sz w:val="16"/>
          <w:szCs w:val="16"/>
        </w:rPr>
        <w:t xml:space="preserve"> to invest in </w:t>
      </w:r>
      <w:proofErr w:type="spellStart"/>
      <w:r w:rsidRPr="00876E8C">
        <w:rPr>
          <w:sz w:val="16"/>
          <w:szCs w:val="16"/>
        </w:rPr>
        <w:t>standardised</w:t>
      </w:r>
      <w:proofErr w:type="spellEnd"/>
      <w:r w:rsidRPr="00876E8C">
        <w:rPr>
          <w:sz w:val="16"/>
          <w:szCs w:val="16"/>
        </w:rPr>
        <w:t xml:space="preserve"> data formats (ISO 20022), compliance automation and open APIs. These regulatory anchor points, along with the G20’s quantitative targets, create a convergence across the four </w:t>
      </w:r>
      <w:proofErr w:type="spellStart"/>
      <w:r w:rsidRPr="00876E8C">
        <w:rPr>
          <w:sz w:val="16"/>
          <w:szCs w:val="16"/>
        </w:rPr>
        <w:t>swimlanes</w:t>
      </w:r>
      <w:proofErr w:type="spellEnd"/>
      <w:r w:rsidRPr="00876E8C">
        <w:rPr>
          <w:sz w:val="16"/>
          <w:szCs w:val="16"/>
        </w:rPr>
        <w:t>: cross</w:t>
      </w:r>
      <w:r w:rsidRPr="00876E8C">
        <w:rPr>
          <w:sz w:val="16"/>
          <w:szCs w:val="16"/>
        </w:rPr>
        <w:noBreakHyphen/>
        <w:t>border payment providers must adopt instant</w:t>
      </w:r>
      <w:r w:rsidRPr="00876E8C">
        <w:rPr>
          <w:sz w:val="16"/>
          <w:szCs w:val="16"/>
        </w:rPr>
        <w:noBreakHyphen/>
        <w:t>payment standards and travel</w:t>
      </w:r>
      <w:r w:rsidRPr="00876E8C">
        <w:rPr>
          <w:sz w:val="16"/>
          <w:szCs w:val="16"/>
        </w:rPr>
        <w:noBreakHyphen/>
        <w:t>rule compliance; embedded</w:t>
      </w:r>
      <w:r w:rsidRPr="00876E8C">
        <w:rPr>
          <w:sz w:val="16"/>
          <w:szCs w:val="16"/>
        </w:rPr>
        <w:noBreakHyphen/>
        <w:t>finance platforms need open</w:t>
      </w:r>
      <w:r w:rsidRPr="00876E8C">
        <w:rPr>
          <w:sz w:val="16"/>
          <w:szCs w:val="16"/>
        </w:rPr>
        <w:noBreakHyphen/>
        <w:t>banking APIs and digital</w:t>
      </w:r>
      <w:r w:rsidRPr="00876E8C">
        <w:rPr>
          <w:sz w:val="16"/>
          <w:szCs w:val="16"/>
        </w:rPr>
        <w:noBreakHyphen/>
        <w:t>ID verification; digital</w:t>
      </w:r>
      <w:r w:rsidRPr="00876E8C">
        <w:rPr>
          <w:sz w:val="16"/>
          <w:szCs w:val="16"/>
        </w:rPr>
        <w:noBreakHyphen/>
        <w:t>wallet providers prepare for stablecoin rules and CBDCs; and real</w:t>
      </w:r>
      <w:r w:rsidRPr="00876E8C">
        <w:rPr>
          <w:sz w:val="16"/>
          <w:szCs w:val="16"/>
        </w:rPr>
        <w:noBreakHyphen/>
        <w:t xml:space="preserve">time payment systems adopt ISO 20022 and interlink across borders. The resulting ecosystem will be more interoperable, </w:t>
      </w:r>
      <w:proofErr w:type="gramStart"/>
      <w:r w:rsidRPr="00876E8C">
        <w:rPr>
          <w:sz w:val="16"/>
          <w:szCs w:val="16"/>
        </w:rPr>
        <w:t>transparent</w:t>
      </w:r>
      <w:proofErr w:type="gramEnd"/>
      <w:r w:rsidRPr="00876E8C">
        <w:rPr>
          <w:sz w:val="16"/>
          <w:szCs w:val="16"/>
        </w:rPr>
        <w:t xml:space="preserve"> and inclusive—but only if industry and regulators sustain momentum beyond the 2027 milestone towards the 2030 end</w:t>
      </w:r>
      <w:r w:rsidRPr="00876E8C">
        <w:rPr>
          <w:sz w:val="16"/>
          <w:szCs w:val="16"/>
        </w:rPr>
        <w:noBreakHyphen/>
        <w:t>goals.</w:t>
      </w:r>
    </w:p>
    <w:p w14:paraId="22D9EFB1" w14:textId="77777777" w:rsidR="00876E8C" w:rsidRPr="00876E8C" w:rsidRDefault="00876E8C" w:rsidP="00876E8C">
      <w:pPr>
        <w:rPr>
          <w:b/>
          <w:bCs/>
          <w:sz w:val="16"/>
          <w:szCs w:val="16"/>
        </w:rPr>
      </w:pPr>
      <w:r w:rsidRPr="00876E8C">
        <w:rPr>
          <w:b/>
          <w:bCs/>
          <w:sz w:val="16"/>
          <w:szCs w:val="16"/>
        </w:rPr>
        <w:t>References</w:t>
      </w:r>
    </w:p>
    <w:p w14:paraId="1DCD305F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[EPC IPR 2025]</w:t>
      </w:r>
      <w:r w:rsidRPr="00876E8C">
        <w:rPr>
          <w:sz w:val="16"/>
          <w:szCs w:val="16"/>
        </w:rPr>
        <w:t xml:space="preserve"> – European Payments Council. </w:t>
      </w:r>
      <w:r w:rsidRPr="00876E8C">
        <w:rPr>
          <w:i/>
          <w:iCs/>
          <w:sz w:val="16"/>
          <w:szCs w:val="16"/>
        </w:rPr>
        <w:t>Regulation (EU) 2024/886 on instant credit transfers in euro (Instant Payments Regulation).</w:t>
      </w:r>
      <w:r w:rsidRPr="00876E8C">
        <w:rPr>
          <w:sz w:val="16"/>
          <w:szCs w:val="16"/>
        </w:rPr>
        <w:t xml:space="preserve"> 2024. Lines citing compliance dates</w:t>
      </w:r>
      <w:hyperlink r:id="rId77" w:anchor=":~:text=Regulation%20,and%209%20October%202025%20respectively" w:tgtFrame="_blank" w:history="1">
        <w:r w:rsidRPr="00876E8C">
          <w:rPr>
            <w:rStyle w:val="Hyperlink"/>
            <w:sz w:val="16"/>
            <w:szCs w:val="16"/>
          </w:rPr>
          <w:t>europeanpaymentscouncil.eu</w:t>
        </w:r>
      </w:hyperlink>
      <w:r w:rsidRPr="00876E8C">
        <w:rPr>
          <w:sz w:val="16"/>
          <w:szCs w:val="16"/>
        </w:rPr>
        <w:t>.</w:t>
      </w:r>
    </w:p>
    <w:p w14:paraId="63C56288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[GENIUS Act 2025]</w:t>
      </w:r>
      <w:r w:rsidRPr="00876E8C">
        <w:rPr>
          <w:sz w:val="16"/>
          <w:szCs w:val="16"/>
        </w:rPr>
        <w:t xml:space="preserve"> – U.S. Congress. </w:t>
      </w:r>
      <w:r w:rsidRPr="00876E8C">
        <w:rPr>
          <w:i/>
          <w:iCs/>
          <w:sz w:val="16"/>
          <w:szCs w:val="16"/>
        </w:rPr>
        <w:t>Guiding and Establishing National Innovation for U.S. Stablecoins (GENIUS) Act (S.1582),</w:t>
      </w:r>
      <w:r w:rsidRPr="00876E8C">
        <w:rPr>
          <w:sz w:val="16"/>
          <w:szCs w:val="16"/>
        </w:rPr>
        <w:t xml:space="preserve"> introduced 1 May 2025. Summary on Congress.gov</w:t>
      </w:r>
      <w:hyperlink r:id="rId78" w:anchor=":~:text=Guiding%20and%20Establishing%20National%20Innovation,Act%20or%20the%20GENIUS%20Act" w:tgtFrame="_blank" w:history="1">
        <w:r w:rsidRPr="00876E8C">
          <w:rPr>
            <w:rStyle w:val="Hyperlink"/>
            <w:sz w:val="16"/>
            <w:szCs w:val="16"/>
          </w:rPr>
          <w:t>congress.gov</w:t>
        </w:r>
      </w:hyperlink>
      <w:r w:rsidRPr="00876E8C">
        <w:rPr>
          <w:sz w:val="16"/>
          <w:szCs w:val="16"/>
        </w:rPr>
        <w:t>.</w:t>
      </w:r>
    </w:p>
    <w:p w14:paraId="2661FA30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[FATF Rec16 2025]</w:t>
      </w:r>
      <w:r w:rsidRPr="00876E8C">
        <w:rPr>
          <w:sz w:val="16"/>
          <w:szCs w:val="16"/>
        </w:rPr>
        <w:t xml:space="preserve"> – Financial Action Task Force. </w:t>
      </w:r>
      <w:r w:rsidRPr="00876E8C">
        <w:rPr>
          <w:i/>
          <w:iCs/>
          <w:sz w:val="16"/>
          <w:szCs w:val="16"/>
        </w:rPr>
        <w:t>Plenary outcomes—updates to Recommendation 16.</w:t>
      </w:r>
      <w:r w:rsidRPr="00876E8C">
        <w:rPr>
          <w:sz w:val="16"/>
          <w:szCs w:val="16"/>
        </w:rPr>
        <w:t xml:space="preserve"> 18 June 2025</w:t>
      </w:r>
      <w:hyperlink r:id="rId79" w:anchor=":~:text=18%20June%202025" w:tgtFrame="_blank" w:history="1">
        <w:r w:rsidRPr="00876E8C">
          <w:rPr>
            <w:rStyle w:val="Hyperlink"/>
            <w:sz w:val="16"/>
            <w:szCs w:val="16"/>
          </w:rPr>
          <w:t>fatf-gafi.org</w:t>
        </w:r>
      </w:hyperlink>
      <w:r w:rsidRPr="00876E8C">
        <w:rPr>
          <w:sz w:val="16"/>
          <w:szCs w:val="16"/>
        </w:rPr>
        <w:t>.</w:t>
      </w:r>
    </w:p>
    <w:p w14:paraId="17C7C3CE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[SWIFT Rules 2025]</w:t>
      </w:r>
      <w:r w:rsidRPr="00876E8C">
        <w:rPr>
          <w:sz w:val="16"/>
          <w:szCs w:val="16"/>
        </w:rPr>
        <w:t xml:space="preserve"> – SWIFT. </w:t>
      </w:r>
      <w:r w:rsidRPr="00876E8C">
        <w:rPr>
          <w:i/>
          <w:iCs/>
          <w:sz w:val="16"/>
          <w:szCs w:val="16"/>
        </w:rPr>
        <w:t>Press release: New network rules for retail cross</w:t>
      </w:r>
      <w:r w:rsidRPr="00876E8C">
        <w:rPr>
          <w:i/>
          <w:iCs/>
          <w:sz w:val="16"/>
          <w:szCs w:val="16"/>
        </w:rPr>
        <w:noBreakHyphen/>
        <w:t>border payments.</w:t>
      </w:r>
      <w:r w:rsidRPr="00876E8C">
        <w:rPr>
          <w:sz w:val="16"/>
          <w:szCs w:val="16"/>
        </w:rPr>
        <w:t xml:space="preserve"> 25 Sep 2025</w:t>
      </w:r>
      <w:hyperlink r:id="rId80" w:anchor=":~:text=25%20September%202025%20,min%20read" w:tgtFrame="_blank" w:history="1">
        <w:r w:rsidRPr="00876E8C">
          <w:rPr>
            <w:rStyle w:val="Hyperlink"/>
            <w:sz w:val="16"/>
            <w:szCs w:val="16"/>
          </w:rPr>
          <w:t>swift.com</w:t>
        </w:r>
      </w:hyperlink>
      <w:r w:rsidRPr="00876E8C">
        <w:rPr>
          <w:sz w:val="16"/>
          <w:szCs w:val="16"/>
        </w:rPr>
        <w:t>.</w:t>
      </w:r>
    </w:p>
    <w:p w14:paraId="65AF6A6F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[FSB Progress 2025]</w:t>
      </w:r>
      <w:r w:rsidRPr="00876E8C">
        <w:rPr>
          <w:sz w:val="16"/>
          <w:szCs w:val="16"/>
        </w:rPr>
        <w:t xml:space="preserve"> – Financial Stability Board. </w:t>
      </w:r>
      <w:r w:rsidRPr="00876E8C">
        <w:rPr>
          <w:i/>
          <w:iCs/>
          <w:sz w:val="16"/>
          <w:szCs w:val="16"/>
        </w:rPr>
        <w:t>G20 roadmap for enhancing cross</w:t>
      </w:r>
      <w:r w:rsidRPr="00876E8C">
        <w:rPr>
          <w:i/>
          <w:iCs/>
          <w:sz w:val="16"/>
          <w:szCs w:val="16"/>
        </w:rPr>
        <w:noBreakHyphen/>
        <w:t>border payments: consolidated progress report.</w:t>
      </w:r>
      <w:r w:rsidRPr="00876E8C">
        <w:rPr>
          <w:sz w:val="16"/>
          <w:szCs w:val="16"/>
        </w:rPr>
        <w:t xml:space="preserve"> 9 Oct 2025</w:t>
      </w:r>
      <w:hyperlink r:id="rId81" w:anchor=":~:text=achieve%20tangible%20improvements%20in%20cross,payments" w:tgtFrame="_blank" w:history="1">
        <w:r w:rsidRPr="00876E8C">
          <w:rPr>
            <w:rStyle w:val="Hyperlink"/>
            <w:sz w:val="16"/>
            <w:szCs w:val="16"/>
          </w:rPr>
          <w:t>fsb.org</w:t>
        </w:r>
      </w:hyperlink>
      <w:r w:rsidRPr="00876E8C">
        <w:rPr>
          <w:sz w:val="16"/>
          <w:szCs w:val="16"/>
        </w:rPr>
        <w:t>.</w:t>
      </w:r>
    </w:p>
    <w:p w14:paraId="159311CC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[ISO2022 EU 2025]</w:t>
      </w:r>
      <w:r w:rsidRPr="00876E8C">
        <w:rPr>
          <w:sz w:val="16"/>
          <w:szCs w:val="16"/>
        </w:rPr>
        <w:t xml:space="preserve"> – Cross</w:t>
      </w:r>
      <w:r w:rsidRPr="00876E8C">
        <w:rPr>
          <w:sz w:val="16"/>
          <w:szCs w:val="16"/>
        </w:rPr>
        <w:noBreakHyphen/>
        <w:t xml:space="preserve">border payments white paper. </w:t>
      </w:r>
      <w:r w:rsidRPr="00876E8C">
        <w:rPr>
          <w:i/>
          <w:iCs/>
          <w:sz w:val="16"/>
          <w:szCs w:val="16"/>
        </w:rPr>
        <w:t>The Great Bifurcation.</w:t>
      </w:r>
      <w:r w:rsidRPr="00876E8C">
        <w:rPr>
          <w:sz w:val="16"/>
          <w:szCs w:val="16"/>
        </w:rPr>
        <w:t xml:space="preserve"> 2024. Mandates ISO 20022 migration by Nov 2025.</w:t>
      </w:r>
    </w:p>
    <w:p w14:paraId="461E810C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[CFPB 1033 2026]</w:t>
      </w:r>
      <w:proofErr w:type="gramStart"/>
      <w:r w:rsidRPr="00876E8C">
        <w:rPr>
          <w:b/>
          <w:bCs/>
          <w:sz w:val="16"/>
          <w:szCs w:val="16"/>
        </w:rPr>
        <w:t>–[</w:t>
      </w:r>
      <w:proofErr w:type="gramEnd"/>
      <w:r w:rsidRPr="00876E8C">
        <w:rPr>
          <w:b/>
          <w:bCs/>
          <w:sz w:val="16"/>
          <w:szCs w:val="16"/>
        </w:rPr>
        <w:t>CFPB 1033 2030]</w:t>
      </w:r>
      <w:r w:rsidRPr="00876E8C">
        <w:rPr>
          <w:sz w:val="16"/>
          <w:szCs w:val="16"/>
        </w:rPr>
        <w:t xml:space="preserve"> – Consumer Financial Protection Bureau. </w:t>
      </w:r>
      <w:r w:rsidRPr="00876E8C">
        <w:rPr>
          <w:i/>
          <w:iCs/>
          <w:sz w:val="16"/>
          <w:szCs w:val="16"/>
        </w:rPr>
        <w:t>12 CFR §1033 Personal Financial Data Rights – Compliance dates.</w:t>
      </w:r>
      <w:r w:rsidRPr="00876E8C">
        <w:rPr>
          <w:sz w:val="16"/>
          <w:szCs w:val="16"/>
        </w:rPr>
        <w:t xml:space="preserve"> 2024</w:t>
      </w:r>
      <w:hyperlink r:id="rId82" w:anchor=":~:text=%28b%29%20Initial%20compliance%20dates,of%20this%20part%20beginning%20on" w:tgtFrame="_blank" w:history="1">
        <w:r w:rsidRPr="00876E8C">
          <w:rPr>
            <w:rStyle w:val="Hyperlink"/>
            <w:sz w:val="16"/>
            <w:szCs w:val="16"/>
          </w:rPr>
          <w:t>consumerfinance.gov</w:t>
        </w:r>
      </w:hyperlink>
      <w:r w:rsidRPr="00876E8C">
        <w:rPr>
          <w:sz w:val="16"/>
          <w:szCs w:val="16"/>
        </w:rPr>
        <w:t>.</w:t>
      </w:r>
    </w:p>
    <w:p w14:paraId="1B497D35" w14:textId="5ECEFE6B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[PSD3 PSR 2026]</w:t>
      </w:r>
      <w:r w:rsidRPr="00876E8C">
        <w:rPr>
          <w:sz w:val="16"/>
          <w:szCs w:val="16"/>
        </w:rPr>
        <w:t xml:space="preserve"> – </w:t>
      </w:r>
      <w:proofErr w:type="spellStart"/>
      <w:r w:rsidRPr="00876E8C">
        <w:rPr>
          <w:sz w:val="16"/>
          <w:szCs w:val="16"/>
        </w:rPr>
        <w:t>Finextra</w:t>
      </w:r>
      <w:proofErr w:type="spellEnd"/>
      <w:r w:rsidRPr="00876E8C">
        <w:rPr>
          <w:sz w:val="16"/>
          <w:szCs w:val="16"/>
        </w:rPr>
        <w:t xml:space="preserve">. </w:t>
      </w:r>
      <w:r w:rsidRPr="00876E8C">
        <w:rPr>
          <w:i/>
          <w:iCs/>
          <w:sz w:val="16"/>
          <w:szCs w:val="16"/>
        </w:rPr>
        <w:t>What is PSD3? An overview of changes and timelines.</w:t>
      </w:r>
      <w:r w:rsidRPr="00876E8C">
        <w:rPr>
          <w:sz w:val="16"/>
          <w:szCs w:val="16"/>
        </w:rPr>
        <w:t xml:space="preserve"> 16 Feb 2024. Article </w:t>
      </w:r>
      <w:proofErr w:type="spellStart"/>
      <w:r w:rsidRPr="00876E8C">
        <w:rPr>
          <w:sz w:val="16"/>
          <w:szCs w:val="16"/>
        </w:rPr>
        <w:t>summarises</w:t>
      </w:r>
      <w:proofErr w:type="spellEnd"/>
      <w:r w:rsidRPr="00876E8C">
        <w:rPr>
          <w:sz w:val="16"/>
          <w:szCs w:val="16"/>
        </w:rPr>
        <w:t xml:space="preserve"> expected adoption timelines and </w:t>
      </w:r>
      <w:proofErr w:type="gramStart"/>
      <w:r w:rsidRPr="00876E8C">
        <w:rPr>
          <w:sz w:val="16"/>
          <w:szCs w:val="16"/>
        </w:rPr>
        <w:t>18</w:t>
      </w:r>
      <w:proofErr w:type="gramEnd"/>
      <w:r w:rsidRPr="00876E8C">
        <w:rPr>
          <w:sz w:val="16"/>
          <w:szCs w:val="16"/>
        </w:rPr>
        <w:noBreakHyphen/>
        <w:t>month transition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224E83D8" wp14:editId="45440DB7">
                <wp:extent cx="304800" cy="304800"/>
                <wp:effectExtent l="0" t="0" r="0" b="0"/>
                <wp:docPr id="170112644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889BA" id="Rectangle 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>finextra.com.</w:t>
      </w:r>
    </w:p>
    <w:p w14:paraId="6D55178B" w14:textId="01376561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[PSD3 Compliance 2027]</w:t>
      </w:r>
      <w:r w:rsidRPr="00876E8C">
        <w:rPr>
          <w:sz w:val="16"/>
          <w:szCs w:val="16"/>
        </w:rPr>
        <w:t xml:space="preserve"> – </w:t>
      </w:r>
      <w:proofErr w:type="spellStart"/>
      <w:r w:rsidRPr="00876E8C">
        <w:rPr>
          <w:sz w:val="16"/>
          <w:szCs w:val="16"/>
        </w:rPr>
        <w:t>Finologee</w:t>
      </w:r>
      <w:proofErr w:type="spellEnd"/>
      <w:r w:rsidRPr="00876E8C">
        <w:rPr>
          <w:sz w:val="16"/>
          <w:szCs w:val="16"/>
        </w:rPr>
        <w:t xml:space="preserve">. </w:t>
      </w:r>
      <w:r w:rsidRPr="00876E8C">
        <w:rPr>
          <w:i/>
          <w:iCs/>
          <w:sz w:val="16"/>
          <w:szCs w:val="16"/>
        </w:rPr>
        <w:t>The next evolution of EU payments: an update on PSD3 and PSR.</w:t>
      </w:r>
      <w:r w:rsidRPr="00876E8C">
        <w:rPr>
          <w:sz w:val="16"/>
          <w:szCs w:val="16"/>
        </w:rPr>
        <w:t xml:space="preserve"> 30 Sep 2025. Article notes compliance obligations </w:t>
      </w:r>
      <w:proofErr w:type="gramStart"/>
      <w:r w:rsidRPr="00876E8C">
        <w:rPr>
          <w:sz w:val="16"/>
          <w:szCs w:val="16"/>
        </w:rPr>
        <w:t>likely from</w:t>
      </w:r>
      <w:proofErr w:type="gramEnd"/>
      <w:r w:rsidRPr="00876E8C">
        <w:rPr>
          <w:sz w:val="16"/>
          <w:szCs w:val="16"/>
        </w:rPr>
        <w:t xml:space="preserve"> the second half of 2027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3924B695" wp14:editId="59FAAFCE">
                <wp:extent cx="304800" cy="304800"/>
                <wp:effectExtent l="0" t="0" r="0" b="0"/>
                <wp:docPr id="2088320072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26DE7" id="Rectangle 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>finologee.com.</w:t>
      </w:r>
    </w:p>
    <w:p w14:paraId="74751FA9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[EUDI Wallet 2026], [EUDI Accept 2027], [EUDI Adoption 2030]</w:t>
      </w:r>
      <w:r w:rsidRPr="00876E8C">
        <w:rPr>
          <w:sz w:val="16"/>
          <w:szCs w:val="16"/>
        </w:rPr>
        <w:t xml:space="preserve"> – Wikipedia (citing EU regulation). </w:t>
      </w:r>
      <w:r w:rsidRPr="00876E8C">
        <w:rPr>
          <w:i/>
          <w:iCs/>
          <w:sz w:val="16"/>
          <w:szCs w:val="16"/>
        </w:rPr>
        <w:t>European Digital Identity.</w:t>
      </w:r>
      <w:r w:rsidRPr="00876E8C">
        <w:rPr>
          <w:sz w:val="16"/>
          <w:szCs w:val="16"/>
        </w:rPr>
        <w:t xml:space="preserve"> 2024. Details on wallet issuance by Dec 2026, mandatory acceptance by Dec 2027 and digital</w:t>
      </w:r>
      <w:r w:rsidRPr="00876E8C">
        <w:rPr>
          <w:sz w:val="16"/>
          <w:szCs w:val="16"/>
        </w:rPr>
        <w:noBreakHyphen/>
        <w:t>ID adoption target of 80 % by 2030</w:t>
      </w:r>
      <w:hyperlink r:id="rId83" w:anchor=":~:text=by%20late%20December%202026.,28" w:tgtFrame="_blank" w:history="1">
        <w:r w:rsidRPr="00876E8C">
          <w:rPr>
            <w:rStyle w:val="Hyperlink"/>
            <w:sz w:val="16"/>
            <w:szCs w:val="16"/>
          </w:rPr>
          <w:t>en.wikipedia.org</w:t>
        </w:r>
      </w:hyperlink>
      <w:r w:rsidRPr="00876E8C">
        <w:rPr>
          <w:sz w:val="16"/>
          <w:szCs w:val="16"/>
        </w:rPr>
        <w:t>.</w:t>
      </w:r>
    </w:p>
    <w:p w14:paraId="4C4C9373" w14:textId="34EE8CE6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lastRenderedPageBreak/>
        <w:t>[Digital Euro Pilot 2027], [Digital Euro 2029]</w:t>
      </w:r>
      <w:r w:rsidRPr="00876E8C">
        <w:rPr>
          <w:sz w:val="16"/>
          <w:szCs w:val="16"/>
        </w:rPr>
        <w:t xml:space="preserve"> – Coin Edition. </w:t>
      </w:r>
      <w:r w:rsidRPr="00876E8C">
        <w:rPr>
          <w:i/>
          <w:iCs/>
          <w:sz w:val="16"/>
          <w:szCs w:val="16"/>
        </w:rPr>
        <w:t>Digital Euro moves to ‘Technical Readiness’ phase; 2027 pilot planned.</w:t>
      </w:r>
      <w:r w:rsidRPr="00876E8C">
        <w:rPr>
          <w:sz w:val="16"/>
          <w:szCs w:val="16"/>
        </w:rPr>
        <w:t xml:space="preserve"> 31 Oct 2025. Article quotes ECB President Christine Lagarde on pilot and issuance targets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507D460C" wp14:editId="62717050">
                <wp:extent cx="304800" cy="304800"/>
                <wp:effectExtent l="0" t="0" r="0" b="0"/>
                <wp:docPr id="991303712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8DF0D" id="Rectangle 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>coinedition.com</w:t>
      </w:r>
      <w:r w:rsidRPr="00876E8C">
        <w:rPr>
          <w:sz w:val="16"/>
          <w:szCs w:val="16"/>
        </w:rPr>
        <mc:AlternateContent>
          <mc:Choice Requires="wps">
            <w:drawing>
              <wp:inline distT="0" distB="0" distL="0" distR="0" wp14:anchorId="70F524FB" wp14:editId="3959D024">
                <wp:extent cx="304800" cy="304800"/>
                <wp:effectExtent l="0" t="0" r="0" b="0"/>
                <wp:docPr id="1066465689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B3739" id="Rectangle 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6E8C">
        <w:rPr>
          <w:sz w:val="16"/>
          <w:szCs w:val="16"/>
        </w:rPr>
        <w:t>coinedition.com.</w:t>
      </w:r>
    </w:p>
    <w:p w14:paraId="30C182C3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[G20 Targets 2027], [G20 Targets 2030]</w:t>
      </w:r>
      <w:r w:rsidRPr="00876E8C">
        <w:rPr>
          <w:sz w:val="16"/>
          <w:szCs w:val="16"/>
        </w:rPr>
        <w:t xml:space="preserve"> – Bank of Canada. </w:t>
      </w:r>
      <w:r w:rsidRPr="00876E8C">
        <w:rPr>
          <w:i/>
          <w:iCs/>
          <w:sz w:val="16"/>
          <w:szCs w:val="16"/>
        </w:rPr>
        <w:t>G20 cross</w:t>
      </w:r>
      <w:r w:rsidRPr="00876E8C">
        <w:rPr>
          <w:i/>
          <w:iCs/>
          <w:sz w:val="16"/>
          <w:szCs w:val="16"/>
        </w:rPr>
        <w:noBreakHyphen/>
        <w:t>border payments roadmap: quantitative targets.</w:t>
      </w:r>
      <w:r w:rsidRPr="00876E8C">
        <w:rPr>
          <w:sz w:val="16"/>
          <w:szCs w:val="16"/>
        </w:rPr>
        <w:t xml:space="preserve"> 2023.</w:t>
      </w:r>
    </w:p>
    <w:p w14:paraId="0AC24078" w14:textId="77777777" w:rsidR="00876E8C" w:rsidRPr="00876E8C" w:rsidRDefault="00876E8C" w:rsidP="00876E8C">
      <w:pPr>
        <w:numPr>
          <w:ilvl w:val="0"/>
          <w:numId w:val="1"/>
        </w:numPr>
        <w:rPr>
          <w:sz w:val="16"/>
          <w:szCs w:val="16"/>
        </w:rPr>
      </w:pPr>
      <w:r w:rsidRPr="00876E8C">
        <w:rPr>
          <w:b/>
          <w:bCs/>
          <w:sz w:val="16"/>
          <w:szCs w:val="16"/>
        </w:rPr>
        <w:t>[FATF Rec16 2025]</w:t>
      </w:r>
      <w:r w:rsidRPr="00876E8C">
        <w:rPr>
          <w:sz w:val="16"/>
          <w:szCs w:val="16"/>
        </w:rPr>
        <w:t xml:space="preserve">, </w:t>
      </w:r>
      <w:r w:rsidRPr="00876E8C">
        <w:rPr>
          <w:b/>
          <w:bCs/>
          <w:sz w:val="16"/>
          <w:szCs w:val="16"/>
        </w:rPr>
        <w:t>[FSB Progress 2025]</w:t>
      </w:r>
      <w:r w:rsidRPr="00876E8C">
        <w:rPr>
          <w:sz w:val="16"/>
          <w:szCs w:val="16"/>
        </w:rPr>
        <w:t xml:space="preserve">, </w:t>
      </w:r>
      <w:proofErr w:type="gramStart"/>
      <w:r w:rsidRPr="00876E8C">
        <w:rPr>
          <w:sz w:val="16"/>
          <w:szCs w:val="16"/>
        </w:rPr>
        <w:t>etc.</w:t>
      </w:r>
      <w:proofErr w:type="gramEnd"/>
      <w:r w:rsidRPr="00876E8C">
        <w:rPr>
          <w:sz w:val="16"/>
          <w:szCs w:val="16"/>
        </w:rPr>
        <w:t xml:space="preserve">, are reused across tables where relevant. Additional events derived from research documents </w:t>
      </w:r>
      <w:proofErr w:type="gramStart"/>
      <w:r w:rsidRPr="00876E8C">
        <w:rPr>
          <w:sz w:val="16"/>
          <w:szCs w:val="16"/>
        </w:rPr>
        <w:t>are noted</w:t>
      </w:r>
      <w:proofErr w:type="gramEnd"/>
      <w:r w:rsidRPr="00876E8C">
        <w:rPr>
          <w:sz w:val="16"/>
          <w:szCs w:val="16"/>
        </w:rPr>
        <w:t xml:space="preserve"> in the Master Timeline.</w:t>
      </w:r>
    </w:p>
    <w:p w14:paraId="4BA821B1" w14:textId="77777777" w:rsidR="00876E8C" w:rsidRPr="00876E8C" w:rsidRDefault="00876E8C">
      <w:pPr>
        <w:rPr>
          <w:sz w:val="16"/>
          <w:szCs w:val="16"/>
        </w:rPr>
      </w:pPr>
    </w:p>
    <w:sectPr w:rsidR="00876E8C" w:rsidRPr="00876E8C" w:rsidSect="00876E8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14649"/>
    <w:multiLevelType w:val="multilevel"/>
    <w:tmpl w:val="48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1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8C"/>
    <w:rsid w:val="0086662F"/>
    <w:rsid w:val="00876E8C"/>
    <w:rsid w:val="00DF1D2B"/>
    <w:rsid w:val="00E8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E065"/>
  <w15:chartTrackingRefBased/>
  <w15:docId w15:val="{764613EC-462E-43CB-B1B5-D4803902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E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6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6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6E8C"/>
    <w:rPr>
      <w:b/>
      <w:bCs/>
    </w:rPr>
  </w:style>
  <w:style w:type="character" w:customStyle="1" w:styleId="ms-1">
    <w:name w:val="ms-1"/>
    <w:basedOn w:val="DefaultParagraphFont"/>
    <w:rsid w:val="00876E8C"/>
  </w:style>
  <w:style w:type="character" w:styleId="Hyperlink">
    <w:name w:val="Hyperlink"/>
    <w:basedOn w:val="DefaultParagraphFont"/>
    <w:uiPriority w:val="99"/>
    <w:unhideWhenUsed/>
    <w:rsid w:val="00876E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6E8C"/>
    <w:rPr>
      <w:color w:val="800080"/>
      <w:u w:val="single"/>
    </w:rPr>
  </w:style>
  <w:style w:type="character" w:customStyle="1" w:styleId="relative">
    <w:name w:val="relative"/>
    <w:basedOn w:val="DefaultParagraphFont"/>
    <w:rsid w:val="00876E8C"/>
  </w:style>
  <w:style w:type="character" w:customStyle="1" w:styleId="flex">
    <w:name w:val="flex"/>
    <w:basedOn w:val="DefaultParagraphFont"/>
    <w:rsid w:val="00876E8C"/>
  </w:style>
  <w:style w:type="character" w:customStyle="1" w:styleId="max-w-15ch">
    <w:name w:val="max-w-[15ch]"/>
    <w:basedOn w:val="DefaultParagraphFont"/>
    <w:rsid w:val="00876E8C"/>
  </w:style>
  <w:style w:type="character" w:customStyle="1" w:styleId="ms-05">
    <w:name w:val="ms-0.5"/>
    <w:basedOn w:val="DefaultParagraphFont"/>
    <w:rsid w:val="00876E8C"/>
  </w:style>
  <w:style w:type="character" w:customStyle="1" w:styleId="text-token-text-secondary">
    <w:name w:val="text-token-text-secondary"/>
    <w:basedOn w:val="DefaultParagraphFont"/>
    <w:rsid w:val="00876E8C"/>
  </w:style>
  <w:style w:type="character" w:styleId="Emphasis">
    <w:name w:val="Emphasis"/>
    <w:basedOn w:val="DefaultParagraphFont"/>
    <w:uiPriority w:val="20"/>
    <w:qFormat/>
    <w:rsid w:val="00876E8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76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5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1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4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2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8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sb.org/2025/10/fsb-calls-for-enhanced-policy-implementation-to-achieve-tangible-improvements-in-cross-border-payments/" TargetMode="External"/><Relationship Id="rId21" Type="http://schemas.openxmlformats.org/officeDocument/2006/relationships/hyperlink" Target="https://www.consumerfinance.gov" TargetMode="External"/><Relationship Id="rId42" Type="http://schemas.openxmlformats.org/officeDocument/2006/relationships/hyperlink" Target="https://en.wikipedia.org/wiki/EU_Digital_Identity_Wallet" TargetMode="External"/><Relationship Id="rId47" Type="http://schemas.openxmlformats.org/officeDocument/2006/relationships/hyperlink" Target="https://www.consumerfinance.gov/rules-policy/regulations/1033/121/" TargetMode="External"/><Relationship Id="rId63" Type="http://schemas.openxmlformats.org/officeDocument/2006/relationships/hyperlink" Target="https://www.europeanpaymentscouncil.eu/what-we-do/sepa-instant-credit-transfer" TargetMode="External"/><Relationship Id="rId68" Type="http://schemas.openxmlformats.org/officeDocument/2006/relationships/hyperlink" Target="https://www.fsb.org/2025/10/fsb-calls-for-enhanced-policy-implementation-to-achieve-tangible-improvements-in-cross-border-payments/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www.consumerfinance.gov/rules-policy/regulations/1033/121/" TargetMode="External"/><Relationship Id="rId11" Type="http://schemas.openxmlformats.org/officeDocument/2006/relationships/hyperlink" Target="https://www.swift.com/news-events/press-releases/swift-set-new-rules-retail-cross-border-payments-its-network-bold-move-further-ramp-speed-and-predictability" TargetMode="External"/><Relationship Id="rId32" Type="http://schemas.openxmlformats.org/officeDocument/2006/relationships/hyperlink" Target="https://www.consumerfinance.gov/rules-policy/regulations/1033/121/" TargetMode="External"/><Relationship Id="rId37" Type="http://schemas.openxmlformats.org/officeDocument/2006/relationships/hyperlink" Target="https://www.swift.com/news-events/press-releases/swift-set-new-rules-retail-cross-border-payments-its-network-bold-move-further-ramp-speed-and-predictability" TargetMode="External"/><Relationship Id="rId53" Type="http://schemas.openxmlformats.org/officeDocument/2006/relationships/hyperlink" Target="https://en.wikipedia.org/wiki/EU_Digital_Identity_Wallet" TargetMode="External"/><Relationship Id="rId58" Type="http://schemas.openxmlformats.org/officeDocument/2006/relationships/hyperlink" Target="https://www.consumerfinance.gov/rules-policy/regulations/1033/121/" TargetMode="External"/><Relationship Id="rId74" Type="http://schemas.openxmlformats.org/officeDocument/2006/relationships/hyperlink" Target="https://www.fatf-gafi.org/en/publications/Fatfrecommendations/update-Recommendation-16-payment-transparency-june-2025.html" TargetMode="External"/><Relationship Id="rId79" Type="http://schemas.openxmlformats.org/officeDocument/2006/relationships/hyperlink" Target="https://www.fatf-gafi.org/en/publications/Fatfrecommendations/update-Recommendation-16-payment-transparency-june-2025.html" TargetMode="External"/><Relationship Id="rId5" Type="http://schemas.openxmlformats.org/officeDocument/2006/relationships/hyperlink" Target="https://www.europeanpaymentscouncil.eu/what-we-do/sepa-instant-credit-transfer" TargetMode="External"/><Relationship Id="rId19" Type="http://schemas.openxmlformats.org/officeDocument/2006/relationships/hyperlink" Target="https://en.wikipedia.org/wiki/EU_Digital_Identity_Wallet" TargetMode="External"/><Relationship Id="rId14" Type="http://schemas.openxmlformats.org/officeDocument/2006/relationships/hyperlink" Target="https://www.fsb.org" TargetMode="External"/><Relationship Id="rId22" Type="http://schemas.openxmlformats.org/officeDocument/2006/relationships/hyperlink" Target="https://finologee.com/the-next-evolution-of-eu-payments-an-update-on-psd3-and-psr/" TargetMode="External"/><Relationship Id="rId27" Type="http://schemas.openxmlformats.org/officeDocument/2006/relationships/hyperlink" Target="https://www.consumerfinance.gov/rules-policy/regulations/1033/121/" TargetMode="External"/><Relationship Id="rId30" Type="http://schemas.openxmlformats.org/officeDocument/2006/relationships/hyperlink" Target="https://www.consumerfinance.gov" TargetMode="External"/><Relationship Id="rId35" Type="http://schemas.openxmlformats.org/officeDocument/2006/relationships/hyperlink" Target="https://www.bankofcanada.ca" TargetMode="External"/><Relationship Id="rId43" Type="http://schemas.openxmlformats.org/officeDocument/2006/relationships/hyperlink" Target="https://www.consumerfinance.gov/rules-policy/regulations/1033/121/" TargetMode="External"/><Relationship Id="rId48" Type="http://schemas.openxmlformats.org/officeDocument/2006/relationships/hyperlink" Target="https://www.congress.gov/bill/119th-congress/senate-bill/1582" TargetMode="External"/><Relationship Id="rId56" Type="http://schemas.openxmlformats.org/officeDocument/2006/relationships/hyperlink" Target="https://www.consumerfinance.gov/rules-policy/regulations/1033/121/" TargetMode="External"/><Relationship Id="rId64" Type="http://schemas.openxmlformats.org/officeDocument/2006/relationships/hyperlink" Target="https://www.consumerfinance.gov/rules-policy/regulations/1033/121/" TargetMode="External"/><Relationship Id="rId69" Type="http://schemas.openxmlformats.org/officeDocument/2006/relationships/hyperlink" Target="https://www.consumerfinance.gov/rules-policy/regulations/1033/121/" TargetMode="External"/><Relationship Id="rId77" Type="http://schemas.openxmlformats.org/officeDocument/2006/relationships/hyperlink" Target="https://www.europeanpaymentscouncil.eu/what-we-do/sepa-instant-credit-transfer" TargetMode="External"/><Relationship Id="rId8" Type="http://schemas.openxmlformats.org/officeDocument/2006/relationships/hyperlink" Target="https://www.congress.gov/bill/119th-congress/senate-bill/1582" TargetMode="External"/><Relationship Id="rId51" Type="http://schemas.openxmlformats.org/officeDocument/2006/relationships/hyperlink" Target="https://www.congress.gov/bill/119th-congress/senate-bill/1582" TargetMode="External"/><Relationship Id="rId72" Type="http://schemas.openxmlformats.org/officeDocument/2006/relationships/hyperlink" Target="https://en.wikipedia.org/wiki/EU_Digital_Identity_Wallet" TargetMode="External"/><Relationship Id="rId80" Type="http://schemas.openxmlformats.org/officeDocument/2006/relationships/hyperlink" Target="https://www.swift.com/news-events/press-releases/swift-set-new-rules-retail-cross-border-payments-its-network-bold-move-further-ramp-speed-and-predictability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swift.com" TargetMode="External"/><Relationship Id="rId17" Type="http://schemas.openxmlformats.org/officeDocument/2006/relationships/hyperlink" Target="https://www.consumerfinance.gov" TargetMode="External"/><Relationship Id="rId25" Type="http://schemas.openxmlformats.org/officeDocument/2006/relationships/hyperlink" Target="https://www.bankofcanada.ca" TargetMode="External"/><Relationship Id="rId33" Type="http://schemas.openxmlformats.org/officeDocument/2006/relationships/hyperlink" Target="https://www.consumerfinance.gov" TargetMode="External"/><Relationship Id="rId38" Type="http://schemas.openxmlformats.org/officeDocument/2006/relationships/hyperlink" Target="https://www.fsb.org/2025/10/fsb-calls-for-enhanced-policy-implementation-to-achieve-tangible-improvements-in-cross-border-payments/" TargetMode="External"/><Relationship Id="rId46" Type="http://schemas.openxmlformats.org/officeDocument/2006/relationships/hyperlink" Target="https://www.consumerfinance.gov/rules-policy/regulations/1033/121/" TargetMode="External"/><Relationship Id="rId59" Type="http://schemas.openxmlformats.org/officeDocument/2006/relationships/hyperlink" Target="https://www.consumerfinance.gov/rules-policy/regulations/1033/121/" TargetMode="External"/><Relationship Id="rId67" Type="http://schemas.openxmlformats.org/officeDocument/2006/relationships/hyperlink" Target="https://www.swift.com/news-events/press-releases/swift-set-new-rules-retail-cross-border-payments-its-network-bold-move-further-ramp-speed-and-predictability" TargetMode="External"/><Relationship Id="rId20" Type="http://schemas.openxmlformats.org/officeDocument/2006/relationships/hyperlink" Target="https://www.consumerfinance.gov/rules-policy/regulations/1033/121/" TargetMode="External"/><Relationship Id="rId41" Type="http://schemas.openxmlformats.org/officeDocument/2006/relationships/hyperlink" Target="https://www.consumerfinance.gov/rules-policy/regulations/1033/121/" TargetMode="External"/><Relationship Id="rId54" Type="http://schemas.openxmlformats.org/officeDocument/2006/relationships/hyperlink" Target="https://en.wikipedia.org/wiki/EU_Digital_Identity_Wallet" TargetMode="External"/><Relationship Id="rId62" Type="http://schemas.openxmlformats.org/officeDocument/2006/relationships/hyperlink" Target="https://www.consumerfinance.gov/rules-policy/regulations/1033/121/" TargetMode="External"/><Relationship Id="rId70" Type="http://schemas.openxmlformats.org/officeDocument/2006/relationships/hyperlink" Target="https://www.congress.gov/bill/119th-congress/senate-bill/1582" TargetMode="External"/><Relationship Id="rId75" Type="http://schemas.openxmlformats.org/officeDocument/2006/relationships/hyperlink" Target="https://www.europeanpaymentscouncil.eu/what-we-do/sepa-instant-credit-transfer" TargetMode="External"/><Relationship Id="rId83" Type="http://schemas.openxmlformats.org/officeDocument/2006/relationships/hyperlink" Target="https://en.wikipedia.org/wiki/EU_Digital_Identity_Wall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uropeanpaymentscouncil.eu/" TargetMode="External"/><Relationship Id="rId15" Type="http://schemas.openxmlformats.org/officeDocument/2006/relationships/hyperlink" Target="https://www.swift.com" TargetMode="External"/><Relationship Id="rId23" Type="http://schemas.openxmlformats.org/officeDocument/2006/relationships/hyperlink" Target="https://coinedition.com/ecb-digital-euro-rollout-timeline-2029-2027-pilot" TargetMode="External"/><Relationship Id="rId28" Type="http://schemas.openxmlformats.org/officeDocument/2006/relationships/hyperlink" Target="https://www.consumerfinance.gov" TargetMode="External"/><Relationship Id="rId36" Type="http://schemas.openxmlformats.org/officeDocument/2006/relationships/hyperlink" Target="https://www.fatf-gafi.org/en/publications/Fatfrecommendations/update-Recommendation-16-payment-transparency-june-2025.html" TargetMode="External"/><Relationship Id="rId49" Type="http://schemas.openxmlformats.org/officeDocument/2006/relationships/hyperlink" Target="https://en.wikipedia.org/wiki/EU_Digital_Identity_Wallet" TargetMode="External"/><Relationship Id="rId57" Type="http://schemas.openxmlformats.org/officeDocument/2006/relationships/hyperlink" Target="https://www.europeanpaymentscouncil.eu/what-we-do/sepa-instant-credit-transfer" TargetMode="External"/><Relationship Id="rId10" Type="http://schemas.openxmlformats.org/officeDocument/2006/relationships/hyperlink" Target="https://www.fatf-gafi.org" TargetMode="External"/><Relationship Id="rId31" Type="http://schemas.openxmlformats.org/officeDocument/2006/relationships/hyperlink" Target="https://coinedition.com/ecb-digital-euro-rollout-timeline-2029-2027-pilot" TargetMode="External"/><Relationship Id="rId44" Type="http://schemas.openxmlformats.org/officeDocument/2006/relationships/hyperlink" Target="https://www.consumerfinance.gov/rules-policy/regulations/1033/121/" TargetMode="External"/><Relationship Id="rId52" Type="http://schemas.openxmlformats.org/officeDocument/2006/relationships/hyperlink" Target="https://en.wikipedia.org/wiki/EU_Digital_Identity_Wallet" TargetMode="External"/><Relationship Id="rId60" Type="http://schemas.openxmlformats.org/officeDocument/2006/relationships/hyperlink" Target="https://www.consumerfinance.gov/rules-policy/regulations/1033/121/" TargetMode="External"/><Relationship Id="rId65" Type="http://schemas.openxmlformats.org/officeDocument/2006/relationships/hyperlink" Target="https://www.europeanpaymentscouncil.eu/what-we-do/sepa-instant-credit-transfer" TargetMode="External"/><Relationship Id="rId73" Type="http://schemas.openxmlformats.org/officeDocument/2006/relationships/hyperlink" Target="https://www.congress.gov/bill/119th-congress/senate-bill/1582" TargetMode="External"/><Relationship Id="rId78" Type="http://schemas.openxmlformats.org/officeDocument/2006/relationships/hyperlink" Target="https://www.congress.gov/bill/119th-congress/senate-bill/1582" TargetMode="External"/><Relationship Id="rId81" Type="http://schemas.openxmlformats.org/officeDocument/2006/relationships/hyperlink" Target="https://www.fsb.org/2025/10/fsb-calls-for-enhanced-policy-implementation-to-achieve-tangible-improvements-in-cross-border-paym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tf-gafi.org/en/publications/Fatfrecommendations/update-Recommendation-16-payment-transparency-june-2025.html" TargetMode="External"/><Relationship Id="rId13" Type="http://schemas.openxmlformats.org/officeDocument/2006/relationships/hyperlink" Target="https://www.fsb.org/2025/10/fsb-calls-for-enhanced-policy-implementation-to-achieve-tangible-improvements-in-cross-border-payments/" TargetMode="External"/><Relationship Id="rId18" Type="http://schemas.openxmlformats.org/officeDocument/2006/relationships/hyperlink" Target="https://www.finextra.com/the-long-read/949/what-is-psd3-an-overview-of-changes-and-timelines" TargetMode="External"/><Relationship Id="rId39" Type="http://schemas.openxmlformats.org/officeDocument/2006/relationships/hyperlink" Target="https://www.europeanpaymentscouncil.eu/what-we-do/sepa-instant-credit-transfer" TargetMode="External"/><Relationship Id="rId34" Type="http://schemas.openxmlformats.org/officeDocument/2006/relationships/hyperlink" Target="https://en.wikipedia.org/wiki/EU_Digital_Identity_Wallet" TargetMode="External"/><Relationship Id="rId50" Type="http://schemas.openxmlformats.org/officeDocument/2006/relationships/hyperlink" Target="https://www.consumerfinance.gov/rules-policy/regulations/1033/121/" TargetMode="External"/><Relationship Id="rId55" Type="http://schemas.openxmlformats.org/officeDocument/2006/relationships/hyperlink" Target="https://www.fatf-gafi.org/en/publications/Fatfrecommendations/update-Recommendation-16-payment-transparency-june-2025.html" TargetMode="External"/><Relationship Id="rId76" Type="http://schemas.openxmlformats.org/officeDocument/2006/relationships/hyperlink" Target="https://www.consumerfinance.gov/rules-policy/regulations/1033/121/" TargetMode="External"/><Relationship Id="rId7" Type="http://schemas.openxmlformats.org/officeDocument/2006/relationships/hyperlink" Target="https://www.congress.gov/bill/119th-congress/senate-bill/1582" TargetMode="External"/><Relationship Id="rId71" Type="http://schemas.openxmlformats.org/officeDocument/2006/relationships/hyperlink" Target="https://en.wikipedia.org/wiki/EU_Digital_Identity_Wallet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onsumerfinance.gov/rules-policy/regulations/1033/121/" TargetMode="External"/><Relationship Id="rId24" Type="http://schemas.openxmlformats.org/officeDocument/2006/relationships/hyperlink" Target="https://en.wikipedia.org/wiki/EU_Digital_Identity_Wallet" TargetMode="External"/><Relationship Id="rId40" Type="http://schemas.openxmlformats.org/officeDocument/2006/relationships/hyperlink" Target="https://www.congress.gov/bill/119th-congress/senate-bill/1582" TargetMode="External"/><Relationship Id="rId45" Type="http://schemas.openxmlformats.org/officeDocument/2006/relationships/hyperlink" Target="https://www.consumerfinance.gov/rules-policy/regulations/1033/121/" TargetMode="External"/><Relationship Id="rId66" Type="http://schemas.openxmlformats.org/officeDocument/2006/relationships/hyperlink" Target="https://www.fatf-gafi.org/en/publications/Fatfrecommendations/update-Recommendation-16-payment-transparency-june-2025.html" TargetMode="External"/><Relationship Id="rId61" Type="http://schemas.openxmlformats.org/officeDocument/2006/relationships/hyperlink" Target="https://www.consumerfinance.gov/rules-policy/regulations/1033/121/" TargetMode="External"/><Relationship Id="rId82" Type="http://schemas.openxmlformats.org/officeDocument/2006/relationships/hyperlink" Target="https://www.consumerfinance.gov/rules-policy/regulations/1033/1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6975</Words>
  <Characters>39762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Pensa, Matthew (Bip.Monticello)</dc:creator>
  <cp:keywords/>
  <dc:description/>
  <cp:lastModifiedBy>Pensa, Matthew (Bip.Monticello)</cp:lastModifiedBy>
  <cp:revision>2</cp:revision>
  <dcterms:created xsi:type="dcterms:W3CDTF">2025-11-22T00:30:00Z</dcterms:created>
  <dcterms:modified xsi:type="dcterms:W3CDTF">2025-11-22T00:30:00Z</dcterms:modified>
</cp:coreProperties>
</file>