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101F2" w14:textId="77777777" w:rsidR="00E22764" w:rsidRPr="00E22764" w:rsidRDefault="00E22764" w:rsidP="00E22764">
      <w:pPr>
        <w:rPr>
          <w:b/>
          <w:bCs/>
        </w:rPr>
      </w:pPr>
      <w:r w:rsidRPr="00E22764">
        <w:rPr>
          <w:b/>
          <w:bCs/>
        </w:rPr>
        <w:t>1. Real-Time &amp; Account-to-Account Payments – Deep Trend Analysis</w:t>
      </w:r>
    </w:p>
    <w:p w14:paraId="5FB47462" w14:textId="77777777" w:rsidR="00E22764" w:rsidRPr="00E22764" w:rsidRDefault="00E22764" w:rsidP="00E22764">
      <w:r w:rsidRPr="00E22764">
        <w:rPr>
          <w:i/>
          <w:iCs/>
        </w:rPr>
        <w:t>(Full descriptive edition, structured in paragraphs, with sources)</w:t>
      </w:r>
    </w:p>
    <w:p w14:paraId="28E1BAC8" w14:textId="77777777" w:rsidR="00E22764" w:rsidRPr="00E22764" w:rsidRDefault="00E22764" w:rsidP="00E22764">
      <w:r w:rsidRPr="00E22764">
        <w:pict w14:anchorId="3821953E">
          <v:rect id="_x0000_i1067" style="width:0;height:1.5pt" o:hralign="center" o:hrstd="t" o:hr="t" fillcolor="#a0a0a0" stroked="f"/>
        </w:pict>
      </w:r>
    </w:p>
    <w:p w14:paraId="76C742B3" w14:textId="77777777" w:rsidR="00E22764" w:rsidRPr="00E22764" w:rsidRDefault="00E22764" w:rsidP="00E22764">
      <w:pPr>
        <w:rPr>
          <w:b/>
          <w:bCs/>
        </w:rPr>
      </w:pPr>
      <w:r w:rsidRPr="00E22764">
        <w:rPr>
          <w:b/>
          <w:bCs/>
        </w:rPr>
        <w:t>2.1 The Historical Foundation: ACH and the Limits of a Batch-Based Economy</w:t>
      </w:r>
    </w:p>
    <w:p w14:paraId="5556C822" w14:textId="77777777" w:rsidR="00E22764" w:rsidRPr="00E22764" w:rsidRDefault="00E22764" w:rsidP="00E22764">
      <w:r w:rsidRPr="00E22764">
        <w:t>For nearly fifty years, the Automated Clearing House (ACH) has served as the cornerstone of U.S. bank-to-bank payments. Introduced in the 1970s, ACH was designed for a world in which digital commerce did not yet exist, cross-border flows were relatively small, and consumers accepted settlement times measured in days rather than seconds. The system was built around batch processing: payments are collected, grouped into files, and processed during specific windows throughout the business day. While efficient for its time, this model inherently introduced latency and operational rigidity. Even modern enhancements such as Same-Day ACH did not eliminate scheduled cut-off times, and the rail still does not offer true 24/7/365 availability.</w:t>
      </w:r>
    </w:p>
    <w:p w14:paraId="7D48AAF9" w14:textId="77777777" w:rsidR="00E22764" w:rsidRPr="00E22764" w:rsidRDefault="00E22764" w:rsidP="00E22764">
      <w:r w:rsidRPr="00E22764">
        <w:t>ACH remains reliable and cost-effective, but its limitations have become increasingly incompatible with modern expectations. Its legacy messaging formats support only minimal, largely unstructured remittance data, making automation difficult for corporate treasury teams and driving a high volume of exceptions. The push/pull model, which allows third parties to initiate debits, exposes consumers to elevated fraud and dispute risk. Most importantly, ACH cannot adequately support today’s just-in-time economy, in which gig workers, marketplaces, digital merchants and corporates increasingly demand real-time liquidity. These structural constraints paved the way for the next generation of U.S. payment rails.</w:t>
      </w:r>
    </w:p>
    <w:p w14:paraId="67D3FE80" w14:textId="77777777" w:rsidR="00E22764" w:rsidRPr="00E22764" w:rsidRDefault="00E22764" w:rsidP="00E22764">
      <w:r w:rsidRPr="00E22764">
        <w:pict w14:anchorId="7B673FF7">
          <v:rect id="_x0000_i1068" style="width:0;height:1.5pt" o:hralign="center" o:hrstd="t" o:hr="t" fillcolor="#a0a0a0" stroked="f"/>
        </w:pict>
      </w:r>
    </w:p>
    <w:p w14:paraId="4AD77201" w14:textId="77777777" w:rsidR="00E22764" w:rsidRPr="00E22764" w:rsidRDefault="00E22764" w:rsidP="00E22764">
      <w:pPr>
        <w:rPr>
          <w:b/>
          <w:bCs/>
        </w:rPr>
      </w:pPr>
      <w:r w:rsidRPr="00E22764">
        <w:rPr>
          <w:b/>
          <w:bCs/>
        </w:rPr>
        <w:t xml:space="preserve">2.2 The Emergence of Two National Instant Payment Rails: RTP® and </w:t>
      </w:r>
      <w:proofErr w:type="spellStart"/>
      <w:r w:rsidRPr="00E22764">
        <w:rPr>
          <w:b/>
          <w:bCs/>
        </w:rPr>
        <w:t>FedNow</w:t>
      </w:r>
      <w:proofErr w:type="spellEnd"/>
      <w:r w:rsidRPr="00E22764">
        <w:rPr>
          <w:b/>
          <w:bCs/>
        </w:rPr>
        <w:t>®</w:t>
      </w:r>
    </w:p>
    <w:p w14:paraId="463D73B8" w14:textId="77777777" w:rsidR="00E22764" w:rsidRPr="00E22764" w:rsidRDefault="00E22764" w:rsidP="00E22764">
      <w:r w:rsidRPr="00E22764">
        <w:t xml:space="preserve">In response to these challenges, the United States has undergone a transformative modernization of its payment infrastructure. Unlike Europe, Brazil or India—which each adopted a single, nationally coordinated instant rail—the United States created two distinct real-time payment systems: RTP® and </w:t>
      </w:r>
      <w:proofErr w:type="spellStart"/>
      <w:r w:rsidRPr="00E22764">
        <w:t>FedNow</w:t>
      </w:r>
      <w:proofErr w:type="spellEnd"/>
      <w:r w:rsidRPr="00E22764">
        <w:t>®. This dual-rail structure reflects the unique U.S. monetary architecture, long characterized by two parallel clearing institutions: the Federal Reserve and The Clearing House (TCH). Both institutions independently developed their own real-time systems and, critically, these systems do not interoperate.</w:t>
      </w:r>
    </w:p>
    <w:p w14:paraId="3E8D2E23" w14:textId="77777777" w:rsidR="00E22764" w:rsidRPr="00E22764" w:rsidRDefault="00E22764" w:rsidP="00E22764">
      <w:r w:rsidRPr="00E22764">
        <w:t xml:space="preserve">The first to launch was RTP, introduced by The Clearing House in 2017. RTP represented the country’s first true 24/7/365 bank-to-bank settlement rail, combining immediate finality </w:t>
      </w:r>
      <w:r w:rsidRPr="00E22764">
        <w:lastRenderedPageBreak/>
        <w:t>with ISO 20022-based messaging. Adoption accelerated steadily: by mid-2025, more than 1,000 financial institutions—representing over 70% of U.S. demand deposit accounts—were live on RTP. Transaction volumes reached roughly 100 million payments per quarter and more than $80 billion in quarterly value, with single-day peaks approaching 1.8 million transactions.</w:t>
      </w:r>
    </w:p>
    <w:p w14:paraId="492FDBD1" w14:textId="77777777" w:rsidR="00E22764" w:rsidRPr="00E22764" w:rsidRDefault="00E22764" w:rsidP="00E22764">
      <w:r w:rsidRPr="00E22764">
        <w:t xml:space="preserve">Recognizing the need for nationwide inclusion, the Federal Reserve launched </w:t>
      </w:r>
      <w:proofErr w:type="spellStart"/>
      <w:r w:rsidRPr="00E22764">
        <w:t>FedNow</w:t>
      </w:r>
      <w:proofErr w:type="spellEnd"/>
      <w:r w:rsidRPr="00E22764">
        <w:t xml:space="preserve"> in 2023. Its objective is to extend instant payments to the thousands of regional and community banks that rely on the Fed for core payment services. By late 2025, </w:t>
      </w:r>
      <w:proofErr w:type="spellStart"/>
      <w:r w:rsidRPr="00E22764">
        <w:t>FedNow</w:t>
      </w:r>
      <w:proofErr w:type="spellEnd"/>
      <w:r w:rsidRPr="00E22764">
        <w:t xml:space="preserve"> had surpassed 1,500 participating institutions across all 50 states, representing roughly 40% of all DDAs. The Federal Reserve’s decision to raise the </w:t>
      </w:r>
      <w:proofErr w:type="spellStart"/>
      <w:r w:rsidRPr="00E22764">
        <w:t>FedNow</w:t>
      </w:r>
      <w:proofErr w:type="spellEnd"/>
      <w:r w:rsidRPr="00E22764">
        <w:t xml:space="preserve"> transaction limit to $10 million signaled a clear intent to support not only consumer and SME use cases, but also treasury and corporate payments.</w:t>
      </w:r>
    </w:p>
    <w:p w14:paraId="4C10B85E" w14:textId="77777777" w:rsidR="00E22764" w:rsidRPr="00E22764" w:rsidRDefault="00E22764" w:rsidP="00E22764">
      <w:r w:rsidRPr="00E22764">
        <w:t xml:space="preserve">Because RTP and </w:t>
      </w:r>
      <w:proofErr w:type="spellStart"/>
      <w:r w:rsidRPr="00E22764">
        <w:t>FedNow</w:t>
      </w:r>
      <w:proofErr w:type="spellEnd"/>
      <w:r w:rsidRPr="00E22764">
        <w:t xml:space="preserve"> are independent networks with separate governance, pricing structures and technical specifications—and because they are not interoperable—U.S. banks are increasingly adopting a dual-rail strategy. This approach maximizes market reach and redundancy while allowing institutions to choose the optimal rail for each transaction.</w:t>
      </w:r>
    </w:p>
    <w:p w14:paraId="387DC704" w14:textId="77777777" w:rsidR="00E22764" w:rsidRPr="00E22764" w:rsidRDefault="00E22764" w:rsidP="00E22764">
      <w:r w:rsidRPr="00E22764">
        <w:pict w14:anchorId="430DDBC5">
          <v:rect id="_x0000_i1069" style="width:0;height:1.5pt" o:hralign="center" o:hrstd="t" o:hr="t" fillcolor="#a0a0a0" stroked="f"/>
        </w:pict>
      </w:r>
    </w:p>
    <w:p w14:paraId="4C48A843" w14:textId="77777777" w:rsidR="00E22764" w:rsidRPr="00E22764" w:rsidRDefault="00E22764" w:rsidP="00E22764">
      <w:pPr>
        <w:rPr>
          <w:b/>
          <w:bCs/>
        </w:rPr>
      </w:pPr>
      <w:r w:rsidRPr="00E22764">
        <w:rPr>
          <w:b/>
          <w:bCs/>
        </w:rPr>
        <w:t>2.3 ISO 20022: The Data Layer Transforming Real-Time Payments</w:t>
      </w:r>
    </w:p>
    <w:p w14:paraId="1A6BFAF1" w14:textId="77777777" w:rsidR="00E22764" w:rsidRPr="00E22764" w:rsidRDefault="00E22764" w:rsidP="00E22764">
      <w:r w:rsidRPr="00E22764">
        <w:t>One of the most consequential differences between real-time rails and ACH is their support for ISO 20022, the modern global messaging standard for financial transactions. Whereas legacy ACH formats support only shallow, unstructured remittance fields, ISO 20022 enables rich, hierarchical data structures with detailed semantic definitions. In practical terms, payment messages can carry invoice numbers, line-item references, contract identifiers, payment purpose codes and extensive metadata.</w:t>
      </w:r>
    </w:p>
    <w:p w14:paraId="3B86B8E8" w14:textId="77777777" w:rsidR="00E22764" w:rsidRPr="00E22764" w:rsidRDefault="00E22764" w:rsidP="00E22764">
      <w:r w:rsidRPr="00E22764">
        <w:t xml:space="preserve">This data richness dramatically enhances automation. Corporates can reconcile payments with invoices without manual intervention. Banks gain deeper contextual information for fraud scoring and AML compliance, improving detection accuracy and reducing operational friction. Treasury departments can orchestrate real-time liquidity management with fewer exceptions. </w:t>
      </w:r>
      <w:proofErr w:type="spellStart"/>
      <w:r w:rsidRPr="00E22764">
        <w:t>Fintechs</w:t>
      </w:r>
      <w:proofErr w:type="spellEnd"/>
      <w:r w:rsidRPr="00E22764">
        <w:t xml:space="preserve"> and processors benefit from structured data that enables advanced routing logic, new product constructs and more powerful analytics.</w:t>
      </w:r>
    </w:p>
    <w:p w14:paraId="3A706F74" w14:textId="77777777" w:rsidR="00E22764" w:rsidRPr="00E22764" w:rsidRDefault="00E22764" w:rsidP="00E22764">
      <w:r w:rsidRPr="00E22764">
        <w:t>Because ISO 20022 is now the global standard underpinning Europe’s SEPA Instant, India’s UPI and the UK’s Faster Payments, it also lays the groundwork for future cross-border interoperability and programmable payment flows. ISO 20022 is not merely a messaging upgrade—it is a foundational data layer for the next decade of innovation in the U.S. payments ecosystem.</w:t>
      </w:r>
    </w:p>
    <w:p w14:paraId="06708073" w14:textId="77777777" w:rsidR="00E22764" w:rsidRPr="00E22764" w:rsidRDefault="00E22764" w:rsidP="00E22764">
      <w:r w:rsidRPr="00E22764">
        <w:lastRenderedPageBreak/>
        <w:pict w14:anchorId="05B4E3EB">
          <v:rect id="_x0000_i1070" style="width:0;height:1.5pt" o:hralign="center" o:hrstd="t" o:hr="t" fillcolor="#a0a0a0" stroked="f"/>
        </w:pict>
      </w:r>
    </w:p>
    <w:p w14:paraId="24FC5DF2" w14:textId="77777777" w:rsidR="00E22764" w:rsidRPr="00E22764" w:rsidRDefault="00E22764" w:rsidP="00E22764">
      <w:pPr>
        <w:rPr>
          <w:b/>
          <w:bCs/>
        </w:rPr>
      </w:pPr>
      <w:r w:rsidRPr="00E22764">
        <w:rPr>
          <w:b/>
          <w:bCs/>
        </w:rPr>
        <w:t>2.4 New Use Cases Unlocked by Instant A2A Rails</w:t>
      </w:r>
    </w:p>
    <w:p w14:paraId="00ACE02A" w14:textId="77777777" w:rsidR="00E22764" w:rsidRPr="00E22764" w:rsidRDefault="00E22764" w:rsidP="00E22764">
      <w:r w:rsidRPr="00E22764">
        <w:t>The rise of real-time account-to-account (A2A) payment rails fundamentally expands the range of use cases across the U.S. economy. A2A payments—where funds move directly between bank accounts without card networks or other intermediaries—benefit from the combination of real-time settlement, 24/7 availability, irrevocable credit-push design and ISO 20022-rich messaging. Together, these characteristics support financial interactions that were previously impossible or impractical on legacy ACH systems.</w:t>
      </w:r>
    </w:p>
    <w:p w14:paraId="0320572B" w14:textId="77777777" w:rsidR="00E22764" w:rsidRPr="00E22764" w:rsidRDefault="00E22764" w:rsidP="00E22764">
      <w:r w:rsidRPr="00E22764">
        <w:t>For consumers, instant A2A rails enable immediate access to earned wages, real-time P2P transfers and instant refunds for online purchases. Gig workers, who historically waited days for ACH payouts, can now receive income instantly, enhancing financial stability and reducing reliance on high-cost short-term credit. A2A payments also enable more predictable and controlled money movement, as funds are always pushed by the payer, reducing unauthorized debit risk.</w:t>
      </w:r>
    </w:p>
    <w:p w14:paraId="0ABCD109" w14:textId="77777777" w:rsidR="00E22764" w:rsidRPr="00E22764" w:rsidRDefault="00E22764" w:rsidP="00E22764">
      <w:r w:rsidRPr="00E22764">
        <w:t>For small businesses, real-time A2A settlement improves working capital efficiency. Immediate access to funds allows SMEs to manage inventory, payroll and supplier relationships more dynamically, reducing dependence on cash buffers or credit lines. Large corporates benefit even more: real-time A2A rails allow treasury teams to orchestrate intra-company transfers, gain real-time liquidity visibility and execute just-in-time supplier payments, aligning financial operations with the broader shift toward real-time supply chain management.</w:t>
      </w:r>
    </w:p>
    <w:p w14:paraId="08ABFF07" w14:textId="77777777" w:rsidR="00E22764" w:rsidRPr="00E22764" w:rsidRDefault="00E22764" w:rsidP="00E22764">
      <w:r w:rsidRPr="00E22764">
        <w:t>Billers, utilities and financial institutions are increasingly adopting A2A-based Request for Pay (</w:t>
      </w:r>
      <w:proofErr w:type="spellStart"/>
      <w:r w:rsidRPr="00E22764">
        <w:t>RfP</w:t>
      </w:r>
      <w:proofErr w:type="spellEnd"/>
      <w:r w:rsidRPr="00E22764">
        <w:t xml:space="preserve">) functionality, available across both RTP and </w:t>
      </w:r>
      <w:proofErr w:type="spellStart"/>
      <w:r w:rsidRPr="00E22764">
        <w:t>FedNow</w:t>
      </w:r>
      <w:proofErr w:type="spellEnd"/>
      <w:r w:rsidRPr="00E22764">
        <w:t xml:space="preserve">. Through </w:t>
      </w:r>
      <w:proofErr w:type="spellStart"/>
      <w:r w:rsidRPr="00E22764">
        <w:t>RfP</w:t>
      </w:r>
      <w:proofErr w:type="spellEnd"/>
      <w:r w:rsidRPr="00E22764">
        <w:t>, a biller sends a structured payment request directly to a customer’s banking app. The customer authorizes the payment, which then settles instantly via an A2A credit push. This reduces payment delays, eliminates ACH return risk and dramatically improves reconciliation due to ISO 20022’s structured data fields.</w:t>
      </w:r>
    </w:p>
    <w:p w14:paraId="496375F2" w14:textId="77777777" w:rsidR="00E22764" w:rsidRPr="00E22764" w:rsidRDefault="00E22764" w:rsidP="00E22764">
      <w:r w:rsidRPr="00E22764">
        <w:t>Marketplaces and digital platforms are also transitioning key flows to instant A2A disbursements. Sellers and creators gain immediate access to earnings, improving liquidity and trust in the platform. Meanwhile, platforms benefit from reduced operational delays, lower payment processing costs and stronger user retention due to faster payouts.</w:t>
      </w:r>
    </w:p>
    <w:p w14:paraId="07B0B3D2" w14:textId="77777777" w:rsidR="00E22764" w:rsidRPr="00E22764" w:rsidRDefault="00E22764" w:rsidP="00E22764">
      <w:r w:rsidRPr="00E22764">
        <w:t>Across these scenarios, real-time A2A payments deliver a superior combination of speed, data quality and settlement finality that neither ACH nor card-based systems can match, positioning A2A as a foundational rail for the next generation of U.S. financial services.</w:t>
      </w:r>
    </w:p>
    <w:p w14:paraId="20EF3B75" w14:textId="77777777" w:rsidR="00E22764" w:rsidRPr="00E22764" w:rsidRDefault="00E22764" w:rsidP="00E22764">
      <w:r w:rsidRPr="00E22764">
        <w:lastRenderedPageBreak/>
        <w:pict w14:anchorId="07986F90">
          <v:rect id="_x0000_i1071" style="width:0;height:1.5pt" o:hralign="center" o:hrstd="t" o:hr="t" fillcolor="#a0a0a0" stroked="f"/>
        </w:pict>
      </w:r>
    </w:p>
    <w:p w14:paraId="14C8CBE0" w14:textId="77777777" w:rsidR="00E22764" w:rsidRPr="00E22764" w:rsidRDefault="00E22764" w:rsidP="00E22764">
      <w:pPr>
        <w:rPr>
          <w:b/>
          <w:bCs/>
        </w:rPr>
      </w:pPr>
      <w:r w:rsidRPr="00E22764">
        <w:rPr>
          <w:b/>
          <w:bCs/>
        </w:rPr>
        <w:t>2.5 Competitive Dynamics: Impact on Cards, ACH and Emerging Rails</w:t>
      </w:r>
    </w:p>
    <w:p w14:paraId="76421814" w14:textId="77777777" w:rsidR="00E22764" w:rsidRPr="00E22764" w:rsidRDefault="00E22764" w:rsidP="00E22764">
      <w:r w:rsidRPr="00E22764">
        <w:t>As instant A2A payments gain adoption, they are beginning to reshape competitive dynamics across payment rails. Cards are likely to remain dominant in day-to-day retail and e-commerce purchases—supported by rewards, embedded credit, consumer protections and global acceptance—but economic incentives for merchants to leverage instant A2A rails are strong. For high-ticket items, recurring payments, utilities, insurance premiums and B2B transactions, instant A2A offers lower acceptance costs, reduced fraud and immediate settlement.</w:t>
      </w:r>
    </w:p>
    <w:p w14:paraId="60A2B0F3" w14:textId="77777777" w:rsidR="00E22764" w:rsidRPr="00E22764" w:rsidRDefault="00E22764" w:rsidP="00E22764">
      <w:r w:rsidRPr="00E22764">
        <w:t>ACH will not disappear; it will continue to serve as a low-cost rail for high-volume, low-urgency transactions. However, as instant rails scale and Request for Pay becomes more widely adopted, ACH debits are expected to decline, particularly for bill payments where real-time confirmation and rich data add significant value.</w:t>
      </w:r>
    </w:p>
    <w:p w14:paraId="5C6B3384" w14:textId="77777777" w:rsidR="00E22764" w:rsidRPr="00E22764" w:rsidRDefault="00E22764" w:rsidP="00E22764">
      <w:r w:rsidRPr="00E22764">
        <w:t xml:space="preserve">The most significant shift is not the displacement of any single rail, but the move toward </w:t>
      </w:r>
      <w:r w:rsidRPr="00E22764">
        <w:rPr>
          <w:b/>
          <w:bCs/>
        </w:rPr>
        <w:t>rail-agnostic orchestration</w:t>
      </w:r>
      <w:r w:rsidRPr="00E22764">
        <w:t xml:space="preserve">. </w:t>
      </w:r>
      <w:proofErr w:type="spellStart"/>
      <w:r w:rsidRPr="00E22764">
        <w:t>Fintechs</w:t>
      </w:r>
      <w:proofErr w:type="spellEnd"/>
      <w:r w:rsidRPr="00E22764">
        <w:t xml:space="preserve"> and advanced payment processors such as Stripe, Adyen, </w:t>
      </w:r>
      <w:proofErr w:type="spellStart"/>
      <w:r w:rsidRPr="00E22764">
        <w:t>Spreedly</w:t>
      </w:r>
      <w:proofErr w:type="spellEnd"/>
      <w:r w:rsidRPr="00E22764">
        <w:t xml:space="preserve"> and Modern Treasury increasingly treat rails as modular infrastructure components. They dynamically route transactions across ACH, RTP, </w:t>
      </w:r>
      <w:proofErr w:type="spellStart"/>
      <w:r w:rsidRPr="00E22764">
        <w:t>FedNow</w:t>
      </w:r>
      <w:proofErr w:type="spellEnd"/>
      <w:r w:rsidRPr="00E22764">
        <w:t>, card networks, push-to-card services (Visa Direct, Mastercard Send), wallet rails (Apple Pay, Cash App) and even emerging stablecoin or tokenized-deposit rails. The choice is guided by cost, speed, fraud risk, user experience, device type, geographic rules and liquidity constraints.</w:t>
      </w:r>
    </w:p>
    <w:p w14:paraId="17A4359C" w14:textId="77777777" w:rsidR="00E22764" w:rsidRPr="00E22764" w:rsidRDefault="00E22764" w:rsidP="00E22764">
      <w:r w:rsidRPr="00E22764">
        <w:t>In this environment, the institutions that win will be those that build intelligent, API-first orchestration engines capable of directing each transaction to the most efficient rail in real time.</w:t>
      </w:r>
    </w:p>
    <w:p w14:paraId="11A94F4E" w14:textId="77777777" w:rsidR="00E22764" w:rsidRPr="00E22764" w:rsidRDefault="00E22764" w:rsidP="00E22764">
      <w:r w:rsidRPr="00E22764">
        <w:pict w14:anchorId="7DFC9BD5">
          <v:rect id="_x0000_i1072" style="width:0;height:1.5pt" o:hralign="center" o:hrstd="t" o:hr="t" fillcolor="#a0a0a0" stroked="f"/>
        </w:pict>
      </w:r>
    </w:p>
    <w:p w14:paraId="27542E91" w14:textId="77777777" w:rsidR="00E22764" w:rsidRPr="00E22764" w:rsidRDefault="00E22764" w:rsidP="00E22764">
      <w:pPr>
        <w:rPr>
          <w:b/>
          <w:bCs/>
        </w:rPr>
      </w:pPr>
      <w:r w:rsidRPr="00E22764">
        <w:rPr>
          <w:b/>
          <w:bCs/>
        </w:rPr>
        <w:t>2.6 Outlook to 2030 and Beyond</w:t>
      </w:r>
    </w:p>
    <w:p w14:paraId="638B323C" w14:textId="77777777" w:rsidR="00E22764" w:rsidRPr="00E22764" w:rsidRDefault="00E22764" w:rsidP="00E22764">
      <w:r w:rsidRPr="00E22764">
        <w:t xml:space="preserve">By 2030, instant payments are expected to be a standard feature of U.S. banking, much like debit cards and mobile apps today. Most banks will be connected to RTP, </w:t>
      </w:r>
      <w:proofErr w:type="spellStart"/>
      <w:r w:rsidRPr="00E22764">
        <w:t>FedNow</w:t>
      </w:r>
      <w:proofErr w:type="spellEnd"/>
      <w:r w:rsidRPr="00E22764">
        <w:t xml:space="preserve"> or both. Bill payments may be dominated by </w:t>
      </w:r>
      <w:proofErr w:type="spellStart"/>
      <w:r w:rsidRPr="00E22764">
        <w:t>RfP</w:t>
      </w:r>
      <w:proofErr w:type="spellEnd"/>
      <w:r w:rsidRPr="00E22764">
        <w:t xml:space="preserve"> flows, corporates will operate real-time liquidity environments, and marketplaces will embed instant disbursements by default. A2A checkout is likely to gain traction among major merchants for high-value or recurring payments. Regulators will continue refining frameworks for fraud mitigation and consumer protection in an always-on, irrevocable environment.</w:t>
      </w:r>
    </w:p>
    <w:p w14:paraId="6E132586" w14:textId="77777777" w:rsidR="00E22764" w:rsidRPr="00E22764" w:rsidRDefault="00E22764" w:rsidP="00E22764">
      <w:r w:rsidRPr="00E22764">
        <w:lastRenderedPageBreak/>
        <w:t xml:space="preserve">Looking further ahead toward 2035, the U.S. may move toward a unified, interoperable real-time payment fabric, with RTP and </w:t>
      </w:r>
      <w:proofErr w:type="spellStart"/>
      <w:r w:rsidRPr="00E22764">
        <w:t>FedNow</w:t>
      </w:r>
      <w:proofErr w:type="spellEnd"/>
      <w:r w:rsidRPr="00E22764">
        <w:t xml:space="preserve"> converging via interoperability agreements. QR-code payment standards could emerge, tokenized bank deposits may integrate seamlessly with real-time settlement, and treasury operations may become highly automated. Real-time flows could extend more deeply into capital markets, enabling near-instant settlement of securities and digital assets.</w:t>
      </w:r>
    </w:p>
    <w:p w14:paraId="6F937DF0" w14:textId="77777777" w:rsidR="00E22764" w:rsidRPr="00E22764" w:rsidRDefault="00E22764" w:rsidP="00E22764">
      <w:r w:rsidRPr="00E22764">
        <w:t>The shift from ACH to real-time A2A is not simply a modernization of financial plumbing. It represents a re-engineering of the U.S. economy’s money-movement architecture—one that will shape liquidity, commerce, financial inclusion, business models and payment competition for decades to come.</w:t>
      </w:r>
    </w:p>
    <w:p w14:paraId="08534E90" w14:textId="77777777" w:rsidR="00E22764" w:rsidRPr="00E22764" w:rsidRDefault="00E22764" w:rsidP="00E22764">
      <w:r w:rsidRPr="00E22764">
        <w:pict w14:anchorId="5EF3473E">
          <v:rect id="_x0000_i1073" style="width:0;height:1.5pt" o:hralign="center" o:hrstd="t" o:hr="t" fillcolor="#a0a0a0" stroked="f"/>
        </w:pict>
      </w:r>
    </w:p>
    <w:p w14:paraId="7EF98CDA" w14:textId="77777777" w:rsidR="00E22764" w:rsidRPr="00E22764" w:rsidRDefault="00E22764" w:rsidP="00E22764">
      <w:r w:rsidRPr="00E22764">
        <w:rPr>
          <w:b/>
          <w:bCs/>
        </w:rPr>
        <w:t>Sources (official, verifiable, report-ready)</w:t>
      </w:r>
    </w:p>
    <w:p w14:paraId="469D7D48" w14:textId="77777777" w:rsidR="00E22764" w:rsidRPr="00E22764" w:rsidRDefault="00E22764" w:rsidP="00E22764">
      <w:r w:rsidRPr="00E22764">
        <w:rPr>
          <w:b/>
          <w:bCs/>
        </w:rPr>
        <w:t>ACH &amp; Fed payment services</w:t>
      </w:r>
      <w:r w:rsidRPr="00E22764">
        <w:br/>
      </w:r>
      <w:hyperlink r:id="rId4" w:tgtFrame="_blank" w:tooltip="https://www.frbservices.org/resources/financial-services/ach.html" w:history="1">
        <w:r w:rsidRPr="00E22764">
          <w:rPr>
            <w:rStyle w:val="Hyperlink"/>
          </w:rPr>
          <w:t>https://www.frbservices.org/resources/financial-services/ach.html</w:t>
        </w:r>
      </w:hyperlink>
    </w:p>
    <w:p w14:paraId="22DC1730" w14:textId="77777777" w:rsidR="00E22764" w:rsidRPr="00E22764" w:rsidRDefault="00E22764" w:rsidP="00E22764">
      <w:proofErr w:type="spellStart"/>
      <w:r w:rsidRPr="00E22764">
        <w:rPr>
          <w:b/>
          <w:bCs/>
        </w:rPr>
        <w:t>FedNow</w:t>
      </w:r>
      <w:proofErr w:type="spellEnd"/>
      <w:r w:rsidRPr="00E22764">
        <w:rPr>
          <w:b/>
          <w:bCs/>
        </w:rPr>
        <w:t>® official site</w:t>
      </w:r>
      <w:r w:rsidRPr="00E22764">
        <w:br/>
      </w:r>
      <w:hyperlink r:id="rId5" w:tgtFrame="_blank" w:tooltip="https://www.frbservices.org/financial-services/fednow" w:history="1">
        <w:r w:rsidRPr="00E22764">
          <w:rPr>
            <w:rStyle w:val="Hyperlink"/>
          </w:rPr>
          <w:t>https://www.frbservices.org/financial-services/fednow</w:t>
        </w:r>
      </w:hyperlink>
    </w:p>
    <w:p w14:paraId="707252B8" w14:textId="77777777" w:rsidR="00E22764" w:rsidRPr="00E22764" w:rsidRDefault="00E22764" w:rsidP="00E22764">
      <w:proofErr w:type="spellStart"/>
      <w:r w:rsidRPr="00E22764">
        <w:rPr>
          <w:b/>
          <w:bCs/>
        </w:rPr>
        <w:t>FedNow</w:t>
      </w:r>
      <w:proofErr w:type="spellEnd"/>
      <w:r w:rsidRPr="00E22764">
        <w:rPr>
          <w:b/>
          <w:bCs/>
        </w:rPr>
        <w:t xml:space="preserve"> participation updates</w:t>
      </w:r>
      <w:r w:rsidRPr="00E22764">
        <w:br/>
      </w:r>
      <w:hyperlink r:id="rId6" w:tgtFrame="_blank" w:tooltip="https://www.epayresources.org/news/fednow-participation-keeps-growing" w:history="1">
        <w:r w:rsidRPr="00E22764">
          <w:rPr>
            <w:rStyle w:val="Hyperlink"/>
          </w:rPr>
          <w:t>https://www.epayresources.org/News/fednow-participation-keeps-growing</w:t>
        </w:r>
      </w:hyperlink>
      <w:r w:rsidRPr="00E22764">
        <w:br/>
      </w:r>
      <w:hyperlink r:id="rId7" w:tgtFrame="_blank" w:tooltip="https://www.americascreditunions.org/blogs/americas-credit-unions/4-fednowr-service-updates-you-need-know" w:history="1">
        <w:r w:rsidRPr="00E22764">
          <w:rPr>
            <w:rStyle w:val="Hyperlink"/>
          </w:rPr>
          <w:t>https://www.americascreditunions.org/blogs/americas-credit-unions/4-fednowr-service-updates-you-nee…</w:t>
        </w:r>
      </w:hyperlink>
    </w:p>
    <w:p w14:paraId="6CDC4537" w14:textId="77777777" w:rsidR="00E22764" w:rsidRPr="00E22764" w:rsidRDefault="00E22764" w:rsidP="00E22764">
      <w:r w:rsidRPr="00E22764">
        <w:rPr>
          <w:b/>
          <w:bCs/>
        </w:rPr>
        <w:t>RTP® Network adoption &amp; statistics</w:t>
      </w:r>
      <w:r w:rsidRPr="00E22764">
        <w:br/>
      </w:r>
      <w:hyperlink r:id="rId8" w:tgtFrame="_blank" w:tooltip="https://www.theclearinghouse.org/payment-systems/rtp" w:history="1">
        <w:r w:rsidRPr="00E22764">
          <w:rPr>
            <w:rStyle w:val="Hyperlink"/>
          </w:rPr>
          <w:t>https://www.theclearinghouse.org/payment-systems/rtp</w:t>
        </w:r>
      </w:hyperlink>
      <w:r w:rsidRPr="00E22764">
        <w:br/>
      </w:r>
      <w:hyperlink r:id="rId9" w:tgtFrame="_blank" w:tooltip="https://www.theclearinghouse.org/payment-systems/rtp/rtp-resources" w:history="1">
        <w:r w:rsidRPr="00E22764">
          <w:rPr>
            <w:rStyle w:val="Hyperlink"/>
          </w:rPr>
          <w:t>https://www.theclearinghouse.org/payment-systems/rtp/rtp-resources</w:t>
        </w:r>
      </w:hyperlink>
    </w:p>
    <w:p w14:paraId="5958503B" w14:textId="77777777" w:rsidR="00E22764" w:rsidRPr="00E22764" w:rsidRDefault="00E22764" w:rsidP="00E22764">
      <w:pPr>
        <w:rPr>
          <w:lang w:val="it-IT"/>
        </w:rPr>
      </w:pPr>
      <w:r w:rsidRPr="00E22764">
        <w:rPr>
          <w:b/>
          <w:bCs/>
          <w:lang w:val="it-IT"/>
        </w:rPr>
        <w:t>ISO 20022 overview</w:t>
      </w:r>
      <w:r w:rsidRPr="00E22764">
        <w:rPr>
          <w:lang w:val="it-IT"/>
        </w:rPr>
        <w:br/>
      </w:r>
      <w:hyperlink r:id="rId10" w:tgtFrame="_blank" w:tooltip="https://www.iso20022.org/iso-20022-messages" w:history="1">
        <w:r w:rsidRPr="00E22764">
          <w:rPr>
            <w:rStyle w:val="Hyperlink"/>
            <w:lang w:val="it-IT"/>
          </w:rPr>
          <w:t>https://www.iso20022.org/iso-20022-messages</w:t>
        </w:r>
      </w:hyperlink>
      <w:r w:rsidRPr="00E22764">
        <w:rPr>
          <w:lang w:val="it-IT"/>
        </w:rPr>
        <w:br/>
      </w:r>
      <w:hyperlink r:id="rId11" w:tgtFrame="_blank" w:tooltip="https://fedpaymentsimprovement.org/iso20022/" w:history="1">
        <w:r w:rsidRPr="00E22764">
          <w:rPr>
            <w:rStyle w:val="Hyperlink"/>
            <w:lang w:val="it-IT"/>
          </w:rPr>
          <w:t>https://fedpaymentsimprovement.org/iso20022/</w:t>
        </w:r>
      </w:hyperlink>
    </w:p>
    <w:p w14:paraId="2C0ACE03" w14:textId="77777777" w:rsidR="00E22764" w:rsidRPr="00E22764" w:rsidRDefault="00E22764" w:rsidP="00E22764">
      <w:r w:rsidRPr="00E22764">
        <w:rPr>
          <w:b/>
          <w:bCs/>
        </w:rPr>
        <w:t>Harvard Kennedy School – “Reaching Real Time”</w:t>
      </w:r>
      <w:r w:rsidRPr="00E22764">
        <w:br/>
      </w:r>
      <w:hyperlink r:id="rId12" w:tgtFrame="_blank" w:tooltip="https://www.hks.harvard.edu/sites/default/files/centers/mrcbg/final_awp_239.pdf" w:history="1">
        <w:r w:rsidRPr="00E22764">
          <w:rPr>
            <w:rStyle w:val="Hyperlink"/>
          </w:rPr>
          <w:t>https://www.hks.harvard.edu/sites/default/files/centers/mrcbg/Final_AWP_239.pdf</w:t>
        </w:r>
      </w:hyperlink>
    </w:p>
    <w:p w14:paraId="358E161E" w14:textId="77777777" w:rsidR="00E22764" w:rsidRPr="00E22764" w:rsidRDefault="00E22764" w:rsidP="00E22764">
      <w:r w:rsidRPr="00E22764">
        <w:rPr>
          <w:b/>
          <w:bCs/>
        </w:rPr>
        <w:t>J.P. Morgan – Instant Payments &amp; Use Cases</w:t>
      </w:r>
      <w:r w:rsidRPr="00E22764">
        <w:br/>
      </w:r>
      <w:hyperlink r:id="rId13" w:tgtFrame="_blank" w:tooltip="https://www.jpmorgan.com/insights/payments/real-time-payments" w:history="1">
        <w:r w:rsidRPr="00E22764">
          <w:rPr>
            <w:rStyle w:val="Hyperlink"/>
          </w:rPr>
          <w:t>https://www.jpmorgan.com/insights/payments/real-time-payments</w:t>
        </w:r>
      </w:hyperlink>
    </w:p>
    <w:p w14:paraId="26F34C40" w14:textId="77777777" w:rsidR="00E22764" w:rsidRPr="00E22764" w:rsidRDefault="00E22764" w:rsidP="00E22764">
      <w:r w:rsidRPr="00E22764">
        <w:rPr>
          <w:b/>
          <w:bCs/>
        </w:rPr>
        <w:t>U.S. Bank – Real-Time Payments</w:t>
      </w:r>
      <w:r w:rsidRPr="00E22764">
        <w:br/>
      </w:r>
      <w:hyperlink r:id="rId14" w:tgtFrame="_blank" w:tooltip="https://www.usbank.com/corporate-and-commercial-banking/treasury-payment-solutions/treasury-management/faster-payments/real-time-payments.html" w:history="1">
        <w:r w:rsidRPr="00E22764">
          <w:rPr>
            <w:rStyle w:val="Hyperlink"/>
          </w:rPr>
          <w:t>https://www.usbank.com/corporate-and-commercial-banking/treasury-payment-solutions/treasury-managem…</w:t>
        </w:r>
      </w:hyperlink>
    </w:p>
    <w:p w14:paraId="5EC0F470" w14:textId="77777777" w:rsidR="00E22764" w:rsidRPr="00E22764" w:rsidRDefault="00E22764" w:rsidP="00E22764">
      <w:r w:rsidRPr="00E22764">
        <w:rPr>
          <w:b/>
          <w:bCs/>
        </w:rPr>
        <w:lastRenderedPageBreak/>
        <w:t xml:space="preserve">Payment Rails &amp; Orchestration (Stripe, </w:t>
      </w:r>
      <w:proofErr w:type="spellStart"/>
      <w:r w:rsidRPr="00E22764">
        <w:rPr>
          <w:b/>
          <w:bCs/>
        </w:rPr>
        <w:t>Spreedly</w:t>
      </w:r>
      <w:proofErr w:type="spellEnd"/>
      <w:r w:rsidRPr="00E22764">
        <w:rPr>
          <w:b/>
          <w:bCs/>
        </w:rPr>
        <w:t>, Modern Treasury, Gr4vy)</w:t>
      </w:r>
      <w:r w:rsidRPr="00E22764">
        <w:br/>
      </w:r>
      <w:hyperlink r:id="rId15" w:tgtFrame="_blank" w:tooltip="https://stripe.com/resources/more/what-are-payment-rails" w:history="1">
        <w:r w:rsidRPr="00E22764">
          <w:rPr>
            <w:rStyle w:val="Hyperlink"/>
          </w:rPr>
          <w:t>https://stripe.com/resources/more/what-are-payment-rails</w:t>
        </w:r>
      </w:hyperlink>
      <w:r w:rsidRPr="00E22764">
        <w:br/>
      </w:r>
      <w:hyperlink r:id="rId16" w:tgtFrame="_blank" w:tooltip="https://www.spreedly.com/blog/what-is-payment-orchestration" w:history="1">
        <w:r w:rsidRPr="00E22764">
          <w:rPr>
            <w:rStyle w:val="Hyperlink"/>
          </w:rPr>
          <w:t>https://www.spreedly.com/blog/what-is-payment-orchestration</w:t>
        </w:r>
      </w:hyperlink>
      <w:r w:rsidRPr="00E22764">
        <w:br/>
      </w:r>
      <w:hyperlink r:id="rId17" w:tgtFrame="_blank" w:tooltip="https://www.moderntreasury.com/learn/real-time-payments" w:history="1">
        <w:r w:rsidRPr="00E22764">
          <w:rPr>
            <w:rStyle w:val="Hyperlink"/>
          </w:rPr>
          <w:t>https://www.moderntreasury.com/learn/real-time-payments</w:t>
        </w:r>
      </w:hyperlink>
      <w:r w:rsidRPr="00E22764">
        <w:br/>
      </w:r>
      <w:hyperlink r:id="rId18" w:tgtFrame="_blank" w:tooltip="https://gr4vy.com/platform" w:history="1">
        <w:r w:rsidRPr="00E22764">
          <w:rPr>
            <w:rStyle w:val="Hyperlink"/>
          </w:rPr>
          <w:t>https://gr4vy.com/platform</w:t>
        </w:r>
      </w:hyperlink>
    </w:p>
    <w:p w14:paraId="2B6E4794" w14:textId="77777777" w:rsidR="00E22764" w:rsidRPr="00E22764" w:rsidRDefault="00E22764" w:rsidP="00E22764">
      <w:r w:rsidRPr="00E22764">
        <w:rPr>
          <w:b/>
          <w:bCs/>
        </w:rPr>
        <w:t>International benchmarks</w:t>
      </w:r>
      <w:r w:rsidRPr="00E22764">
        <w:br/>
        <w:t xml:space="preserve">UPI – </w:t>
      </w:r>
      <w:hyperlink r:id="rId19" w:tgtFrame="_blank" w:tooltip="https://www.npci.org.in/upi" w:history="1">
        <w:r w:rsidRPr="00E22764">
          <w:rPr>
            <w:rStyle w:val="Hyperlink"/>
          </w:rPr>
          <w:t>https://www.npci.org.in/upi</w:t>
        </w:r>
      </w:hyperlink>
      <w:r w:rsidRPr="00E22764">
        <w:br/>
        <w:t xml:space="preserve">Pix – </w:t>
      </w:r>
      <w:hyperlink r:id="rId20" w:tgtFrame="_blank" w:tooltip="https://www.bcb.gov.br/en/pressdetail/2399" w:history="1">
        <w:r w:rsidRPr="00E22764">
          <w:rPr>
            <w:rStyle w:val="Hyperlink"/>
          </w:rPr>
          <w:t>https://www.bcb.gov.br/en/pressdetail/2399</w:t>
        </w:r>
      </w:hyperlink>
      <w:r w:rsidRPr="00E22764">
        <w:br/>
        <w:t xml:space="preserve">Faster Payments UK – </w:t>
      </w:r>
      <w:hyperlink r:id="rId21" w:tgtFrame="_blank" w:tooltip="https://www.fasterpayments.org.uk/" w:history="1">
        <w:r w:rsidRPr="00E22764">
          <w:rPr>
            <w:rStyle w:val="Hyperlink"/>
          </w:rPr>
          <w:t>https://www.fasterpayments.org.uk/</w:t>
        </w:r>
      </w:hyperlink>
    </w:p>
    <w:p w14:paraId="291DDECC" w14:textId="77777777" w:rsidR="00E22764" w:rsidRDefault="00E22764"/>
    <w:sectPr w:rsidR="00E22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764"/>
    <w:rsid w:val="00330CD0"/>
    <w:rsid w:val="00E22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E0BDF"/>
  <w15:chartTrackingRefBased/>
  <w15:docId w15:val="{74DE4F5E-7364-4FFB-A34A-DBCF727AC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2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2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27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27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27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27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27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27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27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27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27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27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27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27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27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27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27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2764"/>
    <w:rPr>
      <w:rFonts w:eastAsiaTheme="majorEastAsia" w:cstheme="majorBidi"/>
      <w:color w:val="272727" w:themeColor="text1" w:themeTint="D8"/>
    </w:rPr>
  </w:style>
  <w:style w:type="paragraph" w:styleId="Title">
    <w:name w:val="Title"/>
    <w:basedOn w:val="Normal"/>
    <w:next w:val="Normal"/>
    <w:link w:val="TitleChar"/>
    <w:uiPriority w:val="10"/>
    <w:qFormat/>
    <w:rsid w:val="00E22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27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27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27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2764"/>
    <w:pPr>
      <w:spacing w:before="160"/>
      <w:jc w:val="center"/>
    </w:pPr>
    <w:rPr>
      <w:i/>
      <w:iCs/>
      <w:color w:val="404040" w:themeColor="text1" w:themeTint="BF"/>
    </w:rPr>
  </w:style>
  <w:style w:type="character" w:customStyle="1" w:styleId="QuoteChar">
    <w:name w:val="Quote Char"/>
    <w:basedOn w:val="DefaultParagraphFont"/>
    <w:link w:val="Quote"/>
    <w:uiPriority w:val="29"/>
    <w:rsid w:val="00E22764"/>
    <w:rPr>
      <w:i/>
      <w:iCs/>
      <w:color w:val="404040" w:themeColor="text1" w:themeTint="BF"/>
    </w:rPr>
  </w:style>
  <w:style w:type="paragraph" w:styleId="ListParagraph">
    <w:name w:val="List Paragraph"/>
    <w:basedOn w:val="Normal"/>
    <w:uiPriority w:val="34"/>
    <w:qFormat/>
    <w:rsid w:val="00E22764"/>
    <w:pPr>
      <w:ind w:left="720"/>
      <w:contextualSpacing/>
    </w:pPr>
  </w:style>
  <w:style w:type="character" w:styleId="IntenseEmphasis">
    <w:name w:val="Intense Emphasis"/>
    <w:basedOn w:val="DefaultParagraphFont"/>
    <w:uiPriority w:val="21"/>
    <w:qFormat/>
    <w:rsid w:val="00E22764"/>
    <w:rPr>
      <w:i/>
      <w:iCs/>
      <w:color w:val="0F4761" w:themeColor="accent1" w:themeShade="BF"/>
    </w:rPr>
  </w:style>
  <w:style w:type="paragraph" w:styleId="IntenseQuote">
    <w:name w:val="Intense Quote"/>
    <w:basedOn w:val="Normal"/>
    <w:next w:val="Normal"/>
    <w:link w:val="IntenseQuoteChar"/>
    <w:uiPriority w:val="30"/>
    <w:qFormat/>
    <w:rsid w:val="00E22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2764"/>
    <w:rPr>
      <w:i/>
      <w:iCs/>
      <w:color w:val="0F4761" w:themeColor="accent1" w:themeShade="BF"/>
    </w:rPr>
  </w:style>
  <w:style w:type="character" w:styleId="IntenseReference">
    <w:name w:val="Intense Reference"/>
    <w:basedOn w:val="DefaultParagraphFont"/>
    <w:uiPriority w:val="32"/>
    <w:qFormat/>
    <w:rsid w:val="00E22764"/>
    <w:rPr>
      <w:b/>
      <w:bCs/>
      <w:smallCaps/>
      <w:color w:val="0F4761" w:themeColor="accent1" w:themeShade="BF"/>
      <w:spacing w:val="5"/>
    </w:rPr>
  </w:style>
  <w:style w:type="character" w:styleId="Hyperlink">
    <w:name w:val="Hyperlink"/>
    <w:basedOn w:val="DefaultParagraphFont"/>
    <w:uiPriority w:val="99"/>
    <w:unhideWhenUsed/>
    <w:rsid w:val="00E22764"/>
    <w:rPr>
      <w:color w:val="467886" w:themeColor="hyperlink"/>
      <w:u w:val="single"/>
    </w:rPr>
  </w:style>
  <w:style w:type="character" w:styleId="UnresolvedMention">
    <w:name w:val="Unresolved Mention"/>
    <w:basedOn w:val="DefaultParagraphFont"/>
    <w:uiPriority w:val="99"/>
    <w:semiHidden/>
    <w:unhideWhenUsed/>
    <w:rsid w:val="00E227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3772707">
      <w:bodyDiv w:val="1"/>
      <w:marLeft w:val="0"/>
      <w:marRight w:val="0"/>
      <w:marTop w:val="0"/>
      <w:marBottom w:val="0"/>
      <w:divBdr>
        <w:top w:val="none" w:sz="0" w:space="0" w:color="auto"/>
        <w:left w:val="none" w:sz="0" w:space="0" w:color="auto"/>
        <w:bottom w:val="none" w:sz="0" w:space="0" w:color="auto"/>
        <w:right w:val="none" w:sz="0" w:space="0" w:color="auto"/>
      </w:divBdr>
    </w:div>
    <w:div w:id="1156454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clearinghouse.org/payment-systems/rtp" TargetMode="External"/><Relationship Id="rId13" Type="http://schemas.openxmlformats.org/officeDocument/2006/relationships/hyperlink" Target="https://www.jpmorgan.com/insights/payments/real-time-payments" TargetMode="External"/><Relationship Id="rId18" Type="http://schemas.openxmlformats.org/officeDocument/2006/relationships/hyperlink" Target="https://gr4vy.com/platform" TargetMode="External"/><Relationship Id="rId3" Type="http://schemas.openxmlformats.org/officeDocument/2006/relationships/webSettings" Target="webSettings.xml"/><Relationship Id="rId21" Type="http://schemas.openxmlformats.org/officeDocument/2006/relationships/hyperlink" Target="https://www.fasterpayments.org.uk/" TargetMode="External"/><Relationship Id="rId7" Type="http://schemas.openxmlformats.org/officeDocument/2006/relationships/hyperlink" Target="https://www.americascreditunions.org/blogs/americas-credit-unions/4-fednowr-service-updates-you-need-know" TargetMode="External"/><Relationship Id="rId12" Type="http://schemas.openxmlformats.org/officeDocument/2006/relationships/hyperlink" Target="https://www.hks.harvard.edu/sites/default/files/centers/mrcbg/Final_AWP_239.pdf" TargetMode="External"/><Relationship Id="rId17" Type="http://schemas.openxmlformats.org/officeDocument/2006/relationships/hyperlink" Target="https://www.moderntreasury.com/learn/real-time-payments" TargetMode="External"/><Relationship Id="rId2" Type="http://schemas.openxmlformats.org/officeDocument/2006/relationships/settings" Target="settings.xml"/><Relationship Id="rId16" Type="http://schemas.openxmlformats.org/officeDocument/2006/relationships/hyperlink" Target="https://www.spreedly.com/blog/what-is-payment-orchestration" TargetMode="External"/><Relationship Id="rId20" Type="http://schemas.openxmlformats.org/officeDocument/2006/relationships/hyperlink" Target="https://www.bcb.gov.br/en/pressdetail/2399" TargetMode="External"/><Relationship Id="rId1" Type="http://schemas.openxmlformats.org/officeDocument/2006/relationships/styles" Target="styles.xml"/><Relationship Id="rId6" Type="http://schemas.openxmlformats.org/officeDocument/2006/relationships/hyperlink" Target="https://www.epayresources.org/News/fednow-participation-keeps-growing" TargetMode="External"/><Relationship Id="rId11" Type="http://schemas.openxmlformats.org/officeDocument/2006/relationships/hyperlink" Target="https://fedpaymentsimprovement.org/iso20022/" TargetMode="External"/><Relationship Id="rId5" Type="http://schemas.openxmlformats.org/officeDocument/2006/relationships/hyperlink" Target="https://www.frbservices.org/financial-services/fednow" TargetMode="External"/><Relationship Id="rId15" Type="http://schemas.openxmlformats.org/officeDocument/2006/relationships/hyperlink" Target="https://stripe.com/resources/more/what-are-payment-rails" TargetMode="External"/><Relationship Id="rId23" Type="http://schemas.openxmlformats.org/officeDocument/2006/relationships/theme" Target="theme/theme1.xml"/><Relationship Id="rId10" Type="http://schemas.openxmlformats.org/officeDocument/2006/relationships/hyperlink" Target="https://www.iso20022.org/iso-20022-messages" TargetMode="External"/><Relationship Id="rId19" Type="http://schemas.openxmlformats.org/officeDocument/2006/relationships/hyperlink" Target="https://www.npci.org.in/upi" TargetMode="External"/><Relationship Id="rId4" Type="http://schemas.openxmlformats.org/officeDocument/2006/relationships/hyperlink" Target="https://www.frbservices.org/resources/financial-services/ach.html" TargetMode="External"/><Relationship Id="rId9" Type="http://schemas.openxmlformats.org/officeDocument/2006/relationships/hyperlink" Target="https://www.theclearinghouse.org/payment-systems/rtp/rtp-resources" TargetMode="External"/><Relationship Id="rId14" Type="http://schemas.openxmlformats.org/officeDocument/2006/relationships/hyperlink" Target="https://www.usbank.com/corporate-and-commercial-banking/treasury-payment-solutions/treasury-management/faster-payments/real-time-payments.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2277</Words>
  <Characters>12979</Characters>
  <Application>Microsoft Office Word</Application>
  <DocSecurity>0</DocSecurity>
  <Lines>108</Lines>
  <Paragraphs>30</Paragraphs>
  <ScaleCrop>false</ScaleCrop>
  <Company/>
  <LinksUpToDate>false</LinksUpToDate>
  <CharactersWithSpaces>15226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Pensa, Matthew (Bip.Monticello)</dc:creator>
  <cp:keywords/>
  <dc:description/>
  <cp:lastModifiedBy>Pensa, Matthew (Bip.Monticello)</cp:lastModifiedBy>
  <cp:revision>1</cp:revision>
  <dcterms:created xsi:type="dcterms:W3CDTF">2025-11-21T18:53:00Z</dcterms:created>
  <dcterms:modified xsi:type="dcterms:W3CDTF">2025-11-21T18:54:00Z</dcterms:modified>
</cp:coreProperties>
</file>