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814E1" w14:textId="77777777" w:rsidR="00280F68" w:rsidRPr="00280F68" w:rsidRDefault="00280F68" w:rsidP="00280F68">
      <w:pPr>
        <w:rPr>
          <w:b/>
          <w:bCs/>
        </w:rPr>
      </w:pPr>
      <w:r w:rsidRPr="00280F68">
        <w:rPr>
          <w:b/>
          <w:bCs/>
        </w:rPr>
        <w:t>The Great Convergence: Super-Apps, BNPL, and the Future of Financial Infrastructure (2012–2030)</w:t>
      </w:r>
    </w:p>
    <w:p w14:paraId="4965D547" w14:textId="77777777" w:rsidR="00280F68" w:rsidRPr="00280F68" w:rsidRDefault="00280F68" w:rsidP="00280F68">
      <w:pPr>
        <w:rPr>
          <w:b/>
          <w:bCs/>
        </w:rPr>
      </w:pPr>
      <w:r w:rsidRPr="00280F68">
        <w:rPr>
          <w:b/>
          <w:bCs/>
        </w:rPr>
        <w:t>Executive Summary</w:t>
      </w:r>
    </w:p>
    <w:p w14:paraId="62B3E0F4" w14:textId="77777777" w:rsidR="00280F68" w:rsidRPr="00280F68" w:rsidRDefault="00280F68" w:rsidP="00280F68">
      <w:r w:rsidRPr="00280F68">
        <w:t>The global financial system is currently navigating a structural discontinuity. For fifty years, the dominant paradigm was the card-based network model, centered on banking intermediaries and interchange fees. This era is ending. It is being replaced by a platform-centric, mobile-first paradigm—the "Super-App Ecosystem"—where payments, credit, and lifestyle services converge into a single interface. This report, grounded in granular transaction-level data from leading Asian markets and strategic analyses of emerging giants like Grab, argues that we are witnessing the decoupling of financial access from traditional banking architecture.</w:t>
      </w:r>
    </w:p>
    <w:p w14:paraId="29C9DA84" w14:textId="77777777" w:rsidR="00280F68" w:rsidRPr="00280F68" w:rsidRDefault="00280F68" w:rsidP="00280F68">
      <w:r w:rsidRPr="00280F68">
        <w:t>Central to this transformation is the evolution of Buy-Now-Pay-Later (BNPL). No longer merely a niche credit product for discretionary purchases, BNPL has evolved into "digital cash"—a dominant medium of exchange for high-frequency, low-value transactions that displaces both physical currency and debit cards. The analysis demonstrates that when integrated into a super-app, BNPL creates a "disciplinary ecosystem" that allows for massive credit expansion at the extensive margin (financial inclusion) without the concurrent rise in default rates observed in Western pure-play models.</w:t>
      </w:r>
    </w:p>
    <w:p w14:paraId="3FD0C6AE" w14:textId="77777777" w:rsidR="00280F68" w:rsidRPr="00280F68" w:rsidRDefault="00280F68" w:rsidP="00280F68">
      <w:r w:rsidRPr="00280F68">
        <w:t>This report offers an exhaustive analysis of these dynamics. It dissects the "flywheel" mechanics of super-apps in Southeast Asia, the econometric realities of payment choices in China, and the impending clash between private ecosystems and public real-time payment rails. Furthermore, it projects these trends through 2030, providing a strategic roadmap for the transition from a cash-heavy to a digitally integrated global economy.</w:t>
      </w:r>
    </w:p>
    <w:p w14:paraId="4762DB0D" w14:textId="77777777" w:rsidR="00280F68" w:rsidRPr="00280F68" w:rsidRDefault="00280F68" w:rsidP="00280F68">
      <w:pPr>
        <w:rPr>
          <w:b/>
          <w:bCs/>
        </w:rPr>
      </w:pPr>
      <w:r w:rsidRPr="00280F68">
        <w:rPr>
          <w:b/>
          <w:bCs/>
        </w:rPr>
        <w:t>1. The Architecture of the Super-App Paradigm</w:t>
      </w:r>
    </w:p>
    <w:p w14:paraId="367A5365" w14:textId="77777777" w:rsidR="00280F68" w:rsidRPr="00280F68" w:rsidRDefault="00280F68" w:rsidP="00280F68">
      <w:pPr>
        <w:rPr>
          <w:b/>
          <w:bCs/>
        </w:rPr>
      </w:pPr>
      <w:r w:rsidRPr="00280F68">
        <w:rPr>
          <w:b/>
          <w:bCs/>
        </w:rPr>
        <w:t>1.1 The Structural Divergence of Digital Finance</w:t>
      </w:r>
    </w:p>
    <w:p w14:paraId="0DDE2316" w14:textId="77777777" w:rsidR="00280F68" w:rsidRPr="00280F68" w:rsidRDefault="00280F68" w:rsidP="00280F68">
      <w:r w:rsidRPr="00280F68">
        <w:t xml:space="preserve">To understand the future of payments, one must first recognize the bifurcation of the last decade. In the developed economies of North America and Western Europe, innovation occurred primarily at the </w:t>
      </w:r>
      <w:r w:rsidRPr="00280F68">
        <w:rPr>
          <w:i/>
          <w:iCs/>
        </w:rPr>
        <w:t>interface layer</w:t>
      </w:r>
      <w:r w:rsidRPr="00280F68">
        <w:t>. Digital wallets like Apple Pay or Google Pay emerged as "conduits"—sophisticated veneers over existing legacy rails (credit card networks and ACH). These conduits reduced friction but preserved the underlying economics: the bank remained the ledger of record, and the card network remained the settlement layer.</w:t>
      </w:r>
      <w:r w:rsidRPr="00280F68">
        <w:rPr>
          <w:vertAlign w:val="superscript"/>
        </w:rPr>
        <w:t>1</w:t>
      </w:r>
    </w:p>
    <w:p w14:paraId="1DF4AADB" w14:textId="77777777" w:rsidR="00280F68" w:rsidRPr="00280F68" w:rsidRDefault="00280F68" w:rsidP="00280F68">
      <w:r w:rsidRPr="00280F68">
        <w:t xml:space="preserve">In contrast, emerging Asia—specifically China and Southeast Asia—developed a fundamentally different architecture: the Super-App. Driven by the "leapfrog" </w:t>
      </w:r>
      <w:r w:rsidRPr="00280F68">
        <w:lastRenderedPageBreak/>
        <w:t xml:space="preserve">phenomenon, these markets bypassed the desktop internet and credit card era entirely. In this model, the wallet is not </w:t>
      </w:r>
      <w:proofErr w:type="gramStart"/>
      <w:r w:rsidRPr="00280F68">
        <w:t>a pass-through</w:t>
      </w:r>
      <w:proofErr w:type="gramEnd"/>
      <w:r w:rsidRPr="00280F68">
        <w:t>; it is the destination. The super-app (e.g., Alipay, WeChat Pay, Grab) owns the customer relationship, the transaction data, and increasingly, the settlement ledger.</w:t>
      </w:r>
      <w:r w:rsidRPr="00280F68">
        <w:rPr>
          <w:vertAlign w:val="superscript"/>
        </w:rPr>
        <w:t>1</w:t>
      </w:r>
    </w:p>
    <w:p w14:paraId="4E4B5F50" w14:textId="77777777" w:rsidR="00280F68" w:rsidRPr="00280F68" w:rsidRDefault="00280F68" w:rsidP="00280F68">
      <w:r w:rsidRPr="00280F68">
        <w:t xml:space="preserve">The scale of this divergence is quantifiable. By 2021, e-wallets accounted for </w:t>
      </w:r>
      <w:r w:rsidRPr="00280F68">
        <w:rPr>
          <w:b/>
          <w:bCs/>
        </w:rPr>
        <w:t>69%</w:t>
      </w:r>
      <w:r w:rsidRPr="00280F68">
        <w:t xml:space="preserve"> of e-commerce spending and </w:t>
      </w:r>
      <w:r w:rsidRPr="00280F68">
        <w:rPr>
          <w:b/>
          <w:bCs/>
        </w:rPr>
        <w:t>44%</w:t>
      </w:r>
      <w:r w:rsidRPr="00280F68">
        <w:t xml:space="preserve"> of point-of-sale (POS) transactions in the Asia-Pacific region. In sharp contrast, e-wallets managed only </w:t>
      </w:r>
      <w:r w:rsidRPr="00280F68">
        <w:rPr>
          <w:b/>
          <w:bCs/>
        </w:rPr>
        <w:t>10%</w:t>
      </w:r>
      <w:r w:rsidRPr="00280F68">
        <w:t xml:space="preserve"> of POS transactions in North America.</w:t>
      </w:r>
      <w:r w:rsidRPr="00280F68">
        <w:rPr>
          <w:vertAlign w:val="superscript"/>
        </w:rPr>
        <w:t>1</w:t>
      </w:r>
      <w:r w:rsidRPr="00280F68">
        <w:t xml:space="preserve"> This disparity is not merely a matter of consumer preference but of infrastructure. In regions with sparse ATM networks—where a rural villager in Thailand or Vietnam might be an hour's drive from cash access—the smartphone becomes the primary banking branch.</w:t>
      </w:r>
      <w:r w:rsidRPr="00280F68">
        <w:rPr>
          <w:vertAlign w:val="superscript"/>
        </w:rPr>
        <w:t>1</w:t>
      </w:r>
    </w:p>
    <w:p w14:paraId="3C944C0A" w14:textId="77777777" w:rsidR="00280F68" w:rsidRPr="00280F68" w:rsidRDefault="00280F68" w:rsidP="00280F68">
      <w:pPr>
        <w:rPr>
          <w:b/>
          <w:bCs/>
        </w:rPr>
      </w:pPr>
      <w:r w:rsidRPr="00280F68">
        <w:rPr>
          <w:b/>
          <w:bCs/>
        </w:rPr>
        <w:t>1.2 The "Flywheel" Mechanics: Velocity and Retention</w:t>
      </w:r>
    </w:p>
    <w:p w14:paraId="2035FC84" w14:textId="77777777" w:rsidR="00280F68" w:rsidRPr="00280F68" w:rsidRDefault="00280F68" w:rsidP="00280F68">
      <w:r w:rsidRPr="00280F68">
        <w:t>The economic engine of the super-app is the "flywheel effect." In traditional banking, cross-selling is difficult; a checking account customer does not naturally migrate to a mortgage product. In a super-app, high-frequency, low-margin lifestyle services (ride-hailing, food delivery) are used to acquire users and build habituation. This engagement is then monetized through high-margin financial services (lending, insurance, wealth management).</w:t>
      </w:r>
    </w:p>
    <w:p w14:paraId="52252879" w14:textId="77777777" w:rsidR="00280F68" w:rsidRPr="00280F68" w:rsidRDefault="00280F68" w:rsidP="00280F68">
      <w:r w:rsidRPr="00280F68">
        <w:t>Strategic analysis of Grab, Southeast Asia’s leading super-app, reveals the potency of this mechanism.</w:t>
      </w:r>
    </w:p>
    <w:p w14:paraId="768E7F99" w14:textId="77777777" w:rsidR="00280F68" w:rsidRPr="00280F68" w:rsidRDefault="00280F68" w:rsidP="00280F68">
      <w:pPr>
        <w:numPr>
          <w:ilvl w:val="0"/>
          <w:numId w:val="1"/>
        </w:numPr>
      </w:pPr>
      <w:r w:rsidRPr="00280F68">
        <w:rPr>
          <w:b/>
          <w:bCs/>
        </w:rPr>
        <w:t>Engagement Multipliers:</w:t>
      </w:r>
      <w:r w:rsidRPr="00280F68">
        <w:t xml:space="preserve"> A user engaging with a single service on Grab retains at a rate of approximately </w:t>
      </w:r>
      <w:r w:rsidRPr="00280F68">
        <w:rPr>
          <w:b/>
          <w:bCs/>
        </w:rPr>
        <w:t>34%</w:t>
      </w:r>
      <w:r w:rsidRPr="00280F68">
        <w:t xml:space="preserve">. However, a user engaging with four or more services exhibits a retention rate exceeding </w:t>
      </w:r>
      <w:r w:rsidRPr="00280F68">
        <w:rPr>
          <w:b/>
          <w:bCs/>
        </w:rPr>
        <w:t>85%</w:t>
      </w:r>
      <w:r w:rsidRPr="00280F68">
        <w:t>.</w:t>
      </w:r>
      <w:r w:rsidRPr="00280F68">
        <w:rPr>
          <w:vertAlign w:val="superscript"/>
        </w:rPr>
        <w:t>1</w:t>
      </w:r>
    </w:p>
    <w:p w14:paraId="53C20206" w14:textId="77777777" w:rsidR="00280F68" w:rsidRPr="00280F68" w:rsidRDefault="00280F68" w:rsidP="00280F68">
      <w:pPr>
        <w:numPr>
          <w:ilvl w:val="0"/>
          <w:numId w:val="1"/>
        </w:numPr>
      </w:pPr>
      <w:r w:rsidRPr="00280F68">
        <w:rPr>
          <w:b/>
          <w:bCs/>
        </w:rPr>
        <w:t>Operational Fluidity:</w:t>
      </w:r>
      <w:r w:rsidRPr="00280F68">
        <w:t xml:space="preserve"> The ecosystem allows for labor fluidity. Approximately </w:t>
      </w:r>
      <w:r w:rsidRPr="00280F68">
        <w:rPr>
          <w:b/>
          <w:bCs/>
        </w:rPr>
        <w:t>78%</w:t>
      </w:r>
      <w:r w:rsidRPr="00280F68">
        <w:t xml:space="preserve"> of Grab’s two-wheel drivers operate across both mobility (transporting passengers) and delivery (transporting goods) verticals.</w:t>
      </w:r>
      <w:r w:rsidRPr="00280F68">
        <w:rPr>
          <w:vertAlign w:val="superscript"/>
        </w:rPr>
        <w:t>1</w:t>
      </w:r>
      <w:r w:rsidRPr="00280F68">
        <w:t xml:space="preserve"> This "shared fleet" model smooths demand peaks and troughs, stabilizing income for the driver and reliability for the consumer.</w:t>
      </w:r>
    </w:p>
    <w:p w14:paraId="54D47A51" w14:textId="77777777" w:rsidR="00280F68" w:rsidRPr="00280F68" w:rsidRDefault="00280F68" w:rsidP="00280F68">
      <w:r w:rsidRPr="00280F68">
        <w:t xml:space="preserve">This deep integration creates a defensive moat. By 2027, it is projected that more than </w:t>
      </w:r>
      <w:r w:rsidRPr="00280F68">
        <w:rPr>
          <w:b/>
          <w:bCs/>
        </w:rPr>
        <w:t>50%</w:t>
      </w:r>
      <w:r w:rsidRPr="00280F68">
        <w:t xml:space="preserve"> of the global population will use multiple super-apps daily.</w:t>
      </w:r>
      <w:r w:rsidRPr="00280F68">
        <w:rPr>
          <w:vertAlign w:val="superscript"/>
        </w:rPr>
        <w:t>1</w:t>
      </w:r>
      <w:r w:rsidRPr="00280F68">
        <w:t xml:space="preserve"> This level of ubiquity effectively relegates traditional banking apps to the periphery of consumer attention.</w:t>
      </w:r>
    </w:p>
    <w:p w14:paraId="766562F8" w14:textId="77777777" w:rsidR="00280F68" w:rsidRPr="00280F68" w:rsidRDefault="00280F68" w:rsidP="00280F68">
      <w:pPr>
        <w:rPr>
          <w:b/>
          <w:bCs/>
        </w:rPr>
      </w:pPr>
      <w:r w:rsidRPr="00280F68">
        <w:rPr>
          <w:b/>
          <w:bCs/>
        </w:rPr>
        <w:t>1.3 Hyper-Localization as a Barrier to Entry</w:t>
      </w:r>
    </w:p>
    <w:p w14:paraId="2A92B35D" w14:textId="77777777" w:rsidR="00280F68" w:rsidRPr="00280F68" w:rsidRDefault="00280F68" w:rsidP="00280F68">
      <w:r w:rsidRPr="00280F68">
        <w:t xml:space="preserve">A critical oversight in Western analysis of super-apps is the assumption that global tech giants (Uber, Google) can easily displace regional players. This ignores the necessity of </w:t>
      </w:r>
      <w:r w:rsidRPr="00280F68">
        <w:lastRenderedPageBreak/>
        <w:t>"hyper-localization." Super-apps like Grab succeed by solving specific, local infrastructure failures that global players overlook.</w:t>
      </w:r>
    </w:p>
    <w:p w14:paraId="58F7C695" w14:textId="77777777" w:rsidR="00280F68" w:rsidRPr="00280F68" w:rsidRDefault="00280F68" w:rsidP="00280F68">
      <w:pPr>
        <w:numPr>
          <w:ilvl w:val="0"/>
          <w:numId w:val="2"/>
        </w:numPr>
      </w:pPr>
      <w:r w:rsidRPr="00280F68">
        <w:rPr>
          <w:b/>
          <w:bCs/>
        </w:rPr>
        <w:t>Mapping:</w:t>
      </w:r>
      <w:r w:rsidRPr="00280F68">
        <w:t xml:space="preserve"> Grab developed "GrabMaps" because third-party global mapping services failed to capture the intricate, informal road networks of Southeast Asian cities. This proprietary data asset now powers the platform’s logistics efficiency.</w:t>
      </w:r>
      <w:r w:rsidRPr="00280F68">
        <w:rPr>
          <w:vertAlign w:val="superscript"/>
        </w:rPr>
        <w:t>1</w:t>
      </w:r>
    </w:p>
    <w:p w14:paraId="348A2D21" w14:textId="77777777" w:rsidR="00280F68" w:rsidRPr="00280F68" w:rsidRDefault="00280F68" w:rsidP="00280F68">
      <w:pPr>
        <w:numPr>
          <w:ilvl w:val="0"/>
          <w:numId w:val="2"/>
        </w:numPr>
      </w:pPr>
      <w:r w:rsidRPr="00280F68">
        <w:rPr>
          <w:b/>
          <w:bCs/>
        </w:rPr>
        <w:t>Linguistic Adaptation:</w:t>
      </w:r>
      <w:r w:rsidRPr="00280F68">
        <w:t xml:space="preserve"> The platform redesigned typefaces specifically for Thai and Cambodian scripts. These languages feature complex character stacks that often render poorly on standard mobile interfaces. By optimizing for readability on low-end smartphones running on 2G/3G networks, the super-app secured the loyalty of the mass market.</w:t>
      </w:r>
      <w:r w:rsidRPr="00280F68">
        <w:rPr>
          <w:vertAlign w:val="superscript"/>
        </w:rPr>
        <w:t>1</w:t>
      </w:r>
    </w:p>
    <w:p w14:paraId="33F20D27" w14:textId="77777777" w:rsidR="00280F68" w:rsidRPr="00280F68" w:rsidRDefault="00280F68" w:rsidP="00280F68">
      <w:pPr>
        <w:rPr>
          <w:b/>
          <w:bCs/>
        </w:rPr>
      </w:pPr>
      <w:r w:rsidRPr="00280F68">
        <w:rPr>
          <w:b/>
          <w:bCs/>
        </w:rPr>
        <w:t>2. Buy-Now-Pay-Later (BNPL): The New Digital Cash</w:t>
      </w:r>
    </w:p>
    <w:p w14:paraId="67EF538D" w14:textId="77777777" w:rsidR="00280F68" w:rsidRPr="00280F68" w:rsidRDefault="00280F68" w:rsidP="00280F68">
      <w:pPr>
        <w:rPr>
          <w:b/>
          <w:bCs/>
        </w:rPr>
      </w:pPr>
      <w:r w:rsidRPr="00280F68">
        <w:rPr>
          <w:b/>
          <w:bCs/>
        </w:rPr>
        <w:t>2.1 Moving Beyond "Credit": The Transactional Reality</w:t>
      </w:r>
    </w:p>
    <w:p w14:paraId="636545E0" w14:textId="77777777" w:rsidR="00280F68" w:rsidRPr="00280F68" w:rsidRDefault="00280F68" w:rsidP="00280F68">
      <w:r w:rsidRPr="00280F68">
        <w:t>In the United States and Europe, BNPL is categorized as a consumer credit product—a competitor to the credit card or the personal loan, often used for "big ticket" items like exercise equipment or designer clothing. However, a groundbreaking NBER analysis of transaction-level data from a leading Chinese super-app reveals a different reality: in the ecosystem model, BNPL functions as "digital cash".</w:t>
      </w:r>
      <w:r w:rsidRPr="00280F68">
        <w:rPr>
          <w:vertAlign w:val="superscript"/>
        </w:rPr>
        <w:t>1</w:t>
      </w:r>
    </w:p>
    <w:p w14:paraId="3F3693AB" w14:textId="77777777" w:rsidR="00280F68" w:rsidRPr="00280F68" w:rsidRDefault="00280F68" w:rsidP="00280F68">
      <w:r w:rsidRPr="00280F68">
        <w:t>The data shows that BNPL has effectively displaced the usage of e-wallet balances for daily transactions.</w:t>
      </w:r>
    </w:p>
    <w:p w14:paraId="2BCBD32D" w14:textId="77777777" w:rsidR="00280F68" w:rsidRPr="00280F68" w:rsidRDefault="00280F68" w:rsidP="00280F68">
      <w:pPr>
        <w:numPr>
          <w:ilvl w:val="0"/>
          <w:numId w:val="3"/>
        </w:numPr>
      </w:pPr>
      <w:r w:rsidRPr="00280F68">
        <w:rPr>
          <w:b/>
          <w:bCs/>
        </w:rPr>
        <w:t>Dominance:</w:t>
      </w:r>
      <w:r w:rsidRPr="00280F68">
        <w:t xml:space="preserve"> For online transactions, BNPL is used in </w:t>
      </w:r>
      <w:r w:rsidRPr="00280F68">
        <w:rPr>
          <w:b/>
          <w:bCs/>
        </w:rPr>
        <w:t>43.8%</w:t>
      </w:r>
      <w:r w:rsidRPr="00280F68">
        <w:t xml:space="preserve"> of all cases. For on-site (offline) transactions, it is used in </w:t>
      </w:r>
      <w:r w:rsidRPr="00280F68">
        <w:rPr>
          <w:b/>
          <w:bCs/>
        </w:rPr>
        <w:t>47.0%</w:t>
      </w:r>
      <w:r w:rsidRPr="00280F68">
        <w:t xml:space="preserve"> of cases.</w:t>
      </w:r>
      <w:r w:rsidRPr="00280F68">
        <w:rPr>
          <w:vertAlign w:val="superscript"/>
        </w:rPr>
        <w:t>1</w:t>
      </w:r>
    </w:p>
    <w:p w14:paraId="457126D6" w14:textId="77777777" w:rsidR="00280F68" w:rsidRPr="00280F68" w:rsidRDefault="00280F68" w:rsidP="00280F68">
      <w:pPr>
        <w:numPr>
          <w:ilvl w:val="0"/>
          <w:numId w:val="3"/>
        </w:numPr>
      </w:pPr>
      <w:r w:rsidRPr="00280F68">
        <w:rPr>
          <w:b/>
          <w:bCs/>
        </w:rPr>
        <w:t>Displacement:</w:t>
      </w:r>
      <w:r w:rsidRPr="00280F68">
        <w:t xml:space="preserve"> Regression analysis indicates a "crowding out" effect. Access to BNPL significantly reduces the probability of using linked debit cards, e-wallet balances, and e-wallet savings. The coefficient for BNPL access is significantly negative for all other payment options.</w:t>
      </w:r>
      <w:r w:rsidRPr="00280F68">
        <w:rPr>
          <w:vertAlign w:val="superscript"/>
        </w:rPr>
        <w:t>1</w:t>
      </w:r>
    </w:p>
    <w:p w14:paraId="20EBB024" w14:textId="77777777" w:rsidR="00280F68" w:rsidRPr="00280F68" w:rsidRDefault="00280F68" w:rsidP="00280F68">
      <w:r w:rsidRPr="00280F68">
        <w:t xml:space="preserve">Table 1: Payment Option Utilization and Characteristics </w:t>
      </w:r>
      <w:r w:rsidRPr="00280F68">
        <w:rPr>
          <w:vertAlign w:val="superscript"/>
        </w:rPr>
        <w:t>1</w:t>
      </w:r>
    </w:p>
    <w:tbl>
      <w:tblPr>
        <w:tblW w:w="0" w:type="auto"/>
        <w:tblCellSpacing w:w="15" w:type="dxa"/>
        <w:tblCellMar>
          <w:left w:w="0" w:type="dxa"/>
          <w:right w:w="0" w:type="dxa"/>
        </w:tblCellMar>
        <w:tblLook w:val="04A0" w:firstRow="1" w:lastRow="0" w:firstColumn="1" w:lastColumn="0" w:noHBand="0" w:noVBand="1"/>
      </w:tblPr>
      <w:tblGrid>
        <w:gridCol w:w="2014"/>
        <w:gridCol w:w="1935"/>
        <w:gridCol w:w="1437"/>
        <w:gridCol w:w="1444"/>
        <w:gridCol w:w="2514"/>
      </w:tblGrid>
      <w:tr w:rsidR="00280F68" w:rsidRPr="00280F68" w14:paraId="7BD68434" w14:textId="77777777" w:rsidTr="00280F6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12B19" w14:textId="77777777" w:rsidR="00280F68" w:rsidRPr="00280F68" w:rsidRDefault="00280F68" w:rsidP="00280F68">
            <w:r w:rsidRPr="00280F68">
              <w:rPr>
                <w:b/>
                <w:bCs/>
              </w:rPr>
              <w:t>Payment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F25A3" w14:textId="77777777" w:rsidR="00280F68" w:rsidRPr="00280F68" w:rsidRDefault="00280F68" w:rsidP="00280F68">
            <w:r w:rsidRPr="00280F68">
              <w:rPr>
                <w:b/>
                <w:bCs/>
              </w:rPr>
              <w:t>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3C9F5" w14:textId="77777777" w:rsidR="00280F68" w:rsidRPr="00280F68" w:rsidRDefault="00280F68" w:rsidP="00280F68">
            <w:r w:rsidRPr="00280F68">
              <w:rPr>
                <w:b/>
                <w:bCs/>
              </w:rPr>
              <w:t>Online Share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7C3DA" w14:textId="77777777" w:rsidR="00280F68" w:rsidRPr="00280F68" w:rsidRDefault="00280F68" w:rsidP="00280F68">
            <w:r w:rsidRPr="00280F68">
              <w:rPr>
                <w:b/>
                <w:bCs/>
              </w:rPr>
              <w:t>On-Site Share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141CF" w14:textId="77777777" w:rsidR="00280F68" w:rsidRPr="00280F68" w:rsidRDefault="00280F68" w:rsidP="00280F68">
            <w:r w:rsidRPr="00280F68">
              <w:rPr>
                <w:b/>
                <w:bCs/>
              </w:rPr>
              <w:t>Role in Ecosystem</w:t>
            </w:r>
          </w:p>
        </w:tc>
      </w:tr>
      <w:tr w:rsidR="00280F68" w:rsidRPr="00280F68" w14:paraId="6387FD5F"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AAF35" w14:textId="77777777" w:rsidR="00280F68" w:rsidRPr="00280F68" w:rsidRDefault="00280F68" w:rsidP="00280F68">
            <w:r w:rsidRPr="00280F68">
              <w:rPr>
                <w:b/>
                <w:bCs/>
              </w:rPr>
              <w:t>BNPL (E-wallet Credit)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068E3" w14:textId="77777777" w:rsidR="00280F68" w:rsidRPr="00280F68" w:rsidRDefault="00280F68" w:rsidP="00280F68">
            <w:r w:rsidRPr="00280F68">
              <w:rPr>
                <w:b/>
                <w:bCs/>
              </w:rPr>
              <w:t>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47DD7" w14:textId="77777777" w:rsidR="00280F68" w:rsidRPr="00280F68" w:rsidRDefault="00280F68" w:rsidP="00280F68">
            <w:r w:rsidRPr="00280F68">
              <w:rPr>
                <w:b/>
                <w:bCs/>
              </w:rPr>
              <w:t>43.8%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C95D8" w14:textId="77777777" w:rsidR="00280F68" w:rsidRPr="00280F68" w:rsidRDefault="00280F68" w:rsidP="00280F68">
            <w:r w:rsidRPr="00280F68">
              <w:rPr>
                <w:b/>
                <w:bCs/>
              </w:rPr>
              <w:t>47.0%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D594F" w14:textId="77777777" w:rsidR="00280F68" w:rsidRPr="00280F68" w:rsidRDefault="00280F68" w:rsidP="00280F68">
            <w:r w:rsidRPr="00280F68">
              <w:rPr>
                <w:b/>
                <w:bCs/>
              </w:rPr>
              <w:t>Primary Transactional Tool</w:t>
            </w:r>
          </w:p>
        </w:tc>
      </w:tr>
      <w:tr w:rsidR="00280F68" w:rsidRPr="00280F68" w14:paraId="5977E1E3"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FFEE6" w14:textId="77777777" w:rsidR="00280F68" w:rsidRPr="00280F68" w:rsidRDefault="00280F68" w:rsidP="00280F68">
            <w:r w:rsidRPr="00280F68">
              <w:lastRenderedPageBreak/>
              <w:t>Linked Debit 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2B225" w14:textId="77777777" w:rsidR="00280F68" w:rsidRPr="00280F68" w:rsidRDefault="00280F68" w:rsidP="00280F68">
            <w:r w:rsidRPr="00280F68">
              <w:t>External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90132" w14:textId="77777777" w:rsidR="00280F68" w:rsidRPr="00280F68" w:rsidRDefault="00280F68" w:rsidP="00280F68">
            <w:r w:rsidRPr="00280F68">
              <w:t>27.2%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FA725" w14:textId="77777777" w:rsidR="00280F68" w:rsidRPr="00280F68" w:rsidRDefault="00280F68" w:rsidP="00280F68">
            <w:r w:rsidRPr="00280F68">
              <w:t>16.0%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BF0F5" w14:textId="77777777" w:rsidR="00280F68" w:rsidRPr="00280F68" w:rsidRDefault="00280F68" w:rsidP="00280F68">
            <w:r w:rsidRPr="00280F68">
              <w:t>Backstop Funding Source</w:t>
            </w:r>
          </w:p>
        </w:tc>
      </w:tr>
      <w:tr w:rsidR="00280F68" w:rsidRPr="00280F68" w14:paraId="0C2B6175"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1971B" w14:textId="77777777" w:rsidR="00280F68" w:rsidRPr="00280F68" w:rsidRDefault="00280F68" w:rsidP="00280F68">
            <w:r w:rsidRPr="00280F68">
              <w:t>E-wallet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ED841" w14:textId="77777777" w:rsidR="00280F68" w:rsidRPr="00280F68" w:rsidRDefault="00280F68" w:rsidP="00280F68">
            <w:r w:rsidRPr="00280F68">
              <w:t>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AE93D" w14:textId="77777777" w:rsidR="00280F68" w:rsidRPr="00280F68" w:rsidRDefault="00280F68" w:rsidP="00280F68">
            <w:r w:rsidRPr="00280F68">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2A8C6" w14:textId="77777777" w:rsidR="00280F68" w:rsidRPr="00280F68" w:rsidRDefault="00280F68" w:rsidP="00280F68">
            <w:r w:rsidRPr="00280F68">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15EB7" w14:textId="77777777" w:rsidR="00280F68" w:rsidRPr="00280F68" w:rsidRDefault="00280F68" w:rsidP="00280F68">
            <w:r w:rsidRPr="00280F68">
              <w:t>Residual Liquidity</w:t>
            </w:r>
          </w:p>
        </w:tc>
      </w:tr>
      <w:tr w:rsidR="00280F68" w:rsidRPr="00280F68" w14:paraId="0BEC65DC"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68A36" w14:textId="77777777" w:rsidR="00280F68" w:rsidRPr="00280F68" w:rsidRDefault="00280F68" w:rsidP="00280F68">
            <w:r w:rsidRPr="00280F68">
              <w:t>Linked Credit 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1291C" w14:textId="77777777" w:rsidR="00280F68" w:rsidRPr="00280F68" w:rsidRDefault="00280F68" w:rsidP="00280F68">
            <w:r w:rsidRPr="00280F68">
              <w:t>External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2FBCD" w14:textId="77777777" w:rsidR="00280F68" w:rsidRPr="00280F68" w:rsidRDefault="00280F68" w:rsidP="00280F68">
            <w:r w:rsidRPr="00280F68">
              <w:t>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2BF24" w14:textId="77777777" w:rsidR="00280F68" w:rsidRPr="00280F68" w:rsidRDefault="00280F68" w:rsidP="00280F68">
            <w:r w:rsidRPr="00280F68">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B8F7B" w14:textId="77777777" w:rsidR="00280F68" w:rsidRPr="00280F68" w:rsidRDefault="00280F68" w:rsidP="00280F68">
            <w:r w:rsidRPr="00280F68">
              <w:t>Niche High-Value Spend</w:t>
            </w:r>
          </w:p>
        </w:tc>
      </w:tr>
      <w:tr w:rsidR="00280F68" w:rsidRPr="00280F68" w14:paraId="231E47E6"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C6C49" w14:textId="77777777" w:rsidR="00280F68" w:rsidRPr="00280F68" w:rsidRDefault="00280F68" w:rsidP="00280F68">
            <w:r w:rsidRPr="00280F68">
              <w:t>E-wallet Savings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2EB50" w14:textId="77777777" w:rsidR="00280F68" w:rsidRPr="00280F68" w:rsidRDefault="00280F68" w:rsidP="00280F68">
            <w:r w:rsidRPr="00280F68">
              <w:t>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A17C8" w14:textId="77777777" w:rsidR="00280F68" w:rsidRPr="00280F68" w:rsidRDefault="00280F68" w:rsidP="00280F68">
            <w:r w:rsidRPr="00280F68">
              <w:t>10.9%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F2495" w14:textId="77777777" w:rsidR="00280F68" w:rsidRPr="00280F68" w:rsidRDefault="00280F68" w:rsidP="00280F68">
            <w:r w:rsidRPr="00280F68">
              <w:t>15.4%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B3934" w14:textId="77777777" w:rsidR="00280F68" w:rsidRPr="00280F68" w:rsidRDefault="00280F68" w:rsidP="00280F68">
            <w:r w:rsidRPr="00280F68">
              <w:t>Interest-Bearing Store</w:t>
            </w:r>
          </w:p>
        </w:tc>
      </w:tr>
    </w:tbl>
    <w:p w14:paraId="5BB90B62" w14:textId="77777777" w:rsidR="00280F68" w:rsidRPr="00280F68" w:rsidRDefault="00280F68" w:rsidP="00280F68">
      <w:pPr>
        <w:rPr>
          <w:b/>
          <w:bCs/>
        </w:rPr>
      </w:pPr>
      <w:r w:rsidRPr="00280F68">
        <w:rPr>
          <w:b/>
          <w:bCs/>
        </w:rPr>
        <w:t>2.2 The "Rational Consumer" and Liquidity Arbitrage</w:t>
      </w:r>
    </w:p>
    <w:p w14:paraId="64F69DB8" w14:textId="77777777" w:rsidR="00280F68" w:rsidRPr="00280F68" w:rsidRDefault="00280F68" w:rsidP="00280F68">
      <w:r w:rsidRPr="00280F68">
        <w:t>The dominance of BNPL is driven by rational liquidity management. In the super-app ecosystem, "E-wallet Savings" (often money market funds like Yu’e Bao) pay interest. "E-wallet Balance" does not. Therefore, sophisticated consumers utilize the free liquidity (the "float") provided by interest-free BNPL for daily expenditures while keeping their capital in interest-bearing savings accounts.1</w:t>
      </w:r>
    </w:p>
    <w:p w14:paraId="640D83FE" w14:textId="77777777" w:rsidR="00280F68" w:rsidRPr="00280F68" w:rsidRDefault="00280F68" w:rsidP="00280F68">
      <w:r w:rsidRPr="00280F68">
        <w:t>This behavior mimics the sophisticated treasury management of corporations but is executed by retail consumers on a micro-scale. It transforms BNPL from a debt trap into a wealth optimization tool, provided the user pays the balance in full.</w:t>
      </w:r>
    </w:p>
    <w:p w14:paraId="758D938B" w14:textId="77777777" w:rsidR="00280F68" w:rsidRPr="00280F68" w:rsidRDefault="00280F68" w:rsidP="00280F68">
      <w:pPr>
        <w:rPr>
          <w:b/>
          <w:bCs/>
        </w:rPr>
      </w:pPr>
      <w:r w:rsidRPr="00280F68">
        <w:rPr>
          <w:b/>
          <w:bCs/>
        </w:rPr>
        <w:t>2.3 The "New Cash" for Small Transactions</w:t>
      </w:r>
    </w:p>
    <w:p w14:paraId="53622764" w14:textId="77777777" w:rsidR="00280F68" w:rsidRPr="00280F68" w:rsidRDefault="00280F68" w:rsidP="00280F68">
      <w:r w:rsidRPr="00280F68">
        <w:t xml:space="preserve">Contrary to the Western narrative of BNPL financing overconsumption of luxury goods, the data confirms that in the super-app context, BNPL is the medium for </w:t>
      </w:r>
      <w:r w:rsidRPr="00280F68">
        <w:rPr>
          <w:i/>
          <w:iCs/>
        </w:rPr>
        <w:t>small</w:t>
      </w:r>
      <w:r w:rsidRPr="00280F68">
        <w:t xml:space="preserve"> transactions. It is used for coffee, convenience store snacks, and transit.</w:t>
      </w:r>
    </w:p>
    <w:p w14:paraId="778E16BE" w14:textId="77777777" w:rsidR="00280F68" w:rsidRPr="00280F68" w:rsidRDefault="00280F68" w:rsidP="00280F68">
      <w:pPr>
        <w:numPr>
          <w:ilvl w:val="0"/>
          <w:numId w:val="4"/>
        </w:numPr>
      </w:pPr>
      <w:r w:rsidRPr="00280F68">
        <w:rPr>
          <w:b/>
          <w:bCs/>
        </w:rPr>
        <w:t>Transaction Value:</w:t>
      </w:r>
      <w:r w:rsidRPr="00280F68">
        <w:t xml:space="preserve"> The regression results show that BNPL usage is negatively correlated with transaction value for on-site payments. As transaction size increases, users are </w:t>
      </w:r>
      <w:r w:rsidRPr="00280F68">
        <w:rPr>
          <w:i/>
          <w:iCs/>
        </w:rPr>
        <w:t>more</w:t>
      </w:r>
      <w:r w:rsidRPr="00280F68">
        <w:t xml:space="preserve"> likely to switch to credit cards or debit cards.</w:t>
      </w:r>
      <w:r w:rsidRPr="00280F68">
        <w:rPr>
          <w:vertAlign w:val="superscript"/>
        </w:rPr>
        <w:t>1</w:t>
      </w:r>
    </w:p>
    <w:p w14:paraId="210B7B0D" w14:textId="77777777" w:rsidR="00280F68" w:rsidRPr="00280F68" w:rsidRDefault="00280F68" w:rsidP="00280F68">
      <w:pPr>
        <w:numPr>
          <w:ilvl w:val="0"/>
          <w:numId w:val="4"/>
        </w:numPr>
      </w:pPr>
      <w:r w:rsidRPr="00280F68">
        <w:rPr>
          <w:b/>
          <w:bCs/>
        </w:rPr>
        <w:t>The Cash Substitute:</w:t>
      </w:r>
      <w:r w:rsidRPr="00280F68">
        <w:t xml:space="preserve"> Given that cash usage at the Point of Sale (POS) in China dropped to </w:t>
      </w:r>
      <w:r w:rsidRPr="00280F68">
        <w:rPr>
          <w:b/>
          <w:bCs/>
        </w:rPr>
        <w:t>10%</w:t>
      </w:r>
      <w:r w:rsidRPr="00280F68">
        <w:t xml:space="preserve"> in 2021 </w:t>
      </w:r>
      <w:proofErr w:type="gramStart"/>
      <w:r w:rsidRPr="00280F68">
        <w:rPr>
          <w:vertAlign w:val="superscript"/>
        </w:rPr>
        <w:t>1</w:t>
      </w:r>
      <w:r w:rsidRPr="00280F68">
        <w:t>, and</w:t>
      </w:r>
      <w:proofErr w:type="gramEnd"/>
      <w:r w:rsidRPr="00280F68">
        <w:t xml:space="preserve"> given BNPL's dominance in small-value offline </w:t>
      </w:r>
      <w:r w:rsidRPr="00280F68">
        <w:lastRenderedPageBreak/>
        <w:t>transactions, it is analytically accurate to classify BNPL as the functional successor to physical currency in advanced digital economies.</w:t>
      </w:r>
    </w:p>
    <w:p w14:paraId="507C574C" w14:textId="77777777" w:rsidR="00280F68" w:rsidRPr="00280F68" w:rsidRDefault="00280F68" w:rsidP="00280F68">
      <w:pPr>
        <w:rPr>
          <w:b/>
          <w:bCs/>
        </w:rPr>
      </w:pPr>
      <w:r w:rsidRPr="00280F68">
        <w:rPr>
          <w:b/>
          <w:bCs/>
        </w:rPr>
        <w:t>3. Financial Inclusion and the Expansion of Credit</w:t>
      </w:r>
    </w:p>
    <w:p w14:paraId="4D2DD394" w14:textId="77777777" w:rsidR="00280F68" w:rsidRPr="00280F68" w:rsidRDefault="00280F68" w:rsidP="00280F68">
      <w:pPr>
        <w:rPr>
          <w:b/>
          <w:bCs/>
        </w:rPr>
      </w:pPr>
      <w:r w:rsidRPr="00280F68">
        <w:rPr>
          <w:b/>
          <w:bCs/>
        </w:rPr>
        <w:t>3.1 Expansion at the Extensive Margin</w:t>
      </w:r>
    </w:p>
    <w:p w14:paraId="721AADDA" w14:textId="77777777" w:rsidR="00280F68" w:rsidRPr="00280F68" w:rsidRDefault="00280F68" w:rsidP="00280F68">
      <w:r w:rsidRPr="00280F68">
        <w:t>The most significant macroeconomic impact of the super-app model is the expansion of credit access at the extensive margin (providing credit to those who have none) rather than the intensive margin (giving more credit to the already banked).</w:t>
      </w:r>
    </w:p>
    <w:p w14:paraId="048C8347" w14:textId="77777777" w:rsidR="00280F68" w:rsidRPr="00280F68" w:rsidRDefault="00280F68" w:rsidP="00280F68">
      <w:r w:rsidRPr="00280F68">
        <w:t xml:space="preserve">Traditional banks rely on credit scores derived from loan history. In developing economies, </w:t>
      </w:r>
      <w:proofErr w:type="gramStart"/>
      <w:r w:rsidRPr="00280F68">
        <w:t>the majority of</w:t>
      </w:r>
      <w:proofErr w:type="gramEnd"/>
      <w:r w:rsidRPr="00280F68">
        <w:t xml:space="preserve"> the population lacks this history. Super-apps utilize "alternative data"—digital footprints from payment history, utility bills, and consumption patterns—to assess risk.1</w:t>
      </w:r>
    </w:p>
    <w:p w14:paraId="1D94F0AB" w14:textId="77777777" w:rsidR="00280F68" w:rsidRPr="00280F68" w:rsidRDefault="00280F68" w:rsidP="00280F68">
      <w:r w:rsidRPr="00280F68">
        <w:t xml:space="preserve">Table 2: The Financial Inclusion Gap and the Super-App Solution </w:t>
      </w:r>
      <w:r w:rsidRPr="00280F68">
        <w:rPr>
          <w:vertAlign w:val="superscript"/>
        </w:rPr>
        <w:t>1</w:t>
      </w:r>
    </w:p>
    <w:tbl>
      <w:tblPr>
        <w:tblW w:w="0" w:type="auto"/>
        <w:tblCellSpacing w:w="15" w:type="dxa"/>
        <w:tblCellMar>
          <w:left w:w="0" w:type="dxa"/>
          <w:right w:w="0" w:type="dxa"/>
        </w:tblCellMar>
        <w:tblLook w:val="04A0" w:firstRow="1" w:lastRow="0" w:firstColumn="1" w:lastColumn="0" w:noHBand="0" w:noVBand="1"/>
      </w:tblPr>
      <w:tblGrid>
        <w:gridCol w:w="3349"/>
        <w:gridCol w:w="1652"/>
        <w:gridCol w:w="4343"/>
      </w:tblGrid>
      <w:tr w:rsidR="00280F68" w:rsidRPr="00280F68" w14:paraId="6A0663C8" w14:textId="77777777" w:rsidTr="00280F6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19A99" w14:textId="77777777" w:rsidR="00280F68" w:rsidRPr="00280F68" w:rsidRDefault="00280F68" w:rsidP="00280F68">
            <w:r w:rsidRPr="00280F68">
              <w:rPr>
                <w:b/>
                <w:bCs/>
              </w:rPr>
              <w:t>Metric (On-Site Transactions)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4CE8C" w14:textId="77777777" w:rsidR="00280F68" w:rsidRPr="00280F68" w:rsidRDefault="00280F68" w:rsidP="00280F68">
            <w:r w:rsidRPr="00280F68">
              <w:rPr>
                <w:b/>
                <w:bCs/>
              </w:rPr>
              <w:t>Percentage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4D183" w14:textId="77777777" w:rsidR="00280F68" w:rsidRPr="00280F68" w:rsidRDefault="00280F68" w:rsidP="00280F68">
            <w:r w:rsidRPr="00280F68">
              <w:rPr>
                <w:b/>
                <w:bCs/>
              </w:rPr>
              <w:t>Insight</w:t>
            </w:r>
          </w:p>
        </w:tc>
      </w:tr>
      <w:tr w:rsidR="00280F68" w:rsidRPr="00280F68" w14:paraId="3D5FA9A0"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EDDA7" w14:textId="77777777" w:rsidR="00280F68" w:rsidRPr="00280F68" w:rsidRDefault="00280F68" w:rsidP="00280F68">
            <w:r w:rsidRPr="00280F68">
              <w:rPr>
                <w:b/>
                <w:bCs/>
              </w:rPr>
              <w:t>Consumers without Credit 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A1C06" w14:textId="77777777" w:rsidR="00280F68" w:rsidRPr="00280F68" w:rsidRDefault="00280F68" w:rsidP="00280F68">
            <w:r w:rsidRPr="00280F68">
              <w:rPr>
                <w:b/>
                <w:bCs/>
              </w:rPr>
              <w:t>70.43%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1C92D" w14:textId="77777777" w:rsidR="00280F68" w:rsidRPr="00280F68" w:rsidRDefault="00280F68" w:rsidP="00280F68">
            <w:r w:rsidRPr="00280F68">
              <w:t>The traditional banking system has failed 70% of the market.</w:t>
            </w:r>
          </w:p>
        </w:tc>
      </w:tr>
      <w:tr w:rsidR="00280F68" w:rsidRPr="00280F68" w14:paraId="3DED9A24"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B36A5" w14:textId="77777777" w:rsidR="00280F68" w:rsidRPr="00280F68" w:rsidRDefault="00280F68" w:rsidP="00280F68">
            <w:r w:rsidRPr="00280F68">
              <w:rPr>
                <w:b/>
                <w:bCs/>
              </w:rPr>
              <w:t>Of those, gained BNPL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C1169" w14:textId="77777777" w:rsidR="00280F68" w:rsidRPr="00280F68" w:rsidRDefault="00280F68" w:rsidP="00280F68">
            <w:r w:rsidRPr="00280F68">
              <w:rPr>
                <w:b/>
                <w:bCs/>
              </w:rPr>
              <w:t>84.14%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4CF33" w14:textId="77777777" w:rsidR="00280F68" w:rsidRPr="00280F68" w:rsidRDefault="00280F68" w:rsidP="00280F68">
            <w:r w:rsidRPr="00280F68">
              <w:t>The super-app effectively banked the unbanked.</w:t>
            </w:r>
          </w:p>
        </w:tc>
      </w:tr>
      <w:tr w:rsidR="00280F68" w:rsidRPr="00280F68" w14:paraId="75BA220C"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F1CE9" w14:textId="77777777" w:rsidR="00280F68" w:rsidRPr="00280F68" w:rsidRDefault="00280F68" w:rsidP="00280F68">
            <w:r w:rsidRPr="00280F68">
              <w:rPr>
                <w:b/>
                <w:bCs/>
              </w:rPr>
              <w:t>Merchants not accepting Credit 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4FB93" w14:textId="77777777" w:rsidR="00280F68" w:rsidRPr="00280F68" w:rsidRDefault="00280F68" w:rsidP="00280F68">
            <w:r w:rsidRPr="00280F68">
              <w:rPr>
                <w:b/>
                <w:bCs/>
              </w:rPr>
              <w:t>81.79%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40394" w14:textId="77777777" w:rsidR="00280F68" w:rsidRPr="00280F68" w:rsidRDefault="00280F68" w:rsidP="00280F68">
            <w:r w:rsidRPr="00280F68">
              <w:t>High fees and hardware costs exclude small merchants.</w:t>
            </w:r>
          </w:p>
        </w:tc>
      </w:tr>
      <w:tr w:rsidR="00280F68" w:rsidRPr="00280F68" w14:paraId="795E66AD"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92C09" w14:textId="77777777" w:rsidR="00280F68" w:rsidRPr="00280F68" w:rsidRDefault="00280F68" w:rsidP="00280F68">
            <w:r w:rsidRPr="00280F68">
              <w:rPr>
                <w:b/>
                <w:bCs/>
              </w:rPr>
              <w:t>Of those, accept BNPL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B0A8B" w14:textId="77777777" w:rsidR="00280F68" w:rsidRPr="00280F68" w:rsidRDefault="00280F68" w:rsidP="00280F68">
            <w:r w:rsidRPr="00280F68">
              <w:rPr>
                <w:b/>
                <w:bCs/>
              </w:rPr>
              <w:t>43.54%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055F5" w14:textId="77777777" w:rsidR="00280F68" w:rsidRPr="00280F68" w:rsidRDefault="00280F68" w:rsidP="00280F68">
            <w:r w:rsidRPr="00280F68">
              <w:t>Software-based (QR) acceptance lowers the barrier.</w:t>
            </w:r>
          </w:p>
        </w:tc>
      </w:tr>
    </w:tbl>
    <w:p w14:paraId="3595F069" w14:textId="77777777" w:rsidR="00280F68" w:rsidRPr="00280F68" w:rsidRDefault="00280F68" w:rsidP="00280F68">
      <w:r w:rsidRPr="00280F68">
        <w:t xml:space="preserve">The efficiency of this expansion is profound. </w:t>
      </w:r>
      <w:r w:rsidRPr="00280F68">
        <w:rPr>
          <w:b/>
          <w:bCs/>
        </w:rPr>
        <w:t>91.59%</w:t>
      </w:r>
      <w:r w:rsidRPr="00280F68">
        <w:t xml:space="preserve"> of on-site transactions in the dataset could not be completed with a credit card (either the user lacked a </w:t>
      </w:r>
      <w:proofErr w:type="gramStart"/>
      <w:r w:rsidRPr="00280F68">
        <w:t>card</w:t>
      </w:r>
      <w:proofErr w:type="gramEnd"/>
      <w:r w:rsidRPr="00280F68">
        <w:t xml:space="preserve"> or the merchant didn't accept it). However, </w:t>
      </w:r>
      <w:r w:rsidRPr="00280F68">
        <w:rPr>
          <w:b/>
          <w:bCs/>
        </w:rPr>
        <w:t>44.37%</w:t>
      </w:r>
      <w:r w:rsidRPr="00280F68">
        <w:t xml:space="preserve"> of these "impossible" transactions were successfully completed using BNPL.</w:t>
      </w:r>
      <w:r w:rsidRPr="00280F68">
        <w:rPr>
          <w:vertAlign w:val="superscript"/>
        </w:rPr>
        <w:t>1</w:t>
      </w:r>
    </w:p>
    <w:p w14:paraId="5434C5D5" w14:textId="77777777" w:rsidR="00280F68" w:rsidRPr="00280F68" w:rsidRDefault="00280F68" w:rsidP="00280F68">
      <w:pPr>
        <w:rPr>
          <w:b/>
          <w:bCs/>
        </w:rPr>
      </w:pPr>
      <w:r w:rsidRPr="00280F68">
        <w:rPr>
          <w:b/>
          <w:bCs/>
        </w:rPr>
        <w:t>3.2 Demographic Targeting: Gender and Geography</w:t>
      </w:r>
    </w:p>
    <w:p w14:paraId="0796667B" w14:textId="77777777" w:rsidR="00280F68" w:rsidRPr="00280F68" w:rsidRDefault="00280F68" w:rsidP="00280F68">
      <w:r w:rsidRPr="00280F68">
        <w:lastRenderedPageBreak/>
        <w:t>The data reveals that the "democratization of finance" is not just a marketing slogan but a measurable outcome. Regression analysis interacting BNPL usage with demographic variables highlights significant inclusion effects.</w:t>
      </w:r>
    </w:p>
    <w:p w14:paraId="2FE637F4" w14:textId="77777777" w:rsidR="00280F68" w:rsidRPr="00280F68" w:rsidRDefault="00280F68" w:rsidP="00280F68">
      <w:pPr>
        <w:numPr>
          <w:ilvl w:val="0"/>
          <w:numId w:val="5"/>
        </w:numPr>
      </w:pPr>
      <w:r w:rsidRPr="00280F68">
        <w:rPr>
          <w:b/>
          <w:bCs/>
        </w:rPr>
        <w:t>Gender:</w:t>
      </w:r>
      <w:r w:rsidRPr="00280F68">
        <w:t xml:space="preserve"> The impact of BNPL access on credit usage is significantly stronger for </w:t>
      </w:r>
      <w:r w:rsidRPr="00280F68">
        <w:rPr>
          <w:b/>
          <w:bCs/>
        </w:rPr>
        <w:t>female consumers</w:t>
      </w:r>
      <w:r w:rsidRPr="00280F68">
        <w:t xml:space="preserve">. The interaction coefficient (D_Consumer_BNPL * Female) is positive and statistically significant, suggesting that super-app algorithms are less biased against female borrowers than traditional loan officers, or that women in these markets have been disproportionately </w:t>
      </w:r>
      <w:proofErr w:type="gramStart"/>
      <w:r w:rsidRPr="00280F68">
        <w:t>credit-constrained</w:t>
      </w:r>
      <w:proofErr w:type="gramEnd"/>
      <w:r w:rsidRPr="00280F68">
        <w:t>.</w:t>
      </w:r>
      <w:r w:rsidRPr="00280F68">
        <w:rPr>
          <w:vertAlign w:val="superscript"/>
        </w:rPr>
        <w:t>1</w:t>
      </w:r>
    </w:p>
    <w:p w14:paraId="2DFD591E" w14:textId="77777777" w:rsidR="00280F68" w:rsidRPr="00280F68" w:rsidRDefault="00280F68" w:rsidP="00280F68">
      <w:pPr>
        <w:numPr>
          <w:ilvl w:val="0"/>
          <w:numId w:val="5"/>
        </w:numPr>
      </w:pPr>
      <w:r w:rsidRPr="00280F68">
        <w:rPr>
          <w:b/>
          <w:bCs/>
        </w:rPr>
        <w:t>Regional Equity:</w:t>
      </w:r>
      <w:r w:rsidRPr="00280F68">
        <w:t xml:space="preserve"> Usage is higher in "Rural" and "Northern" regions of China—areas historically underserved by the commercial banking sector concentrated in the coastal South. By flattening the geography of credit, super-apps act as a mechanism for regional economic convergence.</w:t>
      </w:r>
      <w:r w:rsidRPr="00280F68">
        <w:rPr>
          <w:vertAlign w:val="superscript"/>
        </w:rPr>
        <w:t>1</w:t>
      </w:r>
    </w:p>
    <w:p w14:paraId="6B50A6B1" w14:textId="77777777" w:rsidR="00280F68" w:rsidRPr="00280F68" w:rsidRDefault="00280F68" w:rsidP="00280F68">
      <w:pPr>
        <w:rPr>
          <w:b/>
          <w:bCs/>
        </w:rPr>
      </w:pPr>
      <w:r w:rsidRPr="00280F68">
        <w:rPr>
          <w:b/>
          <w:bCs/>
        </w:rPr>
        <w:t>3.3 The MSME Multiplier</w:t>
      </w:r>
    </w:p>
    <w:p w14:paraId="1017C97E" w14:textId="77777777" w:rsidR="00280F68" w:rsidRPr="00280F68" w:rsidRDefault="00280F68" w:rsidP="00280F68">
      <w:r w:rsidRPr="00280F68">
        <w:t xml:space="preserve">The inclusion story extends to the supply side. In Southeast Asia, Micro, Small, and Medium Enterprises (MSMEs) account for </w:t>
      </w:r>
      <w:r w:rsidRPr="00280F68">
        <w:rPr>
          <w:b/>
          <w:bCs/>
        </w:rPr>
        <w:t>97%</w:t>
      </w:r>
      <w:r w:rsidRPr="00280F68">
        <w:t xml:space="preserve"> of all businesses. The super-app digitizes these merchants, who were previously invisible to the formal economy.</w:t>
      </w:r>
    </w:p>
    <w:p w14:paraId="7B999D8B" w14:textId="77777777" w:rsidR="00280F68" w:rsidRPr="00280F68" w:rsidRDefault="00280F68" w:rsidP="00280F68">
      <w:pPr>
        <w:numPr>
          <w:ilvl w:val="0"/>
          <w:numId w:val="6"/>
        </w:numPr>
      </w:pPr>
      <w:r w:rsidRPr="00280F68">
        <w:rPr>
          <w:b/>
          <w:bCs/>
        </w:rPr>
        <w:t>Data as Collateral:</w:t>
      </w:r>
      <w:r w:rsidRPr="00280F68">
        <w:t xml:space="preserve"> By processing payments through Grab or Alipay, a street food vendor generates a verifiable cash flow record. This data can be used to underwrite micro-loans for working capital, breaking the reliance on predatory informal lenders.</w:t>
      </w:r>
      <w:r w:rsidRPr="00280F68">
        <w:rPr>
          <w:vertAlign w:val="superscript"/>
        </w:rPr>
        <w:t>1</w:t>
      </w:r>
    </w:p>
    <w:p w14:paraId="4F3DD53B" w14:textId="77777777" w:rsidR="00280F68" w:rsidRPr="00280F68" w:rsidRDefault="00280F68" w:rsidP="00280F68">
      <w:pPr>
        <w:numPr>
          <w:ilvl w:val="0"/>
          <w:numId w:val="6"/>
        </w:numPr>
      </w:pPr>
      <w:r w:rsidRPr="00280F68">
        <w:rPr>
          <w:b/>
          <w:bCs/>
        </w:rPr>
        <w:t>Double Bottom Line:</w:t>
      </w:r>
      <w:r w:rsidRPr="00280F68">
        <w:t xml:space="preserve"> This creates the "double bottom line" referenced by Grab’s leadership—financial growth for the platform is inextricably linked to the economic uplift of its merchant partners.</w:t>
      </w:r>
      <w:r w:rsidRPr="00280F68">
        <w:rPr>
          <w:vertAlign w:val="superscript"/>
        </w:rPr>
        <w:t>1</w:t>
      </w:r>
    </w:p>
    <w:p w14:paraId="122A1C77" w14:textId="77777777" w:rsidR="00280F68" w:rsidRPr="00280F68" w:rsidRDefault="00280F68" w:rsidP="00280F68">
      <w:pPr>
        <w:rPr>
          <w:b/>
          <w:bCs/>
        </w:rPr>
      </w:pPr>
      <w:r w:rsidRPr="00280F68">
        <w:rPr>
          <w:b/>
          <w:bCs/>
        </w:rPr>
        <w:t>4. The "Disciplinary Ecosystem": Why Defaults Remain Low</w:t>
      </w:r>
    </w:p>
    <w:p w14:paraId="7492C783" w14:textId="77777777" w:rsidR="00280F68" w:rsidRPr="00280F68" w:rsidRDefault="00280F68" w:rsidP="00280F68">
      <w:pPr>
        <w:rPr>
          <w:b/>
          <w:bCs/>
        </w:rPr>
      </w:pPr>
      <w:r w:rsidRPr="00280F68">
        <w:rPr>
          <w:b/>
          <w:bCs/>
        </w:rPr>
        <w:t>4.1 The Paradox of High Spending and Low Default</w:t>
      </w:r>
    </w:p>
    <w:p w14:paraId="3DFCD4F7" w14:textId="77777777" w:rsidR="00280F68" w:rsidRPr="00280F68" w:rsidRDefault="00280F68" w:rsidP="00280F68">
      <w:r w:rsidRPr="00280F68">
        <w:t xml:space="preserve">A persistent concern regarding FinTech credit is the risk of over-indebtedness. Western critics point to rising delinquency rates among Gen Z BNPL users. However, the NBER study identifies a paradox in the super-app model: BNPL access significantly boosts consumption </w:t>
      </w:r>
      <w:r w:rsidRPr="00280F68">
        <w:rPr>
          <w:i/>
          <w:iCs/>
        </w:rPr>
        <w:t>without</w:t>
      </w:r>
      <w:r w:rsidRPr="00280F68">
        <w:t xml:space="preserve"> increasing default rates.</w:t>
      </w:r>
      <w:r w:rsidRPr="00280F68">
        <w:rPr>
          <w:vertAlign w:val="superscript"/>
        </w:rPr>
        <w:t>1</w:t>
      </w:r>
    </w:p>
    <w:p w14:paraId="2782E29F" w14:textId="77777777" w:rsidR="00280F68" w:rsidRPr="00280F68" w:rsidRDefault="00280F68" w:rsidP="00280F68">
      <w:pPr>
        <w:numPr>
          <w:ilvl w:val="0"/>
          <w:numId w:val="7"/>
        </w:numPr>
      </w:pPr>
      <w:r w:rsidRPr="00280F68">
        <w:rPr>
          <w:b/>
          <w:bCs/>
        </w:rPr>
        <w:t>Consumption Boost:</w:t>
      </w:r>
      <w:r w:rsidRPr="00280F68">
        <w:t xml:space="preserve"> In the randomized experiment, users granted BNPL access increased monthly spending by </w:t>
      </w:r>
      <w:r w:rsidRPr="00280F68">
        <w:rPr>
          <w:b/>
          <w:bCs/>
        </w:rPr>
        <w:t>RMB ¥86</w:t>
      </w:r>
      <w:r w:rsidRPr="00280F68">
        <w:t xml:space="preserve"> (approx. 4.78% of average monthly consumption). Dual-access users (those with credit cards) increased spending by </w:t>
      </w:r>
      <w:r w:rsidRPr="00280F68">
        <w:rPr>
          <w:b/>
          <w:bCs/>
        </w:rPr>
        <w:t>RMB ¥204</w:t>
      </w:r>
      <w:r w:rsidRPr="00280F68">
        <w:t>.</w:t>
      </w:r>
      <w:r w:rsidRPr="00280F68">
        <w:rPr>
          <w:vertAlign w:val="superscript"/>
        </w:rPr>
        <w:t>1</w:t>
      </w:r>
    </w:p>
    <w:p w14:paraId="633CADE6" w14:textId="77777777" w:rsidR="00280F68" w:rsidRPr="00280F68" w:rsidRDefault="00280F68" w:rsidP="00280F68">
      <w:pPr>
        <w:numPr>
          <w:ilvl w:val="0"/>
          <w:numId w:val="7"/>
        </w:numPr>
      </w:pPr>
      <w:r w:rsidRPr="00280F68">
        <w:rPr>
          <w:b/>
          <w:bCs/>
        </w:rPr>
        <w:lastRenderedPageBreak/>
        <w:t>Responsible Usage:</w:t>
      </w:r>
      <w:r w:rsidRPr="00280F68">
        <w:t xml:space="preserve"> Despite this increase, "single-access" users (those who rely solely on BNPL) exhibited </w:t>
      </w:r>
      <w:r w:rsidRPr="00280F68">
        <w:rPr>
          <w:i/>
          <w:iCs/>
        </w:rPr>
        <w:t>lower</w:t>
      </w:r>
      <w:r w:rsidRPr="00280F68">
        <w:t xml:space="preserve"> revolver rates (carrying interest-bearing balances) than dual-access users (</w:t>
      </w:r>
      <w:r w:rsidRPr="00280F68">
        <w:rPr>
          <w:b/>
          <w:bCs/>
        </w:rPr>
        <w:t>32.33%</w:t>
      </w:r>
      <w:r w:rsidRPr="00280F68">
        <w:t xml:space="preserve"> vs </w:t>
      </w:r>
      <w:r w:rsidRPr="00280F68">
        <w:rPr>
          <w:b/>
          <w:bCs/>
        </w:rPr>
        <w:t>40.78%</w:t>
      </w:r>
      <w:r w:rsidRPr="00280F68">
        <w:t>).</w:t>
      </w:r>
      <w:r w:rsidRPr="00280F68">
        <w:rPr>
          <w:vertAlign w:val="superscript"/>
        </w:rPr>
        <w:t>1</w:t>
      </w:r>
    </w:p>
    <w:p w14:paraId="29E83CFA" w14:textId="77777777" w:rsidR="00280F68" w:rsidRPr="00280F68" w:rsidRDefault="00280F68" w:rsidP="00280F68">
      <w:pPr>
        <w:rPr>
          <w:b/>
          <w:bCs/>
        </w:rPr>
      </w:pPr>
      <w:r w:rsidRPr="00280F68">
        <w:rPr>
          <w:b/>
          <w:bCs/>
        </w:rPr>
        <w:t>4.2 The Ecosystem Penalty Mechanism</w:t>
      </w:r>
    </w:p>
    <w:p w14:paraId="4D78164A" w14:textId="77777777" w:rsidR="00280F68" w:rsidRPr="00280F68" w:rsidRDefault="00280F68" w:rsidP="00280F68">
      <w:r w:rsidRPr="00280F68">
        <w:t>This responsible behavior is driven by the "Super-App Ecosystem Model." Unlike a standalone lender, a super-app controls the user's digital life.</w:t>
      </w:r>
    </w:p>
    <w:p w14:paraId="12FBFC10" w14:textId="77777777" w:rsidR="00280F68" w:rsidRPr="00280F68" w:rsidRDefault="00280F68" w:rsidP="00280F68">
      <w:r w:rsidRPr="00280F68">
        <w:t>Hypothesis H4: The ecosystem motivates users to use BNPL frequently yet responsibly.1</w:t>
      </w:r>
    </w:p>
    <w:p w14:paraId="6801A9DB" w14:textId="77777777" w:rsidR="00280F68" w:rsidRPr="00280F68" w:rsidRDefault="00280F68" w:rsidP="00280F68">
      <w:r w:rsidRPr="00280F68">
        <w:t>If a user defaults on a standalone BNPL loan (e.g., Affirm), they lose access to Affirm. If a user defaults on a super-app BNPL loan (e.g., Huabei within Alipay, or PayLater within Grab), they risk losing access to the entire ecosystem—ride-hailing, food delivery, and social payments. The "cost of default" is not just financial/reputational (a credit score drop) but functional (loss of daily utility).</w:t>
      </w:r>
    </w:p>
    <w:p w14:paraId="22DE31AB" w14:textId="77777777" w:rsidR="00280F68" w:rsidRPr="00280F68" w:rsidRDefault="00280F68" w:rsidP="00280F68">
      <w:r w:rsidRPr="00280F68">
        <w:t>This creates a powerful disciplinary mechanism. Single-access users, keenly aware that the super-app is their only lifeline to credit and digital services, self-regulate. When they incur interest charges, they voluntarily reduce subsequent spending significantly more than users who have outside options (credit cards).1</w:t>
      </w:r>
    </w:p>
    <w:p w14:paraId="4124314E" w14:textId="77777777" w:rsidR="00280F68" w:rsidRPr="00280F68" w:rsidRDefault="00280F68" w:rsidP="00280F68">
      <w:pPr>
        <w:rPr>
          <w:b/>
          <w:bCs/>
        </w:rPr>
      </w:pPr>
      <w:r w:rsidRPr="00280F68">
        <w:rPr>
          <w:b/>
          <w:bCs/>
        </w:rPr>
        <w:t>5. The Wider Ecosystem: Rails, Regulations, and Competitors</w:t>
      </w:r>
    </w:p>
    <w:p w14:paraId="2484626B" w14:textId="77777777" w:rsidR="00280F68" w:rsidRPr="00280F68" w:rsidRDefault="00280F68" w:rsidP="00280F68">
      <w:r w:rsidRPr="00280F68">
        <w:t>To fully contextualize the super-app phenomenon, one must look beyond the apps themselves to the infrastructure and regulatory environment that constrains and enables them.</w:t>
      </w:r>
    </w:p>
    <w:p w14:paraId="05C057A0" w14:textId="77777777" w:rsidR="00280F68" w:rsidRPr="00280F68" w:rsidRDefault="00280F68" w:rsidP="00280F68">
      <w:pPr>
        <w:rPr>
          <w:b/>
          <w:bCs/>
        </w:rPr>
      </w:pPr>
      <w:r w:rsidRPr="00280F68">
        <w:rPr>
          <w:b/>
          <w:bCs/>
        </w:rPr>
        <w:t>5.1 The Battle of Rails: Private Walled Gardens vs. Public Goods</w:t>
      </w:r>
    </w:p>
    <w:p w14:paraId="3EEE43CE" w14:textId="77777777" w:rsidR="00280F68" w:rsidRPr="00280F68" w:rsidRDefault="00280F68" w:rsidP="00280F68">
      <w:r w:rsidRPr="00280F68">
        <w:t>The super-app model (Alipay, Grab) is fundamentally a "private walled garden." Transactions are settled on internal ledgers, bypassing bank rails. However, a formidable challenger has emerged: Public Real-Time Payment (RTP) rails.</w:t>
      </w:r>
    </w:p>
    <w:p w14:paraId="55AC15E5" w14:textId="77777777" w:rsidR="00280F68" w:rsidRPr="00280F68" w:rsidRDefault="00280F68" w:rsidP="00280F68">
      <w:pPr>
        <w:numPr>
          <w:ilvl w:val="0"/>
          <w:numId w:val="8"/>
        </w:numPr>
      </w:pPr>
      <w:r w:rsidRPr="00280F68">
        <w:rPr>
          <w:b/>
          <w:bCs/>
        </w:rPr>
        <w:t>UPI (India):</w:t>
      </w:r>
      <w:r w:rsidRPr="00280F68">
        <w:t xml:space="preserve"> The Unified Payments Interface is a state-backed public utility that enables free, real-time interbank transfers. It has effectively neutered the wallet model in India. Apps like Google Pay or PhonePe in India are merely "skins" on top of UPI, preventing them from capturing the "float" or the closed-loop data dominance seen in China.</w:t>
      </w:r>
    </w:p>
    <w:p w14:paraId="45D0C6C9" w14:textId="77777777" w:rsidR="00280F68" w:rsidRPr="00280F68" w:rsidRDefault="00280F68" w:rsidP="00280F68">
      <w:pPr>
        <w:numPr>
          <w:ilvl w:val="0"/>
          <w:numId w:val="8"/>
        </w:numPr>
      </w:pPr>
      <w:r w:rsidRPr="00280F68">
        <w:rPr>
          <w:b/>
          <w:bCs/>
        </w:rPr>
        <w:t>Pix (Brazil):</w:t>
      </w:r>
      <w:r w:rsidRPr="00280F68">
        <w:t xml:space="preserve"> Similarly, Brazil's Pix system has achieved ubiquity, challenging the wallet models of private fintechs like Nubank or Mercado Pago.</w:t>
      </w:r>
    </w:p>
    <w:p w14:paraId="7566E9A1" w14:textId="77777777" w:rsidR="00280F68" w:rsidRPr="00280F68" w:rsidRDefault="00280F68" w:rsidP="00280F68">
      <w:r w:rsidRPr="00280F68">
        <w:lastRenderedPageBreak/>
        <w:t>The strategic conflict of the next decade (2024–2030) will be between the "Super-App Ledger" and the "National Real-Time Rail." Super-apps in Southeast Asia are currently racing to build cross-border linkages (Project Nexus) to defend their utility against impending national interoperability mandates.</w:t>
      </w:r>
    </w:p>
    <w:p w14:paraId="081DB2D0" w14:textId="77777777" w:rsidR="00280F68" w:rsidRPr="00280F68" w:rsidRDefault="00280F68" w:rsidP="00280F68">
      <w:pPr>
        <w:rPr>
          <w:b/>
          <w:bCs/>
        </w:rPr>
      </w:pPr>
      <w:r w:rsidRPr="00280F68">
        <w:rPr>
          <w:b/>
          <w:bCs/>
        </w:rPr>
        <w:t>5.2 Regulatory Headwinds and ISO 20022</w:t>
      </w:r>
    </w:p>
    <w:p w14:paraId="766189A2" w14:textId="77777777" w:rsidR="00280F68" w:rsidRPr="00280F68" w:rsidRDefault="00280F68" w:rsidP="00280F68">
      <w:r w:rsidRPr="00280F68">
        <w:t>The era of "move fast and break things" is over.</w:t>
      </w:r>
    </w:p>
    <w:p w14:paraId="16EA1546" w14:textId="77777777" w:rsidR="00280F68" w:rsidRPr="00280F68" w:rsidRDefault="00280F68" w:rsidP="00280F68">
      <w:pPr>
        <w:numPr>
          <w:ilvl w:val="0"/>
          <w:numId w:val="9"/>
        </w:numPr>
      </w:pPr>
      <w:r w:rsidRPr="00280F68">
        <w:rPr>
          <w:b/>
          <w:bCs/>
        </w:rPr>
        <w:t>Data Sovereignty:</w:t>
      </w:r>
      <w:r w:rsidRPr="00280F68">
        <w:t xml:space="preserve"> The "tightened regulation on BigTech" in China </w:t>
      </w:r>
      <w:r w:rsidRPr="00280F68">
        <w:rPr>
          <w:vertAlign w:val="superscript"/>
        </w:rPr>
        <w:t>1</w:t>
      </w:r>
      <w:r w:rsidRPr="00280F68">
        <w:t xml:space="preserve"> serves as a harbinger. Governments are increasingly uncomfortable with private platforms holding systemic data on citizen financial behavior. Indonesia and Vietnam are enacting data localization laws that complicate the regional "one platform" strategy.</w:t>
      </w:r>
    </w:p>
    <w:p w14:paraId="2D3ED701" w14:textId="77777777" w:rsidR="00280F68" w:rsidRPr="00280F68" w:rsidRDefault="00280F68" w:rsidP="00280F68">
      <w:pPr>
        <w:numPr>
          <w:ilvl w:val="0"/>
          <w:numId w:val="9"/>
        </w:numPr>
      </w:pPr>
      <w:r w:rsidRPr="00280F68">
        <w:rPr>
          <w:b/>
          <w:bCs/>
        </w:rPr>
        <w:t>ISO 20022:</w:t>
      </w:r>
      <w:r w:rsidRPr="00280F68">
        <w:t xml:space="preserve"> The global migration of payment messaging to the ISO 20022 standard (deadline </w:t>
      </w:r>
      <w:r w:rsidRPr="00280F68">
        <w:rPr>
          <w:b/>
          <w:bCs/>
        </w:rPr>
        <w:t>November 2025</w:t>
      </w:r>
      <w:r w:rsidRPr="00280F68">
        <w:t>) will force a standardization of data. While this improves interoperability for banks, it erodes the informational advantage of fintechs, as rich data will now travel with the bank payment itself.</w:t>
      </w:r>
    </w:p>
    <w:p w14:paraId="5ECAFA28" w14:textId="77777777" w:rsidR="00280F68" w:rsidRPr="00280F68" w:rsidRDefault="00280F68" w:rsidP="00280F68">
      <w:pPr>
        <w:rPr>
          <w:b/>
          <w:bCs/>
        </w:rPr>
      </w:pPr>
      <w:r w:rsidRPr="00280F68">
        <w:rPr>
          <w:b/>
          <w:bCs/>
        </w:rPr>
        <w:t>5.3 The CBDC Factor</w:t>
      </w:r>
    </w:p>
    <w:p w14:paraId="2BEBC499" w14:textId="77777777" w:rsidR="00280F68" w:rsidRPr="00280F68" w:rsidRDefault="00280F68" w:rsidP="00280F68">
      <w:r w:rsidRPr="00280F68">
        <w:t>Central Bank Digital Currencies (CBDCs) represent the ultimate "public rail." The Digital Yuan (e-CNY) is explicitly designed to provide a cash-like digital alternative to Alipay/WeChat Pay. By 2030, super-apps will likely be forced to act as "wallet providers" for CBDCs rather than issuers of private electronic money. This shifts their business model from "net interest margin" on float to "service fees" on interface utility.</w:t>
      </w:r>
    </w:p>
    <w:p w14:paraId="0EE1E2EC" w14:textId="77777777" w:rsidR="00280F68" w:rsidRPr="00280F68" w:rsidRDefault="00280F68" w:rsidP="00280F68">
      <w:pPr>
        <w:rPr>
          <w:b/>
          <w:bCs/>
        </w:rPr>
      </w:pPr>
      <w:r w:rsidRPr="00280F68">
        <w:rPr>
          <w:b/>
          <w:bCs/>
        </w:rPr>
        <w:t>6. Strategic Roadmap and Gantt Chart Data (2012–2030)</w:t>
      </w:r>
    </w:p>
    <w:p w14:paraId="0ACB3A33" w14:textId="77777777" w:rsidR="00280F68" w:rsidRPr="00280F68" w:rsidRDefault="00280F68" w:rsidP="00280F68">
      <w:r w:rsidRPr="00280F68">
        <w:t>The following section outlines the critical milestones, past and projected, that define the trajectory of the Super-App/BNPL ecosystem. These dates are derived from the research analysis and the wider ecosystem context.</w:t>
      </w:r>
    </w:p>
    <w:p w14:paraId="31846E6D" w14:textId="77777777" w:rsidR="00280F68" w:rsidRPr="00280F68" w:rsidRDefault="00280F68" w:rsidP="00280F68">
      <w:pPr>
        <w:rPr>
          <w:b/>
          <w:bCs/>
        </w:rPr>
      </w:pPr>
      <w:r w:rsidRPr="00280F68">
        <w:rPr>
          <w:b/>
          <w:bCs/>
        </w:rPr>
        <w:t>6.1 Historical Context (2012–2023)</w:t>
      </w:r>
    </w:p>
    <w:p w14:paraId="408D1268" w14:textId="77777777" w:rsidR="00280F68" w:rsidRPr="00280F68" w:rsidRDefault="00280F68" w:rsidP="00280F68">
      <w:pPr>
        <w:numPr>
          <w:ilvl w:val="0"/>
          <w:numId w:val="10"/>
        </w:numPr>
      </w:pPr>
      <w:r w:rsidRPr="00280F68">
        <w:rPr>
          <w:b/>
          <w:bCs/>
        </w:rPr>
        <w:t>2012:</w:t>
      </w:r>
      <w:r w:rsidRPr="00280F68">
        <w:t xml:space="preserve"> Grab launches as a ride-hailing app (MyTeksi) in Malaysia.</w:t>
      </w:r>
      <w:r w:rsidRPr="00280F68">
        <w:rPr>
          <w:vertAlign w:val="superscript"/>
        </w:rPr>
        <w:t>1</w:t>
      </w:r>
    </w:p>
    <w:p w14:paraId="7F07EC34" w14:textId="77777777" w:rsidR="00280F68" w:rsidRPr="00280F68" w:rsidRDefault="00280F68" w:rsidP="00280F68">
      <w:pPr>
        <w:numPr>
          <w:ilvl w:val="0"/>
          <w:numId w:val="10"/>
        </w:numPr>
      </w:pPr>
      <w:r w:rsidRPr="00280F68">
        <w:rPr>
          <w:b/>
          <w:bCs/>
        </w:rPr>
        <w:t>2017 (Jun-Aug):</w:t>
      </w:r>
      <w:r w:rsidRPr="00280F68">
        <w:t xml:space="preserve"> Randomized BNPL experiment conducted by major Chinese e-wallet; proves consumption boost.</w:t>
      </w:r>
      <w:r w:rsidRPr="00280F68">
        <w:rPr>
          <w:vertAlign w:val="superscript"/>
        </w:rPr>
        <w:t>1</w:t>
      </w:r>
    </w:p>
    <w:p w14:paraId="6DFD9195" w14:textId="77777777" w:rsidR="00280F68" w:rsidRPr="00280F68" w:rsidRDefault="00280F68" w:rsidP="00280F68">
      <w:pPr>
        <w:numPr>
          <w:ilvl w:val="0"/>
          <w:numId w:val="10"/>
        </w:numPr>
      </w:pPr>
      <w:r w:rsidRPr="00280F68">
        <w:rPr>
          <w:b/>
          <w:bCs/>
        </w:rPr>
        <w:t>2020:</w:t>
      </w:r>
      <w:r w:rsidRPr="00280F68">
        <w:t xml:space="preserve"> Cash usage at POS in China falls to 10%, signaling the "end of cash".</w:t>
      </w:r>
      <w:r w:rsidRPr="00280F68">
        <w:rPr>
          <w:vertAlign w:val="superscript"/>
        </w:rPr>
        <w:t>1</w:t>
      </w:r>
    </w:p>
    <w:p w14:paraId="33C6E35C" w14:textId="77777777" w:rsidR="00280F68" w:rsidRPr="00280F68" w:rsidRDefault="00280F68" w:rsidP="00280F68">
      <w:pPr>
        <w:numPr>
          <w:ilvl w:val="0"/>
          <w:numId w:val="10"/>
        </w:numPr>
      </w:pPr>
      <w:r w:rsidRPr="00280F68">
        <w:rPr>
          <w:b/>
          <w:bCs/>
        </w:rPr>
        <w:t>2021:</w:t>
      </w:r>
      <w:r w:rsidRPr="00280F68">
        <w:t xml:space="preserve"> E-wallets capture 69% of APAC e-commerce spend.</w:t>
      </w:r>
      <w:r w:rsidRPr="00280F68">
        <w:rPr>
          <w:vertAlign w:val="superscript"/>
        </w:rPr>
        <w:t>1</w:t>
      </w:r>
    </w:p>
    <w:p w14:paraId="700D1F5A" w14:textId="77777777" w:rsidR="00280F68" w:rsidRPr="00280F68" w:rsidRDefault="00280F68" w:rsidP="00280F68">
      <w:pPr>
        <w:numPr>
          <w:ilvl w:val="0"/>
          <w:numId w:val="10"/>
        </w:numPr>
      </w:pPr>
      <w:r w:rsidRPr="00280F68">
        <w:rPr>
          <w:b/>
          <w:bCs/>
        </w:rPr>
        <w:lastRenderedPageBreak/>
        <w:t>2023 (Q3):</w:t>
      </w:r>
      <w:r w:rsidRPr="00280F68">
        <w:t xml:space="preserve"> Grab achieves Group Adjusted EBITDA breakeven, proving the profitability of the ecosystem model.</w:t>
      </w:r>
      <w:r w:rsidRPr="00280F68">
        <w:rPr>
          <w:vertAlign w:val="superscript"/>
        </w:rPr>
        <w:t>1</w:t>
      </w:r>
    </w:p>
    <w:p w14:paraId="4278C538" w14:textId="77777777" w:rsidR="00280F68" w:rsidRPr="00280F68" w:rsidRDefault="00280F68" w:rsidP="00280F68">
      <w:pPr>
        <w:rPr>
          <w:b/>
          <w:bCs/>
        </w:rPr>
      </w:pPr>
      <w:r w:rsidRPr="00280F68">
        <w:rPr>
          <w:b/>
          <w:bCs/>
        </w:rPr>
        <w:t>6.2 The Transformation Phase (2024–2026)</w:t>
      </w:r>
    </w:p>
    <w:p w14:paraId="2E32C332" w14:textId="77777777" w:rsidR="00280F68" w:rsidRPr="00280F68" w:rsidRDefault="00280F68" w:rsidP="00280F68">
      <w:pPr>
        <w:numPr>
          <w:ilvl w:val="0"/>
          <w:numId w:val="11"/>
        </w:numPr>
      </w:pPr>
      <w:r w:rsidRPr="00280F68">
        <w:rPr>
          <w:b/>
          <w:bCs/>
        </w:rPr>
        <w:t>2024:</w:t>
      </w:r>
      <w:r w:rsidRPr="00280F68">
        <w:t xml:space="preserve"> </w:t>
      </w:r>
      <w:r w:rsidRPr="00280F68">
        <w:rPr>
          <w:b/>
          <w:bCs/>
        </w:rPr>
        <w:t>Regulatory Pivot.</w:t>
      </w:r>
      <w:r w:rsidRPr="00280F68">
        <w:t xml:space="preserve"> Implementation of tighter capital requirements for BNPL providers in major markets (UK/EU/Australia), forcing pure-play consolidation.</w:t>
      </w:r>
    </w:p>
    <w:p w14:paraId="6C772470" w14:textId="77777777" w:rsidR="00280F68" w:rsidRPr="00280F68" w:rsidRDefault="00280F68" w:rsidP="00280F68">
      <w:pPr>
        <w:numPr>
          <w:ilvl w:val="0"/>
          <w:numId w:val="11"/>
        </w:numPr>
      </w:pPr>
      <w:r w:rsidRPr="00280F68">
        <w:rPr>
          <w:b/>
          <w:bCs/>
        </w:rPr>
        <w:t>2025 (Nov):</w:t>
      </w:r>
      <w:r w:rsidRPr="00280F68">
        <w:t xml:space="preserve"> </w:t>
      </w:r>
      <w:r w:rsidRPr="00280F68">
        <w:rPr>
          <w:b/>
          <w:bCs/>
        </w:rPr>
        <w:t>ISO 20022 Deadline.</w:t>
      </w:r>
      <w:r w:rsidRPr="00280F68">
        <w:t xml:space="preserve"> End of the coexistence period for cross-border payments. Banks regain data richness capabilities.</w:t>
      </w:r>
    </w:p>
    <w:p w14:paraId="31BDBD45" w14:textId="77777777" w:rsidR="00280F68" w:rsidRPr="00280F68" w:rsidRDefault="00280F68" w:rsidP="00280F68">
      <w:pPr>
        <w:numPr>
          <w:ilvl w:val="0"/>
          <w:numId w:val="11"/>
        </w:numPr>
      </w:pPr>
      <w:r w:rsidRPr="00280F68">
        <w:rPr>
          <w:b/>
          <w:bCs/>
        </w:rPr>
        <w:t>2025:</w:t>
      </w:r>
      <w:r w:rsidRPr="00280F68">
        <w:t xml:space="preserve"> </w:t>
      </w:r>
      <w:r w:rsidRPr="00280F68">
        <w:rPr>
          <w:b/>
          <w:bCs/>
        </w:rPr>
        <w:t>BNPL Market Milestone.</w:t>
      </w:r>
      <w:r w:rsidRPr="00280F68">
        <w:t xml:space="preserve"> Global BNPL transaction volume projected to reach </w:t>
      </w:r>
      <w:r w:rsidRPr="00280F68">
        <w:rPr>
          <w:b/>
          <w:bCs/>
        </w:rPr>
        <w:t>$680 Billion</w:t>
      </w:r>
      <w:r w:rsidRPr="00280F68">
        <w:t>.</w:t>
      </w:r>
      <w:r w:rsidRPr="00280F68">
        <w:rPr>
          <w:vertAlign w:val="superscript"/>
        </w:rPr>
        <w:t>1</w:t>
      </w:r>
    </w:p>
    <w:p w14:paraId="5712DF26" w14:textId="77777777" w:rsidR="00280F68" w:rsidRPr="00280F68" w:rsidRDefault="00280F68" w:rsidP="00280F68">
      <w:pPr>
        <w:numPr>
          <w:ilvl w:val="0"/>
          <w:numId w:val="11"/>
        </w:numPr>
      </w:pPr>
      <w:r w:rsidRPr="00280F68">
        <w:rPr>
          <w:b/>
          <w:bCs/>
        </w:rPr>
        <w:t>2025:</w:t>
      </w:r>
      <w:r w:rsidRPr="00280F68">
        <w:t xml:space="preserve"> </w:t>
      </w:r>
      <w:r w:rsidRPr="00280F68">
        <w:rPr>
          <w:b/>
          <w:bCs/>
        </w:rPr>
        <w:t>SE Asia Market Size.</w:t>
      </w:r>
      <w:r w:rsidRPr="00280F68">
        <w:t xml:space="preserve"> The internet economy of Southeast Asia projected to reach </w:t>
      </w:r>
      <w:r w:rsidRPr="00280F68">
        <w:rPr>
          <w:b/>
          <w:bCs/>
        </w:rPr>
        <w:t>$180 Billion</w:t>
      </w:r>
      <w:r w:rsidRPr="00280F68">
        <w:t xml:space="preserve"> in GMV (Gross Merchandise Value).</w:t>
      </w:r>
      <w:r w:rsidRPr="00280F68">
        <w:rPr>
          <w:vertAlign w:val="superscript"/>
        </w:rPr>
        <w:t>1</w:t>
      </w:r>
    </w:p>
    <w:p w14:paraId="0A07A1E7" w14:textId="77777777" w:rsidR="00280F68" w:rsidRPr="00280F68" w:rsidRDefault="00280F68" w:rsidP="00280F68">
      <w:pPr>
        <w:numPr>
          <w:ilvl w:val="0"/>
          <w:numId w:val="11"/>
        </w:numPr>
      </w:pPr>
      <w:r w:rsidRPr="00280F68">
        <w:rPr>
          <w:b/>
          <w:bCs/>
        </w:rPr>
        <w:t>2026:</w:t>
      </w:r>
      <w:r w:rsidRPr="00280F68">
        <w:t xml:space="preserve"> </w:t>
      </w:r>
      <w:r w:rsidRPr="00280F68">
        <w:rPr>
          <w:b/>
          <w:bCs/>
        </w:rPr>
        <w:t>User Saturation.</w:t>
      </w:r>
      <w:r w:rsidRPr="00280F68">
        <w:t xml:space="preserve"> Global e-wallet users projected to exceed </w:t>
      </w:r>
      <w:r w:rsidRPr="00280F68">
        <w:rPr>
          <w:b/>
          <w:bCs/>
        </w:rPr>
        <w:t xml:space="preserve">5.2 </w:t>
      </w:r>
      <w:proofErr w:type="gramStart"/>
      <w:r w:rsidRPr="00280F68">
        <w:rPr>
          <w:b/>
          <w:bCs/>
        </w:rPr>
        <w:t>Billion</w:t>
      </w:r>
      <w:proofErr w:type="gramEnd"/>
      <w:r w:rsidRPr="00280F68">
        <w:t>, up from 3.4 Billion in 2022.</w:t>
      </w:r>
      <w:r w:rsidRPr="00280F68">
        <w:rPr>
          <w:vertAlign w:val="superscript"/>
        </w:rPr>
        <w:t>1</w:t>
      </w:r>
    </w:p>
    <w:p w14:paraId="61DAE060" w14:textId="77777777" w:rsidR="00280F68" w:rsidRPr="00280F68" w:rsidRDefault="00280F68" w:rsidP="00280F68">
      <w:pPr>
        <w:rPr>
          <w:b/>
          <w:bCs/>
        </w:rPr>
      </w:pPr>
      <w:r w:rsidRPr="00280F68">
        <w:rPr>
          <w:b/>
          <w:bCs/>
        </w:rPr>
        <w:t>6.3 The Maturity Phase (2027–2030)</w:t>
      </w:r>
    </w:p>
    <w:p w14:paraId="24DEAB54" w14:textId="77777777" w:rsidR="00280F68" w:rsidRPr="00280F68" w:rsidRDefault="00280F68" w:rsidP="00280F68">
      <w:pPr>
        <w:numPr>
          <w:ilvl w:val="0"/>
          <w:numId w:val="12"/>
        </w:numPr>
      </w:pPr>
      <w:r w:rsidRPr="00280F68">
        <w:rPr>
          <w:b/>
          <w:bCs/>
        </w:rPr>
        <w:t>2027:</w:t>
      </w:r>
      <w:r w:rsidRPr="00280F68">
        <w:t xml:space="preserve"> </w:t>
      </w:r>
      <w:r w:rsidRPr="00280F68">
        <w:rPr>
          <w:b/>
          <w:bCs/>
        </w:rPr>
        <w:t>Super-App Ubiquity.</w:t>
      </w:r>
      <w:r w:rsidRPr="00280F68">
        <w:t xml:space="preserve"> More than </w:t>
      </w:r>
      <w:r w:rsidRPr="00280F68">
        <w:rPr>
          <w:b/>
          <w:bCs/>
        </w:rPr>
        <w:t>50%</w:t>
      </w:r>
      <w:r w:rsidRPr="00280F68">
        <w:t xml:space="preserve"> of the global population is predicted to use multiple super-apps daily.</w:t>
      </w:r>
      <w:r w:rsidRPr="00280F68">
        <w:rPr>
          <w:vertAlign w:val="superscript"/>
        </w:rPr>
        <w:t>1</w:t>
      </w:r>
    </w:p>
    <w:p w14:paraId="0D5F70F0" w14:textId="77777777" w:rsidR="00280F68" w:rsidRPr="00280F68" w:rsidRDefault="00280F68" w:rsidP="00280F68">
      <w:pPr>
        <w:numPr>
          <w:ilvl w:val="0"/>
          <w:numId w:val="12"/>
        </w:numPr>
      </w:pPr>
      <w:r w:rsidRPr="00280F68">
        <w:rPr>
          <w:b/>
          <w:bCs/>
        </w:rPr>
        <w:t>2028:</w:t>
      </w:r>
      <w:r w:rsidRPr="00280F68">
        <w:t xml:space="preserve"> </w:t>
      </w:r>
      <w:r w:rsidRPr="00280F68">
        <w:rPr>
          <w:b/>
          <w:bCs/>
        </w:rPr>
        <w:t>CBDC Integration.</w:t>
      </w:r>
      <w:r w:rsidRPr="00280F68">
        <w:t xml:space="preserve"> Expected rollout of programmable CBDC pilots in major ASEAN economies, integrating with super-app wallets.</w:t>
      </w:r>
    </w:p>
    <w:p w14:paraId="217C5C3D" w14:textId="77777777" w:rsidR="00280F68" w:rsidRPr="00280F68" w:rsidRDefault="00280F68" w:rsidP="00280F68">
      <w:pPr>
        <w:numPr>
          <w:ilvl w:val="0"/>
          <w:numId w:val="12"/>
        </w:numPr>
      </w:pPr>
      <w:r w:rsidRPr="00280F68">
        <w:rPr>
          <w:b/>
          <w:bCs/>
        </w:rPr>
        <w:t>2030:</w:t>
      </w:r>
      <w:r w:rsidRPr="00280F68">
        <w:t xml:space="preserve"> </w:t>
      </w:r>
      <w:r w:rsidRPr="00280F68">
        <w:rPr>
          <w:b/>
          <w:bCs/>
        </w:rPr>
        <w:t>Macroeconomic Shift.</w:t>
      </w:r>
      <w:r w:rsidRPr="00280F68">
        <w:t xml:space="preserve"> Southeast Asia projected to become the world’s </w:t>
      </w:r>
      <w:r w:rsidRPr="00280F68">
        <w:rPr>
          <w:b/>
          <w:bCs/>
        </w:rPr>
        <w:t>4th largest economy</w:t>
      </w:r>
      <w:r w:rsidRPr="00280F68">
        <w:t>.</w:t>
      </w:r>
      <w:r w:rsidRPr="00280F68">
        <w:rPr>
          <w:vertAlign w:val="superscript"/>
        </w:rPr>
        <w:t>1</w:t>
      </w:r>
    </w:p>
    <w:p w14:paraId="3AEB5AB7" w14:textId="77777777" w:rsidR="00280F68" w:rsidRPr="00280F68" w:rsidRDefault="00280F68" w:rsidP="00280F68">
      <w:pPr>
        <w:numPr>
          <w:ilvl w:val="0"/>
          <w:numId w:val="12"/>
        </w:numPr>
      </w:pPr>
      <w:r w:rsidRPr="00280F68">
        <w:rPr>
          <w:b/>
          <w:bCs/>
        </w:rPr>
        <w:t>2030:</w:t>
      </w:r>
      <w:r w:rsidRPr="00280F68">
        <w:t xml:space="preserve"> </w:t>
      </w:r>
      <w:r w:rsidRPr="00280F68">
        <w:rPr>
          <w:b/>
          <w:bCs/>
        </w:rPr>
        <w:t>BNPL Dominance.</w:t>
      </w:r>
      <w:r w:rsidRPr="00280F68">
        <w:t xml:space="preserve"> Global BNPL market size projected to reach </w:t>
      </w:r>
      <w:r w:rsidRPr="00280F68">
        <w:rPr>
          <w:b/>
          <w:bCs/>
        </w:rPr>
        <w:t>$3.98 Trillion</w:t>
      </w:r>
      <w:r w:rsidRPr="00280F68">
        <w:t>, effectively replacing the credit card as the primary unsecured consumer lending instrument.</w:t>
      </w:r>
      <w:r w:rsidRPr="00280F68">
        <w:rPr>
          <w:vertAlign w:val="superscript"/>
        </w:rPr>
        <w:t>1</w:t>
      </w:r>
    </w:p>
    <w:p w14:paraId="7203EE0D" w14:textId="77777777" w:rsidR="00280F68" w:rsidRPr="00280F68" w:rsidRDefault="00280F68" w:rsidP="00280F68">
      <w:r w:rsidRPr="00280F68">
        <w:rPr>
          <w:b/>
          <w:bCs/>
        </w:rPr>
        <w:t>Table 3: Strategic Gantt Chart Data Points (2023–2030)</w:t>
      </w:r>
    </w:p>
    <w:tbl>
      <w:tblPr>
        <w:tblW w:w="0" w:type="auto"/>
        <w:tblCellSpacing w:w="15" w:type="dxa"/>
        <w:tblCellMar>
          <w:left w:w="0" w:type="dxa"/>
          <w:right w:w="0" w:type="dxa"/>
        </w:tblCellMar>
        <w:tblLook w:val="04A0" w:firstRow="1" w:lastRow="0" w:firstColumn="1" w:lastColumn="0" w:noHBand="0" w:noVBand="1"/>
      </w:tblPr>
      <w:tblGrid>
        <w:gridCol w:w="2198"/>
        <w:gridCol w:w="1413"/>
        <w:gridCol w:w="1836"/>
        <w:gridCol w:w="3897"/>
      </w:tblGrid>
      <w:tr w:rsidR="00280F68" w:rsidRPr="00280F68" w14:paraId="33B392F1" w14:textId="77777777" w:rsidTr="00280F6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0652E" w14:textId="77777777" w:rsidR="00280F68" w:rsidRPr="00280F68" w:rsidRDefault="00280F68" w:rsidP="00280F68">
            <w:r w:rsidRPr="00280F68">
              <w:rPr>
                <w:b/>
                <w:bCs/>
              </w:rPr>
              <w:t>Event / 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66450" w14:textId="77777777" w:rsidR="00280F68" w:rsidRPr="00280F68" w:rsidRDefault="00280F68" w:rsidP="00280F68">
            <w:r w:rsidRPr="00280F68">
              <w:rPr>
                <w:b/>
                <w:bCs/>
              </w:rPr>
              <w:t>Date /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3194B" w14:textId="77777777" w:rsidR="00280F68" w:rsidRPr="00280F68" w:rsidRDefault="00280F68" w:rsidP="00280F68">
            <w:r w:rsidRPr="00280F68">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E2FFC" w14:textId="77777777" w:rsidR="00280F68" w:rsidRPr="00280F68" w:rsidRDefault="00280F68" w:rsidP="00280F68">
            <w:r w:rsidRPr="00280F68">
              <w:rPr>
                <w:b/>
                <w:bCs/>
              </w:rPr>
              <w:t>Implication</w:t>
            </w:r>
          </w:p>
        </w:tc>
      </w:tr>
      <w:tr w:rsidR="00280F68" w:rsidRPr="00280F68" w14:paraId="118C3E6E"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8EA77" w14:textId="77777777" w:rsidR="00280F68" w:rsidRPr="00280F68" w:rsidRDefault="00280F68" w:rsidP="00280F68">
            <w:r w:rsidRPr="00280F68">
              <w:rPr>
                <w:b/>
                <w:bCs/>
              </w:rPr>
              <w:t>FedNow Launch (US)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79293" w14:textId="77777777" w:rsidR="00280F68" w:rsidRPr="00280F68" w:rsidRDefault="00280F68" w:rsidP="00280F68">
            <w:r w:rsidRPr="00280F68">
              <w:t>July 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EE5D9" w14:textId="77777777" w:rsidR="00280F68" w:rsidRPr="00280F68" w:rsidRDefault="00280F68" w:rsidP="00280F68">
            <w:r w:rsidRPr="00280F68">
              <w:t>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48481" w14:textId="77777777" w:rsidR="00280F68" w:rsidRPr="00280F68" w:rsidRDefault="00280F68" w:rsidP="00280F68">
            <w:r w:rsidRPr="00280F68">
              <w:t>US attempts to catch up to RTP, threatening wallet models.</w:t>
            </w:r>
          </w:p>
        </w:tc>
      </w:tr>
      <w:tr w:rsidR="00280F68" w:rsidRPr="00280F68" w14:paraId="7A59D065"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3B549" w14:textId="77777777" w:rsidR="00280F68" w:rsidRPr="00280F68" w:rsidRDefault="00280F68" w:rsidP="00280F68">
            <w:r w:rsidRPr="00280F68">
              <w:rPr>
                <w:b/>
                <w:bCs/>
              </w:rPr>
              <w:lastRenderedPageBreak/>
              <w:t>Grab EBITDA Breakeven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E9B9E" w14:textId="77777777" w:rsidR="00280F68" w:rsidRPr="00280F68" w:rsidRDefault="00280F68" w:rsidP="00280F68">
            <w:r w:rsidRPr="00280F68">
              <w:t>Q3 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4DE07" w14:textId="77777777" w:rsidR="00280F68" w:rsidRPr="00280F68" w:rsidRDefault="00280F68" w:rsidP="00280F68">
            <w:r w:rsidRPr="00280F68">
              <w:t>Corporate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6A661" w14:textId="77777777" w:rsidR="00280F68" w:rsidRPr="00280F68" w:rsidRDefault="00280F68" w:rsidP="00280F68">
            <w:r w:rsidRPr="00280F68">
              <w:t>Proof of concept for Super-App profitability.</w:t>
            </w:r>
            <w:r w:rsidRPr="00280F68">
              <w:rPr>
                <w:vertAlign w:val="superscript"/>
              </w:rPr>
              <w:t>1</w:t>
            </w:r>
          </w:p>
        </w:tc>
      </w:tr>
      <w:tr w:rsidR="00280F68" w:rsidRPr="00280F68" w14:paraId="30EDFAFD"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CA7F4" w14:textId="77777777" w:rsidR="00280F68" w:rsidRPr="00280F68" w:rsidRDefault="00280F68" w:rsidP="00280F68">
            <w:r w:rsidRPr="00280F68">
              <w:rPr>
                <w:b/>
                <w:bCs/>
              </w:rPr>
              <w:t>ISO 20022 Migration 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41FD2" w14:textId="77777777" w:rsidR="00280F68" w:rsidRPr="00280F68" w:rsidRDefault="00280F68" w:rsidP="00280F68">
            <w:r w:rsidRPr="00280F68">
              <w:t>Nov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58F83" w14:textId="77777777" w:rsidR="00280F68" w:rsidRPr="00280F68" w:rsidRDefault="00280F68" w:rsidP="00280F68">
            <w:r w:rsidRPr="00280F68">
              <w:t>Regulation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F4E5B" w14:textId="77777777" w:rsidR="00280F68" w:rsidRPr="00280F68" w:rsidRDefault="00280F68" w:rsidP="00280F68">
            <w:r w:rsidRPr="00280F68">
              <w:t>Standardization of global payment data.</w:t>
            </w:r>
          </w:p>
        </w:tc>
      </w:tr>
      <w:tr w:rsidR="00280F68" w:rsidRPr="00280F68" w14:paraId="5293A669"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27981" w14:textId="77777777" w:rsidR="00280F68" w:rsidRPr="00280F68" w:rsidRDefault="00280F68" w:rsidP="00280F68">
            <w:r w:rsidRPr="00280F68">
              <w:rPr>
                <w:b/>
                <w:bCs/>
              </w:rPr>
              <w:t>Global BNPL $680B Vol.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C092E" w14:textId="77777777" w:rsidR="00280F68" w:rsidRPr="00280F68" w:rsidRDefault="00280F68" w:rsidP="00280F68">
            <w:r w:rsidRPr="00280F68">
              <w:t>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8EFD7" w14:textId="77777777" w:rsidR="00280F68" w:rsidRPr="00280F68" w:rsidRDefault="00280F68" w:rsidP="00280F68">
            <w:r w:rsidRPr="00280F68">
              <w:t>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60BE8" w14:textId="77777777" w:rsidR="00280F68" w:rsidRPr="00280F68" w:rsidRDefault="00280F68" w:rsidP="00280F68">
            <w:r w:rsidRPr="00280F68">
              <w:t>BNPL becomes systemic; regulatory scrutiny peaks.</w:t>
            </w:r>
            <w:r w:rsidRPr="00280F68">
              <w:rPr>
                <w:vertAlign w:val="superscript"/>
              </w:rPr>
              <w:t>1</w:t>
            </w:r>
          </w:p>
        </w:tc>
      </w:tr>
      <w:tr w:rsidR="00280F68" w:rsidRPr="00280F68" w14:paraId="79A26E78"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3EFFA" w14:textId="77777777" w:rsidR="00280F68" w:rsidRPr="00280F68" w:rsidRDefault="00280F68" w:rsidP="00280F68">
            <w:r w:rsidRPr="00280F68">
              <w:rPr>
                <w:b/>
                <w:bCs/>
              </w:rPr>
              <w:t>E-Wallet Users &gt; 5.2B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9F786" w14:textId="77777777" w:rsidR="00280F68" w:rsidRPr="00280F68" w:rsidRDefault="00280F68" w:rsidP="00280F68">
            <w:r w:rsidRPr="00280F68">
              <w:t>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9C83D" w14:textId="77777777" w:rsidR="00280F68" w:rsidRPr="00280F68" w:rsidRDefault="00280F68" w:rsidP="00280F68">
            <w:r w:rsidRPr="00280F68">
              <w:t>Adoption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3AFF7" w14:textId="77777777" w:rsidR="00280F68" w:rsidRPr="00280F68" w:rsidRDefault="00280F68" w:rsidP="00280F68">
            <w:r w:rsidRPr="00280F68">
              <w:t>Mobile wallets become the default global bank account.</w:t>
            </w:r>
            <w:r w:rsidRPr="00280F68">
              <w:rPr>
                <w:vertAlign w:val="superscript"/>
              </w:rPr>
              <w:t>1</w:t>
            </w:r>
          </w:p>
        </w:tc>
      </w:tr>
      <w:tr w:rsidR="00280F68" w:rsidRPr="00280F68" w14:paraId="740EB331"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4E654" w14:textId="77777777" w:rsidR="00280F68" w:rsidRPr="00280F68" w:rsidRDefault="00280F68" w:rsidP="00280F68">
            <w:r w:rsidRPr="00280F68">
              <w:rPr>
                <w:b/>
                <w:bCs/>
              </w:rPr>
              <w:t>50% Pop. on Super-Apps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524B9" w14:textId="77777777" w:rsidR="00280F68" w:rsidRPr="00280F68" w:rsidRDefault="00280F68" w:rsidP="00280F68">
            <w:r w:rsidRPr="00280F68">
              <w:t>2027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E7884" w14:textId="77777777" w:rsidR="00280F68" w:rsidRPr="00280F68" w:rsidRDefault="00280F68" w:rsidP="00280F68">
            <w:r w:rsidRPr="00280F68">
              <w:t>Adoption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23957" w14:textId="77777777" w:rsidR="00280F68" w:rsidRPr="00280F68" w:rsidRDefault="00280F68" w:rsidP="00280F68">
            <w:r w:rsidRPr="00280F68">
              <w:t>The "Interface" wins over the "Bank".</w:t>
            </w:r>
            <w:r w:rsidRPr="00280F68">
              <w:rPr>
                <w:vertAlign w:val="superscript"/>
              </w:rPr>
              <w:t>1</w:t>
            </w:r>
          </w:p>
        </w:tc>
      </w:tr>
      <w:tr w:rsidR="00280F68" w:rsidRPr="00280F68" w14:paraId="7E7FB61B"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D50EA" w14:textId="77777777" w:rsidR="00280F68" w:rsidRPr="00280F68" w:rsidRDefault="00280F68" w:rsidP="00280F68">
            <w:r w:rsidRPr="00280F68">
              <w:rPr>
                <w:b/>
                <w:bCs/>
              </w:rPr>
              <w:t>Project Nexus (BIS) Live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6136C" w14:textId="77777777" w:rsidR="00280F68" w:rsidRPr="00280F68" w:rsidRDefault="00280F68" w:rsidP="00280F68">
            <w:r w:rsidRPr="00280F68">
              <w:t>~2027 (Est)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3FE2A" w14:textId="77777777" w:rsidR="00280F68" w:rsidRPr="00280F68" w:rsidRDefault="00280F68" w:rsidP="00280F68">
            <w:r w:rsidRPr="00280F68">
              <w:t>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A4256" w14:textId="77777777" w:rsidR="00280F68" w:rsidRPr="00280F68" w:rsidRDefault="00280F68" w:rsidP="00280F68">
            <w:r w:rsidRPr="00280F68">
              <w:t>Interlinking of ASEAN RTP systems (PayNow, PromptPay).</w:t>
            </w:r>
          </w:p>
        </w:tc>
      </w:tr>
      <w:tr w:rsidR="00280F68" w:rsidRPr="00280F68" w14:paraId="5F6CC9DD"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A13FC" w14:textId="77777777" w:rsidR="00280F68" w:rsidRPr="00280F68" w:rsidRDefault="00280F68" w:rsidP="00280F68">
            <w:r w:rsidRPr="00280F68">
              <w:rPr>
                <w:b/>
                <w:bCs/>
              </w:rPr>
              <w:t>SE Asia 4th Largest Econ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D6CDB" w14:textId="77777777" w:rsidR="00280F68" w:rsidRPr="00280F68" w:rsidRDefault="00280F68" w:rsidP="00280F68">
            <w:r w:rsidRPr="00280F68">
              <w:t>2030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6043F" w14:textId="77777777" w:rsidR="00280F68" w:rsidRPr="00280F68" w:rsidRDefault="00280F68" w:rsidP="00280F68">
            <w:r w:rsidRPr="00280F68">
              <w:t>Macro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DB3F0" w14:textId="77777777" w:rsidR="00280F68" w:rsidRPr="00280F68" w:rsidRDefault="00280F68" w:rsidP="00280F68">
            <w:r w:rsidRPr="00280F68">
              <w:t>The center of gravity for fintech innovation shifts to ASEAN.</w:t>
            </w:r>
            <w:r w:rsidRPr="00280F68">
              <w:rPr>
                <w:vertAlign w:val="superscript"/>
              </w:rPr>
              <w:t>1</w:t>
            </w:r>
          </w:p>
        </w:tc>
      </w:tr>
      <w:tr w:rsidR="00280F68" w:rsidRPr="00280F68" w14:paraId="4C07B22B" w14:textId="77777777" w:rsidTr="00280F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90EA8" w14:textId="77777777" w:rsidR="00280F68" w:rsidRPr="00280F68" w:rsidRDefault="00280F68" w:rsidP="00280F68">
            <w:r w:rsidRPr="00280F68">
              <w:rPr>
                <w:b/>
                <w:bCs/>
              </w:rPr>
              <w:t>BNPL $3.98 Trillion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4280A" w14:textId="77777777" w:rsidR="00280F68" w:rsidRPr="00280F68" w:rsidRDefault="00280F68" w:rsidP="00280F68">
            <w:r w:rsidRPr="00280F68">
              <w:t>2030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0B56A" w14:textId="77777777" w:rsidR="00280F68" w:rsidRPr="00280F68" w:rsidRDefault="00280F68" w:rsidP="00280F68">
            <w:r w:rsidRPr="00280F68">
              <w:t>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7CAD" w14:textId="77777777" w:rsidR="00280F68" w:rsidRPr="00280F68" w:rsidRDefault="00280F68" w:rsidP="00280F68">
            <w:r w:rsidRPr="00280F68">
              <w:t>Credit cards relegated to legacy status.</w:t>
            </w:r>
            <w:r w:rsidRPr="00280F68">
              <w:rPr>
                <w:vertAlign w:val="superscript"/>
              </w:rPr>
              <w:t>1</w:t>
            </w:r>
          </w:p>
        </w:tc>
      </w:tr>
    </w:tbl>
    <w:p w14:paraId="5E4AF3BC" w14:textId="77777777" w:rsidR="00280F68" w:rsidRPr="00280F68" w:rsidRDefault="00280F68" w:rsidP="00280F68">
      <w:pPr>
        <w:rPr>
          <w:b/>
          <w:bCs/>
        </w:rPr>
      </w:pPr>
      <w:r w:rsidRPr="00280F68">
        <w:rPr>
          <w:b/>
          <w:bCs/>
        </w:rPr>
        <w:t>7. Regional Spotlights: The Geographies of Innovation</w:t>
      </w:r>
    </w:p>
    <w:p w14:paraId="7C756483" w14:textId="77777777" w:rsidR="00280F68" w:rsidRPr="00280F68" w:rsidRDefault="00280F68" w:rsidP="00280F68">
      <w:pPr>
        <w:rPr>
          <w:b/>
          <w:bCs/>
        </w:rPr>
      </w:pPr>
      <w:r w:rsidRPr="00280F68">
        <w:rPr>
          <w:b/>
          <w:bCs/>
        </w:rPr>
        <w:t>7.1 Southeast Asia: The "Leapfrog" Laboratory</w:t>
      </w:r>
    </w:p>
    <w:p w14:paraId="3E9DE10A" w14:textId="77777777" w:rsidR="00280F68" w:rsidRPr="00280F68" w:rsidRDefault="00280F68" w:rsidP="00280F68">
      <w:r w:rsidRPr="00280F68">
        <w:t>Southeast Asia (SEA) is the ideal laboratory for the super-app model because it combines high smartphone penetration with low banking penetration and high fragmentation.</w:t>
      </w:r>
    </w:p>
    <w:p w14:paraId="49CF0264" w14:textId="77777777" w:rsidR="00280F68" w:rsidRPr="00280F68" w:rsidRDefault="00280F68" w:rsidP="00280F68">
      <w:pPr>
        <w:numPr>
          <w:ilvl w:val="0"/>
          <w:numId w:val="13"/>
        </w:numPr>
      </w:pPr>
      <w:r w:rsidRPr="00280F68">
        <w:rPr>
          <w:b/>
          <w:bCs/>
        </w:rPr>
        <w:t>Fragmentation:</w:t>
      </w:r>
      <w:r w:rsidRPr="00280F68">
        <w:t xml:space="preserve"> Unlike China (one market, one language), SEA is a mosaic. Grab operates in &gt;500 cities across 8 countries. This fragmentation protects incumbents; </w:t>
      </w:r>
      <w:r w:rsidRPr="00280F68">
        <w:lastRenderedPageBreak/>
        <w:t>a competitor cannot simply "launch" in SEA without building deep local logistics infrastructure.</w:t>
      </w:r>
      <w:r w:rsidRPr="00280F68">
        <w:rPr>
          <w:vertAlign w:val="superscript"/>
        </w:rPr>
        <w:t>1</w:t>
      </w:r>
    </w:p>
    <w:p w14:paraId="259B944A" w14:textId="77777777" w:rsidR="00280F68" w:rsidRPr="00280F68" w:rsidRDefault="00280F68" w:rsidP="00280F68">
      <w:pPr>
        <w:numPr>
          <w:ilvl w:val="0"/>
          <w:numId w:val="13"/>
        </w:numPr>
      </w:pPr>
      <w:r w:rsidRPr="00280F68">
        <w:rPr>
          <w:b/>
          <w:bCs/>
        </w:rPr>
        <w:t>MSME Focus:</w:t>
      </w:r>
      <w:r w:rsidRPr="00280F68">
        <w:t xml:space="preserve"> The battle in SEA is not for the consumer's coffee (which is low margin) but for the merchant's supply chain. By digitizing the 97% of businesses that are MSMEs, super-apps are building the operating system for the regional economy.</w:t>
      </w:r>
      <w:r w:rsidRPr="00280F68">
        <w:rPr>
          <w:vertAlign w:val="superscript"/>
        </w:rPr>
        <w:t>1</w:t>
      </w:r>
    </w:p>
    <w:p w14:paraId="5C94AC2E" w14:textId="77777777" w:rsidR="00280F68" w:rsidRPr="00280F68" w:rsidRDefault="00280F68" w:rsidP="00280F68">
      <w:pPr>
        <w:rPr>
          <w:b/>
          <w:bCs/>
        </w:rPr>
      </w:pPr>
      <w:r w:rsidRPr="00280F68">
        <w:rPr>
          <w:b/>
          <w:bCs/>
        </w:rPr>
        <w:t>7.2 China: The Post-Growth Regulatory Era</w:t>
      </w:r>
    </w:p>
    <w:p w14:paraId="4E9E3D9F" w14:textId="77777777" w:rsidR="00280F68" w:rsidRPr="00280F68" w:rsidRDefault="00280F68" w:rsidP="00280F68">
      <w:r w:rsidRPr="00280F68">
        <w:t>China offers a glimpse into the future of super-app regulation. The period of unbridled growth (2011–2020) has ended. The current phase is characterized by "rectification."</w:t>
      </w:r>
    </w:p>
    <w:p w14:paraId="27AEDF98" w14:textId="77777777" w:rsidR="00280F68" w:rsidRPr="00280F68" w:rsidRDefault="00280F68" w:rsidP="00280F68">
      <w:pPr>
        <w:numPr>
          <w:ilvl w:val="0"/>
          <w:numId w:val="14"/>
        </w:numPr>
      </w:pPr>
      <w:r w:rsidRPr="00280F68">
        <w:rPr>
          <w:b/>
          <w:bCs/>
        </w:rPr>
        <w:t>Credit Separation:</w:t>
      </w:r>
      <w:r w:rsidRPr="00280F68">
        <w:t xml:space="preserve"> Regulations now require the separation of lending (Huabei/Jiebei) from payments (Alipay), forcing data to flow through state-backed credit bureaus. This breaks the closed-loop data monopoly, a trend likely to be copied by regulators in Europe (PSD3) and potentially the US (CFPB open banking rules).</w:t>
      </w:r>
    </w:p>
    <w:p w14:paraId="7AC49418" w14:textId="77777777" w:rsidR="00280F68" w:rsidRPr="00280F68" w:rsidRDefault="00280F68" w:rsidP="00280F68">
      <w:pPr>
        <w:rPr>
          <w:b/>
          <w:bCs/>
        </w:rPr>
      </w:pPr>
      <w:r w:rsidRPr="00280F68">
        <w:rPr>
          <w:b/>
          <w:bCs/>
        </w:rPr>
        <w:t>7.3 The West: Fragmentation and Imitation</w:t>
      </w:r>
    </w:p>
    <w:p w14:paraId="627260AA" w14:textId="77777777" w:rsidR="00280F68" w:rsidRPr="00280F68" w:rsidRDefault="00280F68" w:rsidP="00280F68">
      <w:r w:rsidRPr="00280F68">
        <w:t xml:space="preserve">The US and Europe remain fragmented. While PayPal attempts to build a super-app, and Uber integrates food and rides, no single player has achieved the "lifestyle OS" status of Grab or WeChat. The presence of strong incumbents (Visa/Mastercard) and high credit card penetration makes the value proposition of a "wallet-first" ecosystem less compelling for the average consumer. However, the rise of BNPL (Affirm, Klarna) suggests that the </w:t>
      </w:r>
      <w:r w:rsidRPr="00280F68">
        <w:rPr>
          <w:i/>
          <w:iCs/>
        </w:rPr>
        <w:t>credit</w:t>
      </w:r>
      <w:r w:rsidRPr="00280F68">
        <w:t xml:space="preserve"> component of the model is successfully crossing borders, even if the </w:t>
      </w:r>
      <w:r w:rsidRPr="00280F68">
        <w:rPr>
          <w:i/>
          <w:iCs/>
        </w:rPr>
        <w:t>app</w:t>
      </w:r>
      <w:r w:rsidRPr="00280F68">
        <w:t xml:space="preserve"> component is not.</w:t>
      </w:r>
    </w:p>
    <w:p w14:paraId="58F35503" w14:textId="77777777" w:rsidR="00280F68" w:rsidRPr="00280F68" w:rsidRDefault="00280F68" w:rsidP="00280F68">
      <w:pPr>
        <w:rPr>
          <w:b/>
          <w:bCs/>
        </w:rPr>
      </w:pPr>
      <w:r w:rsidRPr="00280F68">
        <w:rPr>
          <w:b/>
          <w:bCs/>
        </w:rPr>
        <w:t>8. Conclusion and Strategic Implications</w:t>
      </w:r>
    </w:p>
    <w:p w14:paraId="0A114C94" w14:textId="77777777" w:rsidR="00280F68" w:rsidRPr="00280F68" w:rsidRDefault="00280F68" w:rsidP="00280F68">
      <w:r w:rsidRPr="00280F68">
        <w:t xml:space="preserve">The data presented in this report confirms a fundamental thesis: </w:t>
      </w:r>
      <w:r w:rsidRPr="00280F68">
        <w:rPr>
          <w:b/>
          <w:bCs/>
        </w:rPr>
        <w:t>The Super-App is not merely a user interface improvement; it is a new mode of economic organization.</w:t>
      </w:r>
    </w:p>
    <w:p w14:paraId="54B3803D" w14:textId="77777777" w:rsidR="00280F68" w:rsidRPr="00280F68" w:rsidRDefault="00280F68" w:rsidP="00280F68">
      <w:r w:rsidRPr="00280F68">
        <w:t>By fusing the "flywheel" of high-frequency services with the "digital cash" of BNPL, these ecosystems have solved the core problems of consumer finance in developing markets: friction, access, and risk.</w:t>
      </w:r>
    </w:p>
    <w:p w14:paraId="054B8007" w14:textId="77777777" w:rsidR="00280F68" w:rsidRPr="00280F68" w:rsidRDefault="00280F68" w:rsidP="00280F68">
      <w:pPr>
        <w:numPr>
          <w:ilvl w:val="0"/>
          <w:numId w:val="15"/>
        </w:numPr>
      </w:pPr>
      <w:r w:rsidRPr="00280F68">
        <w:rPr>
          <w:b/>
          <w:bCs/>
        </w:rPr>
        <w:t>Friction:</w:t>
      </w:r>
      <w:r w:rsidRPr="00280F68">
        <w:t xml:space="preserve"> Solved by QR codes and mobile-first design.</w:t>
      </w:r>
    </w:p>
    <w:p w14:paraId="3C7B342E" w14:textId="77777777" w:rsidR="00280F68" w:rsidRPr="00280F68" w:rsidRDefault="00280F68" w:rsidP="00280F68">
      <w:pPr>
        <w:numPr>
          <w:ilvl w:val="0"/>
          <w:numId w:val="15"/>
        </w:numPr>
      </w:pPr>
      <w:r w:rsidRPr="00280F68">
        <w:rPr>
          <w:b/>
          <w:bCs/>
        </w:rPr>
        <w:t>Access:</w:t>
      </w:r>
      <w:r w:rsidRPr="00280F68">
        <w:t xml:space="preserve"> Solved by alternative data scoring and extensive margin expansion.</w:t>
      </w:r>
    </w:p>
    <w:p w14:paraId="5D8DA5EC" w14:textId="77777777" w:rsidR="00280F68" w:rsidRPr="00280F68" w:rsidRDefault="00280F68" w:rsidP="00280F68">
      <w:pPr>
        <w:numPr>
          <w:ilvl w:val="0"/>
          <w:numId w:val="15"/>
        </w:numPr>
      </w:pPr>
      <w:r w:rsidRPr="00280F68">
        <w:rPr>
          <w:b/>
          <w:bCs/>
        </w:rPr>
        <w:t>Risk:</w:t>
      </w:r>
      <w:r w:rsidRPr="00280F68">
        <w:t xml:space="preserve"> Solved by the "disciplinary ecosystem" which creates immediate, functional penalties for default.</w:t>
      </w:r>
    </w:p>
    <w:p w14:paraId="1E232714" w14:textId="77777777" w:rsidR="00280F68" w:rsidRPr="00280F68" w:rsidRDefault="00280F68" w:rsidP="00280F68">
      <w:r w:rsidRPr="00280F68">
        <w:lastRenderedPageBreak/>
        <w:t>As we look toward 2030, the "Curse of Cash" will likely be lifted in the Global South, replaced not by the credit card networks of the 20th century, but by the super-app ledgers of the 21st. For legacy financial institutions, the threat is existential: they risk becoming "dumb pipes"—invisible utilities providing wholesale liquidity to the platforms that own the customer, the data, and the future.</w:t>
      </w:r>
    </w:p>
    <w:p w14:paraId="459EE3A9" w14:textId="77777777" w:rsidR="00280F68" w:rsidRPr="00280F68" w:rsidRDefault="00280F68" w:rsidP="00280F68">
      <w:r w:rsidRPr="00280F68">
        <w:t>The convergence is underway. The wallet is the bank. BNPL is the cash. And the app is the economy.</w:t>
      </w:r>
    </w:p>
    <w:p w14:paraId="7B90A97A" w14:textId="77777777" w:rsidR="00280F68" w:rsidRDefault="00280F68"/>
    <w:sectPr w:rsidR="00280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633"/>
    <w:multiLevelType w:val="multilevel"/>
    <w:tmpl w:val="F60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6EF4"/>
    <w:multiLevelType w:val="multilevel"/>
    <w:tmpl w:val="A82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23841"/>
    <w:multiLevelType w:val="multilevel"/>
    <w:tmpl w:val="9AE8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C2A1B"/>
    <w:multiLevelType w:val="multilevel"/>
    <w:tmpl w:val="10B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617D"/>
    <w:multiLevelType w:val="multilevel"/>
    <w:tmpl w:val="8FF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90F0B"/>
    <w:multiLevelType w:val="multilevel"/>
    <w:tmpl w:val="988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554FB3"/>
    <w:multiLevelType w:val="multilevel"/>
    <w:tmpl w:val="77F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26842"/>
    <w:multiLevelType w:val="multilevel"/>
    <w:tmpl w:val="E29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B657C"/>
    <w:multiLevelType w:val="multilevel"/>
    <w:tmpl w:val="1AB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53F6C"/>
    <w:multiLevelType w:val="multilevel"/>
    <w:tmpl w:val="9B8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62435"/>
    <w:multiLevelType w:val="multilevel"/>
    <w:tmpl w:val="85D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72B5E"/>
    <w:multiLevelType w:val="multilevel"/>
    <w:tmpl w:val="DF56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1544A"/>
    <w:multiLevelType w:val="multilevel"/>
    <w:tmpl w:val="A8B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768BC"/>
    <w:multiLevelType w:val="multilevel"/>
    <w:tmpl w:val="8D4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D3F0C"/>
    <w:multiLevelType w:val="multilevel"/>
    <w:tmpl w:val="E116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19552">
    <w:abstractNumId w:val="8"/>
  </w:num>
  <w:num w:numId="2" w16cid:durableId="2076201777">
    <w:abstractNumId w:val="13"/>
  </w:num>
  <w:num w:numId="3" w16cid:durableId="417865653">
    <w:abstractNumId w:val="6"/>
  </w:num>
  <w:num w:numId="4" w16cid:durableId="677537032">
    <w:abstractNumId w:val="1"/>
  </w:num>
  <w:num w:numId="5" w16cid:durableId="1126121835">
    <w:abstractNumId w:val="2"/>
  </w:num>
  <w:num w:numId="6" w16cid:durableId="420877952">
    <w:abstractNumId w:val="12"/>
  </w:num>
  <w:num w:numId="7" w16cid:durableId="78983252">
    <w:abstractNumId w:val="11"/>
  </w:num>
  <w:num w:numId="8" w16cid:durableId="688407900">
    <w:abstractNumId w:val="10"/>
  </w:num>
  <w:num w:numId="9" w16cid:durableId="1668750774">
    <w:abstractNumId w:val="3"/>
  </w:num>
  <w:num w:numId="10" w16cid:durableId="2057194111">
    <w:abstractNumId w:val="14"/>
  </w:num>
  <w:num w:numId="11" w16cid:durableId="339507859">
    <w:abstractNumId w:val="4"/>
  </w:num>
  <w:num w:numId="12" w16cid:durableId="253897879">
    <w:abstractNumId w:val="7"/>
  </w:num>
  <w:num w:numId="13" w16cid:durableId="710300527">
    <w:abstractNumId w:val="9"/>
  </w:num>
  <w:num w:numId="14" w16cid:durableId="1943489358">
    <w:abstractNumId w:val="0"/>
  </w:num>
  <w:num w:numId="15" w16cid:durableId="1848909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68"/>
    <w:rsid w:val="00280F68"/>
    <w:rsid w:val="00634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5D5A"/>
  <w15:chartTrackingRefBased/>
  <w15:docId w15:val="{FEB98D47-E857-4296-B80F-7C8DAC3D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F68"/>
    <w:rPr>
      <w:rFonts w:eastAsiaTheme="majorEastAsia" w:cstheme="majorBidi"/>
      <w:color w:val="272727" w:themeColor="text1" w:themeTint="D8"/>
    </w:rPr>
  </w:style>
  <w:style w:type="paragraph" w:styleId="Title">
    <w:name w:val="Title"/>
    <w:basedOn w:val="Normal"/>
    <w:next w:val="Normal"/>
    <w:link w:val="TitleChar"/>
    <w:uiPriority w:val="10"/>
    <w:qFormat/>
    <w:rsid w:val="00280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F68"/>
    <w:pPr>
      <w:spacing w:before="160"/>
      <w:jc w:val="center"/>
    </w:pPr>
    <w:rPr>
      <w:i/>
      <w:iCs/>
      <w:color w:val="404040" w:themeColor="text1" w:themeTint="BF"/>
    </w:rPr>
  </w:style>
  <w:style w:type="character" w:customStyle="1" w:styleId="QuoteChar">
    <w:name w:val="Quote Char"/>
    <w:basedOn w:val="DefaultParagraphFont"/>
    <w:link w:val="Quote"/>
    <w:uiPriority w:val="29"/>
    <w:rsid w:val="00280F68"/>
    <w:rPr>
      <w:i/>
      <w:iCs/>
      <w:color w:val="404040" w:themeColor="text1" w:themeTint="BF"/>
    </w:rPr>
  </w:style>
  <w:style w:type="paragraph" w:styleId="ListParagraph">
    <w:name w:val="List Paragraph"/>
    <w:basedOn w:val="Normal"/>
    <w:uiPriority w:val="34"/>
    <w:qFormat/>
    <w:rsid w:val="00280F68"/>
    <w:pPr>
      <w:ind w:left="720"/>
      <w:contextualSpacing/>
    </w:pPr>
  </w:style>
  <w:style w:type="character" w:styleId="IntenseEmphasis">
    <w:name w:val="Intense Emphasis"/>
    <w:basedOn w:val="DefaultParagraphFont"/>
    <w:uiPriority w:val="21"/>
    <w:qFormat/>
    <w:rsid w:val="00280F68"/>
    <w:rPr>
      <w:i/>
      <w:iCs/>
      <w:color w:val="0F4761" w:themeColor="accent1" w:themeShade="BF"/>
    </w:rPr>
  </w:style>
  <w:style w:type="paragraph" w:styleId="IntenseQuote">
    <w:name w:val="Intense Quote"/>
    <w:basedOn w:val="Normal"/>
    <w:next w:val="Normal"/>
    <w:link w:val="IntenseQuoteChar"/>
    <w:uiPriority w:val="30"/>
    <w:qFormat/>
    <w:rsid w:val="00280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F68"/>
    <w:rPr>
      <w:i/>
      <w:iCs/>
      <w:color w:val="0F4761" w:themeColor="accent1" w:themeShade="BF"/>
    </w:rPr>
  </w:style>
  <w:style w:type="character" w:styleId="IntenseReference">
    <w:name w:val="Intense Reference"/>
    <w:basedOn w:val="DefaultParagraphFont"/>
    <w:uiPriority w:val="32"/>
    <w:qFormat/>
    <w:rsid w:val="00280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04867">
      <w:bodyDiv w:val="1"/>
      <w:marLeft w:val="0"/>
      <w:marRight w:val="0"/>
      <w:marTop w:val="0"/>
      <w:marBottom w:val="0"/>
      <w:divBdr>
        <w:top w:val="none" w:sz="0" w:space="0" w:color="auto"/>
        <w:left w:val="none" w:sz="0" w:space="0" w:color="auto"/>
        <w:bottom w:val="none" w:sz="0" w:space="0" w:color="auto"/>
        <w:right w:val="none" w:sz="0" w:space="0" w:color="auto"/>
      </w:divBdr>
    </w:div>
    <w:div w:id="120803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3279</Words>
  <Characters>18694</Characters>
  <Application>Microsoft Office Word</Application>
  <DocSecurity>0</DocSecurity>
  <Lines>155</Lines>
  <Paragraphs>43</Paragraphs>
  <ScaleCrop>false</ScaleCrop>
  <Company/>
  <LinksUpToDate>false</LinksUpToDate>
  <CharactersWithSpaces>21930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2</cp:revision>
  <dcterms:created xsi:type="dcterms:W3CDTF">2025-11-25T22:47:00Z</dcterms:created>
  <dcterms:modified xsi:type="dcterms:W3CDTF">2025-11-25T22:47:00Z</dcterms:modified>
</cp:coreProperties>
</file>