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890A1" w14:textId="77777777" w:rsidR="00562A32" w:rsidRPr="00562A32" w:rsidRDefault="00562A32" w:rsidP="00562A32">
      <w:pPr>
        <w:rPr>
          <w:b/>
          <w:bCs/>
        </w:rPr>
      </w:pPr>
      <w:r w:rsidRPr="00562A32">
        <w:rPr>
          <w:b/>
          <w:bCs/>
        </w:rPr>
        <w:t>The Super Apps Are Coming</w:t>
      </w:r>
    </w:p>
    <w:p w14:paraId="3C073BE5" w14:textId="0E6A1292" w:rsidR="00562A32" w:rsidRDefault="00562A32" w:rsidP="00562A32">
      <w:hyperlink r:id="rId4" w:history="1">
        <w:r w:rsidRPr="00562A32">
          <w:rPr>
            <w:rStyle w:val="Hyperlink"/>
          </w:rPr>
          <w:t>Paid Program: The Super Apps Are Coming</w:t>
        </w:r>
      </w:hyperlink>
    </w:p>
    <w:p w14:paraId="788CD98D" w14:textId="77777777" w:rsidR="00562A32" w:rsidRDefault="00562A32" w:rsidP="00562A32"/>
    <w:p w14:paraId="7E7E666A" w14:textId="7C91984E" w:rsidR="00562A32" w:rsidRPr="00562A32" w:rsidRDefault="00562A32" w:rsidP="00562A32">
      <w:pPr>
        <w:rPr>
          <w:b/>
          <w:bCs/>
        </w:rPr>
      </w:pPr>
      <w:r w:rsidRPr="00562A32">
        <w:t>How Southeast Asia is providing fertile ground for super app ecosystems that may offer a glimpse into the future of global tech.</w:t>
      </w:r>
    </w:p>
    <w:p w14:paraId="522BF295" w14:textId="77777777" w:rsidR="00562A32" w:rsidRPr="00562A32" w:rsidRDefault="00562A32" w:rsidP="00562A32">
      <w:r w:rsidRPr="00562A32">
        <w:t xml:space="preserve">So-called super apps have come to define the digital landscape in East Asia—from China’s WeChat to Japan’s Line—but many in Western markets remain unfamiliar. For the uninitiated, super apps are digital ecosystems that combine several services within one host </w:t>
      </w:r>
      <w:proofErr w:type="gramStart"/>
      <w:r w:rsidRPr="00562A32">
        <w:t>platform, and</w:t>
      </w:r>
      <w:proofErr w:type="gramEnd"/>
      <w:r w:rsidRPr="00562A32">
        <w:t xml:space="preserve"> are perfectly designed for mobile-first consumers who want to seamlessly move from ride-hailing to food delivery to financial services (and more) without navigating multiple providers and payment systems. Southeast Asia now looks set to host the next major super app emergence, with its economy on track to become the world’s fourth largest by 2030, and with 57% of its tech-savvy population under the age of 35. A clear market leader here is Grab (</w:t>
      </w:r>
      <w:proofErr w:type="gramStart"/>
      <w:r w:rsidRPr="00562A32">
        <w:t>NASDAQ:GRAB</w:t>
      </w:r>
      <w:proofErr w:type="gramEnd"/>
      <w:r w:rsidRPr="00562A32">
        <w:t xml:space="preserve">), Southeast Asia’s regional </w:t>
      </w:r>
      <w:proofErr w:type="spellStart"/>
      <w:r w:rsidRPr="00562A32">
        <w:t>superapp</w:t>
      </w:r>
      <w:proofErr w:type="spellEnd"/>
      <w:r w:rsidRPr="00562A32">
        <w:t xml:space="preserve"> gaining global attention for their innovative approach. </w:t>
      </w:r>
    </w:p>
    <w:p w14:paraId="7B06248D" w14:textId="77777777" w:rsidR="00562A32" w:rsidRPr="00562A32" w:rsidRDefault="00562A32" w:rsidP="00562A32">
      <w:r w:rsidRPr="00562A32">
        <w:rPr>
          <w:b/>
          <w:bCs/>
        </w:rPr>
        <w:t>A Market on the Rise</w:t>
      </w:r>
    </w:p>
    <w:p w14:paraId="35B5410A" w14:textId="77777777" w:rsidR="00562A32" w:rsidRPr="00562A32" w:rsidRDefault="00562A32" w:rsidP="00562A32">
      <w:r w:rsidRPr="00562A32">
        <w:t>Southeast Asia is a prime example of leap-frog tech adoption, where the challenges of under-penetration by traditional tech alongside poor infrastructure in many rural areas has led to a wholesale switch to mobile. This means many people run their entire digital lives and businesses through their smartphones—an ATM in rural Thailand or Vietnam can be over an hour’s drive away, making digital financial services a lifeline. </w:t>
      </w:r>
    </w:p>
    <w:p w14:paraId="058CF461" w14:textId="77777777" w:rsidR="00562A32" w:rsidRPr="00562A32" w:rsidRDefault="00562A32" w:rsidP="00562A32">
      <w:r w:rsidRPr="00562A32">
        <w:t>“The analogy to China is very applicable here, where we’ve seen a similar trajectory in recent decades,” says Rolf Bulk, equity research analyst at New Street Research. “That’s partly the reason why e-wallet penetration is so much higher in China than in many other developed nations—because it’s a mobile-first society.”</w:t>
      </w:r>
    </w:p>
    <w:p w14:paraId="0B87D541" w14:textId="77777777" w:rsidR="00562A32" w:rsidRPr="00562A32" w:rsidRDefault="00562A32" w:rsidP="00562A32">
      <w:r w:rsidRPr="00562A32">
        <w:t>Grab was early in answering this call for mobile-first solutions in Southeast Asia, launching as a ride-hailing app in 2012 but soon growing into other sectors such as food delivery and e-wallets. And unlike other companies, it successfully expanded regionally, with a presence in 8 Southeast Asian markets. It was a prescient move, and Euromonitor now forecasts the Southeast Asian market for such services will grow to $180 billion by 2025. </w:t>
      </w:r>
    </w:p>
    <w:p w14:paraId="750CD1F0" w14:textId="77777777" w:rsidR="00562A32" w:rsidRPr="00562A32" w:rsidRDefault="00562A32" w:rsidP="00562A32">
      <w:r w:rsidRPr="00562A32">
        <w:t xml:space="preserve">“Southeast Asia has both high smartphone penetration and high disposable income, with a large consumer base that are generally eager adopters of new online products and services,” says Jason Tan, partner and chief investment officer at Hong Kong based </w:t>
      </w:r>
      <w:proofErr w:type="spellStart"/>
      <w:r w:rsidRPr="00562A32">
        <w:t>Jeneration</w:t>
      </w:r>
      <w:proofErr w:type="spellEnd"/>
      <w:r w:rsidRPr="00562A32">
        <w:t xml:space="preserve"> Capital, who have invested in Grab. “With the rise of a new generation of </w:t>
      </w:r>
      <w:r w:rsidRPr="00562A32">
        <w:lastRenderedPageBreak/>
        <w:t>entrepreneurs and increasing engineering talents in the region, it’s becoming an exciting area of focus for us.”</w:t>
      </w:r>
    </w:p>
    <w:p w14:paraId="07DECE4A" w14:textId="77777777" w:rsidR="00562A32" w:rsidRPr="00562A32" w:rsidRDefault="00562A32" w:rsidP="00562A32">
      <w:r w:rsidRPr="00562A32">
        <w:t xml:space="preserve">Uptake of super apps in Southeast Asia is already strong, with around 310 million using such services, but there’s still huge headroom for growth—only 1 in 3 of these users take advantage of more than three services within a super app. This combination of demographics, technology and finance suggests the region is on the edge of a </w:t>
      </w:r>
      <w:proofErr w:type="spellStart"/>
      <w:r w:rsidRPr="00562A32">
        <w:t>superapp</w:t>
      </w:r>
      <w:proofErr w:type="spellEnd"/>
      <w:r w:rsidRPr="00562A32">
        <w:t xml:space="preserve"> explosion.</w:t>
      </w:r>
    </w:p>
    <w:p w14:paraId="099CA828" w14:textId="77777777" w:rsidR="00562A32" w:rsidRPr="00562A32" w:rsidRDefault="00562A32" w:rsidP="00562A32">
      <w:r w:rsidRPr="00562A32">
        <w:rPr>
          <w:b/>
          <w:bCs/>
        </w:rPr>
        <w:t>A Many Layered Solution  </w:t>
      </w:r>
    </w:p>
    <w:p w14:paraId="59EBADA4" w14:textId="77777777" w:rsidR="00562A32" w:rsidRPr="00562A32" w:rsidRDefault="00562A32" w:rsidP="00562A32">
      <w:r w:rsidRPr="00562A32">
        <w:t>What makes Grab most distinctive—and exciting for tech-watchers wanting to glean the future of the global market—is its innovative ‘flywheel’ model. “The beauty is that each of our businesses helps the others scale,” explains Ming Maa, group president of Grab. “The more services we offer, the more engaged consumers are on our platform. This creates larger income opportunities for our merchant and driver-partners, which attracts more of them to the Grab platform. This in turn leads to greater selection, better value, more bookings and faster delivery times”.</w:t>
      </w:r>
    </w:p>
    <w:p w14:paraId="417165BD" w14:textId="2951D9FB" w:rsidR="00562A32" w:rsidRPr="00562A32" w:rsidRDefault="00562A32" w:rsidP="00562A32"/>
    <w:p w14:paraId="3658D27C" w14:textId="77777777" w:rsidR="00562A32" w:rsidRPr="00562A32" w:rsidRDefault="00562A32" w:rsidP="00562A32">
      <w:pPr>
        <w:rPr>
          <w:i/>
          <w:iCs/>
        </w:rPr>
      </w:pPr>
      <w:r w:rsidRPr="00562A32">
        <w:rPr>
          <w:i/>
          <w:iCs/>
        </w:rPr>
        <w:t>Grab’s ‘flywheel’ model depicts how the growth of one business arm can help the others scale.</w:t>
      </w:r>
    </w:p>
    <w:p w14:paraId="088FBC30" w14:textId="77777777" w:rsidR="00562A32" w:rsidRPr="00562A32" w:rsidRDefault="00562A32" w:rsidP="00562A32">
      <w:r w:rsidRPr="00562A32">
        <w:t>What’s more, Grab doesn’t just operate a consumer super app, but has also developed versions for drivers and merchants, meaning all three stakeholders in the flywheel system are catered for with bespoke services. For drivers, this also helps create a ‘shared fleet’ model where a single operator can seamlessly switch from ride-hailing to delivery depending on the peaks and troughs in demand. The stats speak for themselves when assessing the success of this system design.</w:t>
      </w:r>
    </w:p>
    <w:p w14:paraId="0D332873" w14:textId="77777777" w:rsidR="00562A32" w:rsidRPr="00562A32" w:rsidRDefault="00562A32" w:rsidP="00562A32">
      <w:r w:rsidRPr="00562A32">
        <w:t>“The more services our users transact on Grab, the more loyal they become,” says Maa, pointing to the fact that loyalty grows from 34% for those using one service to 85% for those using four or more. “In essence, the more activity there is on the platform, the more value we create for our stakeholders as our ecosystem grows.” </w:t>
      </w:r>
    </w:p>
    <w:p w14:paraId="7EA3814A" w14:textId="77777777" w:rsidR="00562A32" w:rsidRPr="00562A32" w:rsidRDefault="00562A32" w:rsidP="00562A32">
      <w:r w:rsidRPr="00562A32">
        <w:t xml:space="preserve">Today, Grab’s regional market leadership and its </w:t>
      </w:r>
      <w:proofErr w:type="spellStart"/>
      <w:r w:rsidRPr="00562A32">
        <w:t>superapp</w:t>
      </w:r>
      <w:proofErr w:type="spellEnd"/>
      <w:r w:rsidRPr="00562A32">
        <w:t xml:space="preserve"> strategy has seen it achieve strong growth momentum across the business despite a challenging COVID-19 environment. With three straight quarters of record GMV growth and average spend per user on its platform rising, this is a testament to the resilience of Grab’s </w:t>
      </w:r>
      <w:proofErr w:type="spellStart"/>
      <w:r w:rsidRPr="00562A32">
        <w:t>superapp</w:t>
      </w:r>
      <w:proofErr w:type="spellEnd"/>
      <w:r w:rsidRPr="00562A32">
        <w:t xml:space="preserve"> strategy.</w:t>
      </w:r>
    </w:p>
    <w:p w14:paraId="61A3F8F4" w14:textId="77777777" w:rsidR="00562A32" w:rsidRPr="00562A32" w:rsidRDefault="00562A32" w:rsidP="00562A32">
      <w:r w:rsidRPr="00562A32">
        <w:rPr>
          <w:b/>
          <w:bCs/>
        </w:rPr>
        <w:t>A Double Bottom-Line</w:t>
      </w:r>
    </w:p>
    <w:p w14:paraId="6A929941" w14:textId="77777777" w:rsidR="00562A32" w:rsidRPr="00562A32" w:rsidRDefault="00562A32" w:rsidP="00562A32">
      <w:r w:rsidRPr="00562A32">
        <w:lastRenderedPageBreak/>
        <w:t>“We believe technology can be a force for good in a developing region like Southeast Asia,” says Ming Maa. “For us, it’s not just about providing convenience, but empowering people by providing access to digital services and livelihood opportunities they didn’t have before.” This commitment to helping as many people as possible join and benefit from the digital economy creates a ‘double bottom-line’ for Grab, where financial growth is linked to regional social health.</w:t>
      </w:r>
    </w:p>
    <w:p w14:paraId="150E530B" w14:textId="77777777" w:rsidR="00562A32" w:rsidRPr="00562A32" w:rsidRDefault="00562A32" w:rsidP="00562A32">
      <w:r w:rsidRPr="00562A32">
        <w:t xml:space="preserve">“We’re not a moonshot company. We’re focused on solving real, local problems for Southeast Asia, that has always been our ethos,” Maa continues, pointing to how nearly 50% of driver-partners did not earn an income prior to joining Grab. He also mentioned initiatives such as </w:t>
      </w:r>
      <w:proofErr w:type="spellStart"/>
      <w:r w:rsidRPr="00562A32">
        <w:t>GrabAcademy</w:t>
      </w:r>
      <w:proofErr w:type="spellEnd"/>
      <w:r w:rsidRPr="00562A32">
        <w:t>, which provides digital training in skills such as financial planning and digital literacy (over 1.7 million driver-partners completed a course in 2020), to help partners further tap into the digital economy. </w:t>
      </w:r>
    </w:p>
    <w:p w14:paraId="61948D35" w14:textId="44244654" w:rsidR="00562A32" w:rsidRPr="00562A32" w:rsidRDefault="00562A32" w:rsidP="00562A32"/>
    <w:p w14:paraId="1AFA1DA5" w14:textId="77777777" w:rsidR="00562A32" w:rsidRPr="00562A32" w:rsidRDefault="00562A32" w:rsidP="00562A32">
      <w:pPr>
        <w:rPr>
          <w:i/>
          <w:iCs/>
        </w:rPr>
      </w:pPr>
      <w:r w:rsidRPr="00562A32">
        <w:rPr>
          <w:i/>
          <w:iCs/>
        </w:rPr>
        <w:t>Innovative super apps like Grab provide larger income opportunities for local merchants, and cashless convenience for consumers</w:t>
      </w:r>
    </w:p>
    <w:p w14:paraId="0850124B" w14:textId="77777777" w:rsidR="00562A32" w:rsidRPr="00562A32" w:rsidRDefault="00562A32" w:rsidP="00562A32">
      <w:r w:rsidRPr="00562A32">
        <w:t>These social commitments aren’t just a warm and fuzzy CSR activity: they underpin the attractiveness of Grab’s business model for investors. “The social impact Grab has created has always been a core thesis of ours,” says Tan. “Knowing what they believe in and how their value system filters out into the business has been a real joy to witness. They’re a company that can see beyond the P&amp;L to employment opportunities, social responsibility and environmental consciousness”. </w:t>
      </w:r>
    </w:p>
    <w:p w14:paraId="02DA8870" w14:textId="77777777" w:rsidR="00562A32" w:rsidRPr="00562A32" w:rsidRDefault="00562A32" w:rsidP="00562A32">
      <w:r w:rsidRPr="00562A32">
        <w:t>“We’ve served Southeast Asia for 9 years, and we hope to serve the region for at least another 90 years,” says Maa. “We hope to build infrastructure that connects more people to the rising digital economy, while capturing the tremendous opportunity we see across our verticals.” With a unique super app ecosystem that can cross-sell services and bolster new launches, a double bottom-line that increases the socio-economic health of partner businesses, and a focus on a booming region of diverse markets, Grab is a super app to watch.</w:t>
      </w:r>
    </w:p>
    <w:p w14:paraId="14B0E537" w14:textId="77777777" w:rsidR="00562A32" w:rsidRDefault="00562A32"/>
    <w:sectPr w:rsidR="00562A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A32"/>
    <w:rsid w:val="00562A32"/>
    <w:rsid w:val="00634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FD3F"/>
  <w15:chartTrackingRefBased/>
  <w15:docId w15:val="{45F75D6C-7242-431F-8984-1E6936465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A32"/>
    <w:rPr>
      <w:rFonts w:eastAsiaTheme="majorEastAsia" w:cstheme="majorBidi"/>
      <w:color w:val="272727" w:themeColor="text1" w:themeTint="D8"/>
    </w:rPr>
  </w:style>
  <w:style w:type="paragraph" w:styleId="Title">
    <w:name w:val="Title"/>
    <w:basedOn w:val="Normal"/>
    <w:next w:val="Normal"/>
    <w:link w:val="TitleChar"/>
    <w:uiPriority w:val="10"/>
    <w:qFormat/>
    <w:rsid w:val="00562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A32"/>
    <w:pPr>
      <w:spacing w:before="160"/>
      <w:jc w:val="center"/>
    </w:pPr>
    <w:rPr>
      <w:i/>
      <w:iCs/>
      <w:color w:val="404040" w:themeColor="text1" w:themeTint="BF"/>
    </w:rPr>
  </w:style>
  <w:style w:type="character" w:customStyle="1" w:styleId="QuoteChar">
    <w:name w:val="Quote Char"/>
    <w:basedOn w:val="DefaultParagraphFont"/>
    <w:link w:val="Quote"/>
    <w:uiPriority w:val="29"/>
    <w:rsid w:val="00562A32"/>
    <w:rPr>
      <w:i/>
      <w:iCs/>
      <w:color w:val="404040" w:themeColor="text1" w:themeTint="BF"/>
    </w:rPr>
  </w:style>
  <w:style w:type="paragraph" w:styleId="ListParagraph">
    <w:name w:val="List Paragraph"/>
    <w:basedOn w:val="Normal"/>
    <w:uiPriority w:val="34"/>
    <w:qFormat/>
    <w:rsid w:val="00562A32"/>
    <w:pPr>
      <w:ind w:left="720"/>
      <w:contextualSpacing/>
    </w:pPr>
  </w:style>
  <w:style w:type="character" w:styleId="IntenseEmphasis">
    <w:name w:val="Intense Emphasis"/>
    <w:basedOn w:val="DefaultParagraphFont"/>
    <w:uiPriority w:val="21"/>
    <w:qFormat/>
    <w:rsid w:val="00562A32"/>
    <w:rPr>
      <w:i/>
      <w:iCs/>
      <w:color w:val="0F4761" w:themeColor="accent1" w:themeShade="BF"/>
    </w:rPr>
  </w:style>
  <w:style w:type="paragraph" w:styleId="IntenseQuote">
    <w:name w:val="Intense Quote"/>
    <w:basedOn w:val="Normal"/>
    <w:next w:val="Normal"/>
    <w:link w:val="IntenseQuoteChar"/>
    <w:uiPriority w:val="30"/>
    <w:qFormat/>
    <w:rsid w:val="00562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A32"/>
    <w:rPr>
      <w:i/>
      <w:iCs/>
      <w:color w:val="0F4761" w:themeColor="accent1" w:themeShade="BF"/>
    </w:rPr>
  </w:style>
  <w:style w:type="character" w:styleId="IntenseReference">
    <w:name w:val="Intense Reference"/>
    <w:basedOn w:val="DefaultParagraphFont"/>
    <w:uiPriority w:val="32"/>
    <w:qFormat/>
    <w:rsid w:val="00562A32"/>
    <w:rPr>
      <w:b/>
      <w:bCs/>
      <w:smallCaps/>
      <w:color w:val="0F4761" w:themeColor="accent1" w:themeShade="BF"/>
      <w:spacing w:val="5"/>
    </w:rPr>
  </w:style>
  <w:style w:type="character" w:styleId="Hyperlink">
    <w:name w:val="Hyperlink"/>
    <w:basedOn w:val="DefaultParagraphFont"/>
    <w:uiPriority w:val="99"/>
    <w:unhideWhenUsed/>
    <w:rsid w:val="00562A32"/>
    <w:rPr>
      <w:color w:val="467886" w:themeColor="hyperlink"/>
      <w:u w:val="single"/>
    </w:rPr>
  </w:style>
  <w:style w:type="character" w:styleId="UnresolvedMention">
    <w:name w:val="Unresolved Mention"/>
    <w:basedOn w:val="DefaultParagraphFont"/>
    <w:uiPriority w:val="99"/>
    <w:semiHidden/>
    <w:unhideWhenUsed/>
    <w:rsid w:val="00562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741099">
      <w:bodyDiv w:val="1"/>
      <w:marLeft w:val="0"/>
      <w:marRight w:val="0"/>
      <w:marTop w:val="0"/>
      <w:marBottom w:val="0"/>
      <w:divBdr>
        <w:top w:val="none" w:sz="0" w:space="0" w:color="auto"/>
        <w:left w:val="none" w:sz="0" w:space="0" w:color="auto"/>
        <w:bottom w:val="none" w:sz="0" w:space="0" w:color="auto"/>
        <w:right w:val="none" w:sz="0" w:space="0" w:color="auto"/>
      </w:divBdr>
    </w:div>
    <w:div w:id="1124157208">
      <w:bodyDiv w:val="1"/>
      <w:marLeft w:val="0"/>
      <w:marRight w:val="0"/>
      <w:marTop w:val="0"/>
      <w:marBottom w:val="0"/>
      <w:divBdr>
        <w:top w:val="none" w:sz="0" w:space="0" w:color="auto"/>
        <w:left w:val="none" w:sz="0" w:space="0" w:color="auto"/>
        <w:bottom w:val="none" w:sz="0" w:space="0" w:color="auto"/>
        <w:right w:val="none" w:sz="0" w:space="0" w:color="auto"/>
      </w:divBdr>
    </w:div>
    <w:div w:id="1627656976">
      <w:bodyDiv w:val="1"/>
      <w:marLeft w:val="0"/>
      <w:marRight w:val="0"/>
      <w:marTop w:val="0"/>
      <w:marBottom w:val="0"/>
      <w:divBdr>
        <w:top w:val="none" w:sz="0" w:space="0" w:color="auto"/>
        <w:left w:val="none" w:sz="0" w:space="0" w:color="auto"/>
        <w:bottom w:val="none" w:sz="0" w:space="0" w:color="auto"/>
        <w:right w:val="none" w:sz="0" w:space="0" w:color="auto"/>
      </w:divBdr>
      <w:divsChild>
        <w:div w:id="860821938">
          <w:marLeft w:val="750"/>
          <w:marRight w:val="0"/>
          <w:marTop w:val="0"/>
          <w:marBottom w:val="450"/>
          <w:divBdr>
            <w:top w:val="none" w:sz="0" w:space="0" w:color="auto"/>
            <w:left w:val="none" w:sz="0" w:space="0" w:color="auto"/>
            <w:bottom w:val="none" w:sz="0" w:space="0" w:color="auto"/>
            <w:right w:val="none" w:sz="0" w:space="0" w:color="auto"/>
          </w:divBdr>
        </w:div>
      </w:divsChild>
    </w:div>
    <w:div w:id="1935044696">
      <w:bodyDiv w:val="1"/>
      <w:marLeft w:val="0"/>
      <w:marRight w:val="0"/>
      <w:marTop w:val="0"/>
      <w:marBottom w:val="0"/>
      <w:divBdr>
        <w:top w:val="none" w:sz="0" w:space="0" w:color="auto"/>
        <w:left w:val="none" w:sz="0" w:space="0" w:color="auto"/>
        <w:bottom w:val="none" w:sz="0" w:space="0" w:color="auto"/>
        <w:right w:val="none" w:sz="0" w:space="0" w:color="auto"/>
      </w:divBdr>
      <w:divsChild>
        <w:div w:id="1610432189">
          <w:marLeft w:val="750"/>
          <w:marRight w:val="0"/>
          <w:marTop w:val="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artners.wsj.com/grab/delivery/the-super-apps-are-co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1057</Words>
  <Characters>6031</Characters>
  <Application>Microsoft Office Word</Application>
  <DocSecurity>0</DocSecurity>
  <Lines>50</Lines>
  <Paragraphs>14</Paragraphs>
  <ScaleCrop>false</ScaleCrop>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Pensa, Matthew (Bip.Monticello)</dc:creator>
  <cp:keywords/>
  <dc:description/>
  <cp:lastModifiedBy>Pensa, Matthew (Bip.Monticello)</cp:lastModifiedBy>
  <cp:revision>1</cp:revision>
  <dcterms:created xsi:type="dcterms:W3CDTF">2025-11-25T18:32:00Z</dcterms:created>
  <dcterms:modified xsi:type="dcterms:W3CDTF">2025-11-25T18:33:00Z</dcterms:modified>
</cp:coreProperties>
</file>