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C187" w14:textId="77777777" w:rsidR="008A5C8C" w:rsidRPr="008A5C8C" w:rsidRDefault="008A5C8C" w:rsidP="008A5C8C">
      <w:pPr>
        <w:rPr>
          <w:b/>
          <w:bCs/>
        </w:rPr>
      </w:pPr>
      <w:r w:rsidRPr="008A5C8C">
        <w:rPr>
          <w:b/>
          <w:bCs/>
        </w:rPr>
        <w:t>The Great Bifurcation: How Cross-Border Payments Will Transform US Banking by 2030</w:t>
      </w:r>
    </w:p>
    <w:p w14:paraId="06964A2A" w14:textId="77777777" w:rsidR="008A5C8C" w:rsidRPr="008A5C8C" w:rsidRDefault="008A5C8C" w:rsidP="008A5C8C">
      <w:pPr>
        <w:rPr>
          <w:b/>
          <w:bCs/>
        </w:rPr>
      </w:pPr>
      <w:r w:rsidRPr="008A5C8C">
        <w:rPr>
          <w:b/>
          <w:bCs/>
        </w:rPr>
        <w:t>Executive Summary</w:t>
      </w:r>
    </w:p>
    <w:p w14:paraId="4EA7D2F2" w14:textId="77777777" w:rsidR="008A5C8C" w:rsidRPr="008A5C8C" w:rsidRDefault="008A5C8C" w:rsidP="008A5C8C">
      <w:r w:rsidRPr="008A5C8C">
        <w:t>In 2025, a curious paradox defines cross-border payments between the United States and Europe. The technology exists to move money as instantly as a text message—engineers have proven it works [paymentsdive.com]—yet sending $1,000 from New York to Paris still costs 3-6% and can take days to settle [fsb.org]. This isn't a story of technological failure but of a fundamental structural transformation that will, by 2030, split the market into what experts call "Bifurcated Maturity": a two-speed system where fintech aggregators and regulated stablecoins dominate retail flows while traditional banks retreat to high-value wholesale utility roles [bis.org]. For US banks, this transformation demands not resistance but strategic adaptation—a pivot from competing on speed to becoming the essential infrastructure layer that enables the new digital economy.</w:t>
      </w:r>
    </w:p>
    <w:p w14:paraId="175475C4" w14:textId="77777777" w:rsidR="008A5C8C" w:rsidRPr="008A5C8C" w:rsidRDefault="008A5C8C" w:rsidP="008A5C8C">
      <w:pPr>
        <w:rPr>
          <w:b/>
          <w:bCs/>
        </w:rPr>
      </w:pPr>
      <w:r w:rsidRPr="008A5C8C">
        <w:rPr>
          <w:b/>
          <w:bCs/>
        </w:rPr>
        <w:t>The Broken Bridge: Where We Stand Today</w:t>
      </w:r>
    </w:p>
    <w:p w14:paraId="1E36B09B" w14:textId="77777777" w:rsidR="008A5C8C" w:rsidRPr="008A5C8C" w:rsidRDefault="008A5C8C" w:rsidP="008A5C8C">
      <w:r w:rsidRPr="008A5C8C">
        <w:t>The current cross-border payment system operates like a digital bucket brigade. Despite SWIFT upgrades enabling 89% of payments to reach destination banks within an hour [fsb.org], the actual customer experience remains frustratingly slow and expensive. Money passes through multiple correspondent banks, each taking fees and time for compliance checks, creating what the industry calls the "First Mile" problem [atlantafed.org].</w:t>
      </w:r>
    </w:p>
    <w:p w14:paraId="3321D9F7" w14:textId="77777777" w:rsidR="008A5C8C" w:rsidRPr="008A5C8C" w:rsidRDefault="008A5C8C" w:rsidP="008A5C8C">
      <w:r w:rsidRPr="008A5C8C">
        <w:t>The most damning evidence of this dysfunction came in 2025 with the indefinite pause of the Immediate Cross-Border Payments (IXB) pilot. This project successfully connected America's Real-Time Payments network with Europe's RT1 system, proving money could flow across the Atlantic in seconds [swift.com]. Yet it failed—not because the software didn't work, but because US regulators refused to accept European compliance standards for real-time inflows, insisting on deeper anti-money laundering checks that destroyed the "instant" promise [paymentsdive.com].</w:t>
      </w:r>
    </w:p>
    <w:p w14:paraId="34B3A04A" w14:textId="77777777" w:rsidR="008A5C8C" w:rsidRPr="008A5C8C" w:rsidRDefault="008A5C8C" w:rsidP="008A5C8C">
      <w:r w:rsidRPr="008A5C8C">
        <w:t xml:space="preserve">This regulatory mismatch stems from a fundamental divergence in approach. Europe has treated payment modernization as a public mandate through the Instant Payments Regulation (IPR), requiring all banks to process payments in 10 seconds by October 2025 [atlantafed.org]. The US took a voluntary approach with </w:t>
      </w:r>
      <w:proofErr w:type="spellStart"/>
      <w:r w:rsidRPr="008A5C8C">
        <w:t>FedNow</w:t>
      </w:r>
      <w:proofErr w:type="spellEnd"/>
      <w:r w:rsidRPr="008A5C8C">
        <w:t xml:space="preserve">—banks can </w:t>
      </w:r>
      <w:proofErr w:type="gramStart"/>
      <w:r w:rsidRPr="008A5C8C">
        <w:t>join, but</w:t>
      </w:r>
      <w:proofErr w:type="gramEnd"/>
      <w:r w:rsidRPr="008A5C8C">
        <w:t xml:space="preserve"> aren't required to [federalreserve.gov]. Most haven't, creating a broken bridge: fast on one side, slow on the other, with no viable connection.</w:t>
      </w:r>
    </w:p>
    <w:p w14:paraId="6A18FC44" w14:textId="77777777" w:rsidR="008A5C8C" w:rsidRPr="008A5C8C" w:rsidRDefault="008A5C8C" w:rsidP="008A5C8C">
      <w:pPr>
        <w:rPr>
          <w:b/>
          <w:bCs/>
        </w:rPr>
      </w:pPr>
      <w:r w:rsidRPr="008A5C8C">
        <w:rPr>
          <w:b/>
          <w:bCs/>
        </w:rPr>
        <w:t>The Shadow Rails Revolution</w:t>
      </w:r>
    </w:p>
    <w:p w14:paraId="5B929E2F" w14:textId="77777777" w:rsidR="008A5C8C" w:rsidRPr="008A5C8C" w:rsidRDefault="008A5C8C" w:rsidP="008A5C8C">
      <w:r w:rsidRPr="008A5C8C">
        <w:t>Into this vacuum have stepped two powerful disruptors that are fundamentally reshaping cross-border finance.</w:t>
      </w:r>
    </w:p>
    <w:p w14:paraId="22CB56FB" w14:textId="77777777" w:rsidR="008A5C8C" w:rsidRPr="008A5C8C" w:rsidRDefault="008A5C8C" w:rsidP="008A5C8C">
      <w:pPr>
        <w:rPr>
          <w:b/>
          <w:bCs/>
        </w:rPr>
      </w:pPr>
      <w:r w:rsidRPr="008A5C8C">
        <w:rPr>
          <w:b/>
          <w:bCs/>
        </w:rPr>
        <w:lastRenderedPageBreak/>
        <w:t>The Fintech Teleporters</w:t>
      </w:r>
    </w:p>
    <w:p w14:paraId="6DD48FDB" w14:textId="77777777" w:rsidR="008A5C8C" w:rsidRPr="008A5C8C" w:rsidRDefault="008A5C8C" w:rsidP="008A5C8C">
      <w:r w:rsidRPr="008A5C8C">
        <w:t xml:space="preserve">Companies like Wise and </w:t>
      </w:r>
      <w:proofErr w:type="spellStart"/>
      <w:r w:rsidRPr="008A5C8C">
        <w:t>Revolut</w:t>
      </w:r>
      <w:proofErr w:type="spellEnd"/>
      <w:r w:rsidRPr="008A5C8C">
        <w:t xml:space="preserve"> have captured a dominant share of the retail market for transfers under $10,000 [wise.com] through an elegant workaround. They don't </w:t>
      </w:r>
      <w:proofErr w:type="gramStart"/>
      <w:r w:rsidRPr="008A5C8C">
        <w:t>actually move</w:t>
      </w:r>
      <w:proofErr w:type="gramEnd"/>
      <w:r w:rsidRPr="008A5C8C">
        <w:t xml:space="preserve"> money across borders for each transaction. Instead, they maintain pre-positioned pools of currency on both sides of the Atlantic [wise.com]. When you send $1,000 to Europe, your dollars stay in America while the recipient is paid from existing European funds. This "local swap" method enables fees of 0.4-0.6% compared to traditional banks' 3-5% [wise.com], while feeling instantaneous to users.</w:t>
      </w:r>
    </w:p>
    <w:p w14:paraId="0E9FB900" w14:textId="77777777" w:rsidR="008A5C8C" w:rsidRPr="008A5C8C" w:rsidRDefault="008A5C8C" w:rsidP="008A5C8C">
      <w:r w:rsidRPr="008A5C8C">
        <w:t>The economics are devastating for traditional banks. To compete, they would need to cannibalize their most profitable product lines—a multi-</w:t>
      </w:r>
      <w:proofErr w:type="gramStart"/>
      <w:r w:rsidRPr="008A5C8C">
        <w:t>billion dollar</w:t>
      </w:r>
      <w:proofErr w:type="gramEnd"/>
      <w:r w:rsidRPr="008A5C8C">
        <w:t xml:space="preserve"> investment that would destroy existing revenue streams [wise.com]. By 2030, fintech aggregators and non-bank providers will handle the majority of retail cross-border payment volume, as traditional banks cannot match their pricing without destroying their correspondent banking infrastructure [fsb.org]. This forces banks to either partner with these platforms or cede the low-margin retail remittance business entirely [bis.org].</w:t>
      </w:r>
    </w:p>
    <w:p w14:paraId="2088F2F8" w14:textId="77777777" w:rsidR="008A5C8C" w:rsidRPr="008A5C8C" w:rsidRDefault="008A5C8C" w:rsidP="008A5C8C">
      <w:pPr>
        <w:rPr>
          <w:b/>
          <w:bCs/>
        </w:rPr>
      </w:pPr>
      <w:r w:rsidRPr="008A5C8C">
        <w:rPr>
          <w:b/>
          <w:bCs/>
        </w:rPr>
        <w:t>The Stablecoin Infrastructure</w:t>
      </w:r>
    </w:p>
    <w:p w14:paraId="40DDCFE3" w14:textId="77777777" w:rsidR="008A5C8C" w:rsidRPr="008A5C8C" w:rsidRDefault="008A5C8C" w:rsidP="008A5C8C">
      <w:r w:rsidRPr="008A5C8C">
        <w:t>The second disruption is even more profound: regulated stablecoins are becoming the invisible plumbing of international finance. Circle's Euro-denominated stablecoin (EURC) grew an astonishing 2,727% following regulatory approval under Europe's Markets in Crypto-Assets (</w:t>
      </w:r>
      <w:proofErr w:type="spellStart"/>
      <w:r w:rsidRPr="008A5C8C">
        <w:t>MiCA</w:t>
      </w:r>
      <w:proofErr w:type="spellEnd"/>
      <w:r w:rsidRPr="008A5C8C">
        <w:t>) framework [chainalysis.com]. This isn't speculative crypto trading—</w:t>
      </w:r>
      <w:proofErr w:type="gramStart"/>
      <w:r w:rsidRPr="008A5C8C">
        <w:t>it's</w:t>
      </w:r>
      <w:proofErr w:type="gramEnd"/>
      <w:r w:rsidRPr="008A5C8C">
        <w:t xml:space="preserve"> businesses discovering they can settle cross-border transactions in seconds rather than days.</w:t>
      </w:r>
    </w:p>
    <w:p w14:paraId="187D0F5C" w14:textId="77777777" w:rsidR="008A5C8C" w:rsidRPr="008A5C8C" w:rsidRDefault="008A5C8C" w:rsidP="008A5C8C">
      <w:r w:rsidRPr="008A5C8C">
        <w:t>The clearest signal of mainstream adoption: Visa settled $225 million through stablecoin rails in 2025 [fxcintel.com], while Mastercard is actively integrating blockchain settlement into its network. These payment giants are using crypto infrastructure for backend settlement between banks while consumers continue swiping regular credit cards—what experts call "Shadow Convergence" [fsb.org]. By 2030, this allows US banks to effectively outsource the complexity of cross-border settlement to digital asset networks while maintaining customer relationships.</w:t>
      </w:r>
    </w:p>
    <w:p w14:paraId="10C2F260" w14:textId="77777777" w:rsidR="008A5C8C" w:rsidRPr="008A5C8C" w:rsidRDefault="008A5C8C" w:rsidP="008A5C8C">
      <w:pPr>
        <w:rPr>
          <w:b/>
          <w:bCs/>
        </w:rPr>
      </w:pPr>
      <w:r w:rsidRPr="008A5C8C">
        <w:rPr>
          <w:b/>
          <w:bCs/>
        </w:rPr>
        <w:t>The Regulatory Chasm</w:t>
      </w:r>
    </w:p>
    <w:p w14:paraId="21D8F7F6" w14:textId="77777777" w:rsidR="008A5C8C" w:rsidRPr="008A5C8C" w:rsidRDefault="008A5C8C" w:rsidP="008A5C8C">
      <w:r w:rsidRPr="008A5C8C">
        <w:t xml:space="preserve">The diverging regulatory philosophies between the US and Europe are accelerating this transformation. Europe's approach—mandatory instant payments through IPR and clear crypto regulations via </w:t>
      </w:r>
      <w:proofErr w:type="spellStart"/>
      <w:r w:rsidRPr="008A5C8C">
        <w:t>MiCA</w:t>
      </w:r>
      <w:proofErr w:type="spellEnd"/>
      <w:r w:rsidRPr="008A5C8C">
        <w:t xml:space="preserve">—creates legal certainty that encourages innovation [circle.com]. Banks and </w:t>
      </w:r>
      <w:proofErr w:type="spellStart"/>
      <w:r w:rsidRPr="008A5C8C">
        <w:t>fintechs</w:t>
      </w:r>
      <w:proofErr w:type="spellEnd"/>
      <w:r w:rsidRPr="008A5C8C">
        <w:t xml:space="preserve"> know the rules and can build accordingly.</w:t>
      </w:r>
    </w:p>
    <w:p w14:paraId="1BAD5CDB" w14:textId="77777777" w:rsidR="008A5C8C" w:rsidRPr="008A5C8C" w:rsidRDefault="008A5C8C" w:rsidP="008A5C8C">
      <w:r w:rsidRPr="008A5C8C">
        <w:lastRenderedPageBreak/>
        <w:t>America's regulatory ambiguity creates what analysts call a "regulatory moat" [circle.com]. Without federal stablecoin legislation or mandatory instant payment adoption, capital and innovation flow to jurisdictions with clear rules. US institutions engaging with Europe increasingly design products to satisfy European standards first, then adapt them for the American market [fsb.org].</w:t>
      </w:r>
    </w:p>
    <w:p w14:paraId="64CFF1C8" w14:textId="77777777" w:rsidR="008A5C8C" w:rsidRPr="008A5C8C" w:rsidRDefault="008A5C8C" w:rsidP="008A5C8C">
      <w:r w:rsidRPr="008A5C8C">
        <w:t>The data privacy dimension adds another layer of complexity. The specter of "Schrems III"—potential EU court decisions that US data protection is inadequate—could force American banks to build expensive localized European infrastructure, destroying profit margins [twobirds.com]. This regulatory uncertainty makes traditional cross-border banking increasingly unviable for all but the largest institutions.</w:t>
      </w:r>
    </w:p>
    <w:p w14:paraId="187B76A7" w14:textId="77777777" w:rsidR="008A5C8C" w:rsidRPr="008A5C8C" w:rsidRDefault="008A5C8C" w:rsidP="008A5C8C">
      <w:pPr>
        <w:rPr>
          <w:b/>
          <w:bCs/>
        </w:rPr>
      </w:pPr>
      <w:r w:rsidRPr="008A5C8C">
        <w:rPr>
          <w:b/>
          <w:bCs/>
        </w:rPr>
        <w:t>AI: From Tool to Critical Infrastructure</w:t>
      </w:r>
    </w:p>
    <w:p w14:paraId="538394D9" w14:textId="77777777" w:rsidR="008A5C8C" w:rsidRPr="008A5C8C" w:rsidRDefault="008A5C8C" w:rsidP="008A5C8C">
      <w:r w:rsidRPr="008A5C8C">
        <w:t>If blockchain provides new rails, artificial intelligence is becoming the essential conductor. The biggest bottleneck in cross-border finance isn't moving money—it's moving data, specifically compliance data [swift.com]. Currently, legitimate transfers are often frozen due to false positive matches on sanctions lists, requiring human review that causes days of delay.</w:t>
      </w:r>
    </w:p>
    <w:p w14:paraId="79F21ACD" w14:textId="77777777" w:rsidR="008A5C8C" w:rsidRPr="008A5C8C" w:rsidRDefault="008A5C8C" w:rsidP="008A5C8C">
      <w:r w:rsidRPr="008A5C8C">
        <w:t>By 2030, AI will revolutionize this process. Autonomous compliance systems will analyze transaction context rather than just keyword matching, reducing false positives by an estimated 90% [swift.com]. This is the only way to make cross-border payments truly instant without violating regulations.</w:t>
      </w:r>
    </w:p>
    <w:p w14:paraId="57FB1FBC" w14:textId="77777777" w:rsidR="008A5C8C" w:rsidRPr="008A5C8C" w:rsidRDefault="008A5C8C" w:rsidP="008A5C8C">
      <w:r w:rsidRPr="008A5C8C">
        <w:t>For corporate treasurers, AI-driven treasury management will transform liquidity efficiency. Banks currently maintain roughly $10 trillion in "nostro" accounts—foreign currency sitting idle "just in case" [swift.com]. AI can predict exactly how much currency is needed where, potentially freeing up 10-30% of this trapped capital [swift.com]. For major US banks, this represents hundreds of millions in improved capital efficiency.</w:t>
      </w:r>
    </w:p>
    <w:p w14:paraId="57FD537A" w14:textId="77777777" w:rsidR="008A5C8C" w:rsidRPr="008A5C8C" w:rsidRDefault="008A5C8C" w:rsidP="008A5C8C">
      <w:pPr>
        <w:rPr>
          <w:b/>
          <w:bCs/>
        </w:rPr>
      </w:pPr>
      <w:r w:rsidRPr="008A5C8C">
        <w:rPr>
          <w:b/>
          <w:bCs/>
          <w:highlight w:val="yellow"/>
        </w:rPr>
        <w:t>Strategic Projects for US Banks</w:t>
      </w:r>
    </w:p>
    <w:p w14:paraId="2C78438B" w14:textId="77777777" w:rsidR="008A5C8C" w:rsidRPr="008A5C8C" w:rsidRDefault="008A5C8C" w:rsidP="008A5C8C">
      <w:r w:rsidRPr="008A5C8C">
        <w:t>The transformation ahead demands specific strategic initiatives:</w:t>
      </w:r>
    </w:p>
    <w:p w14:paraId="1CC3E545" w14:textId="77777777" w:rsidR="008A5C8C" w:rsidRPr="008A5C8C" w:rsidRDefault="008A5C8C" w:rsidP="008A5C8C">
      <w:r w:rsidRPr="008A5C8C">
        <w:t>ISO 20022 Migration: The new data-rich messaging standard becomes mandatory by November 2025 [swift.com]. US banks must complete this migration not just for compliance but as the foundation for AI-driven automation and risk management [bis.org].</w:t>
      </w:r>
    </w:p>
    <w:p w14:paraId="223F3D45" w14:textId="77777777" w:rsidR="008A5C8C" w:rsidRPr="008A5C8C" w:rsidRDefault="008A5C8C" w:rsidP="008A5C8C">
      <w:r w:rsidRPr="008A5C8C">
        <w:t xml:space="preserve">Unified Ledger Integration: Projects like the BIS's </w:t>
      </w:r>
      <w:proofErr w:type="spellStart"/>
      <w:r w:rsidRPr="008A5C8C">
        <w:t>Agorá</w:t>
      </w:r>
      <w:proofErr w:type="spellEnd"/>
      <w:r w:rsidRPr="008A5C8C">
        <w:t xml:space="preserve"> enable "atomic settlement"—simultaneous exchange of money and assets 24/7 [bis.org]. Large US banks must participate in these initiatives to maintain relevance in high-value corporate flows.</w:t>
      </w:r>
    </w:p>
    <w:p w14:paraId="6F1E3231" w14:textId="77777777" w:rsidR="008A5C8C" w:rsidRPr="008A5C8C" w:rsidRDefault="008A5C8C" w:rsidP="008A5C8C">
      <w:r w:rsidRPr="008A5C8C">
        <w:lastRenderedPageBreak/>
        <w:t xml:space="preserve">Stablecoin Infrastructure Development: With the expected passage of federal stablecoin legislation, US banks need to build capabilities for issuing, </w:t>
      </w:r>
      <w:proofErr w:type="spellStart"/>
      <w:r w:rsidRPr="008A5C8C">
        <w:t>custodying</w:t>
      </w:r>
      <w:proofErr w:type="spellEnd"/>
      <w:r w:rsidRPr="008A5C8C">
        <w:t>, and settling regulated digital currencies [circle.com]. This includes partnerships with existing issuers and development of bank-issued tokenized deposits.</w:t>
      </w:r>
    </w:p>
    <w:p w14:paraId="74786F7E" w14:textId="77777777" w:rsidR="008A5C8C" w:rsidRPr="008A5C8C" w:rsidRDefault="008A5C8C" w:rsidP="008A5C8C">
      <w:r w:rsidRPr="008A5C8C">
        <w:t>AI-Powered Compliance and Treasury Platforms: Investment in contextual compliance systems and predictive liquidity management isn't optional—it's essential for competing on both cost and speed while maintaining regulatory compliance [swift.com].</w:t>
      </w:r>
    </w:p>
    <w:p w14:paraId="4B5A31FA" w14:textId="77777777" w:rsidR="008A5C8C" w:rsidRPr="008A5C8C" w:rsidRDefault="008A5C8C" w:rsidP="008A5C8C">
      <w:r w:rsidRPr="008A5C8C">
        <w:t xml:space="preserve">Fintech Partnership Models: Rather than competing with aggregators, banks must develop white-label services, banking-as-a-service offerings, and API-driven partnerships that position them as the infrastructure layer supporting fintech innovation. This "utility pivot" allows banks to maintain relevance by becoming the compliant on-ramp for </w:t>
      </w:r>
      <w:proofErr w:type="spellStart"/>
      <w:r w:rsidRPr="008A5C8C">
        <w:t>fintechs</w:t>
      </w:r>
      <w:proofErr w:type="spellEnd"/>
      <w:r w:rsidRPr="008A5C8C">
        <w:t xml:space="preserve"> and stablecoins—holding deposits, managing regulatory risk, and providing liquidity [bis.org].</w:t>
      </w:r>
    </w:p>
    <w:p w14:paraId="5E3C31BD" w14:textId="77777777" w:rsidR="008A5C8C" w:rsidRPr="008A5C8C" w:rsidRDefault="008A5C8C" w:rsidP="008A5C8C">
      <w:pPr>
        <w:rPr>
          <w:b/>
          <w:bCs/>
        </w:rPr>
      </w:pPr>
      <w:r w:rsidRPr="008A5C8C">
        <w:rPr>
          <w:b/>
          <w:bCs/>
        </w:rPr>
        <w:t>The 2030 Landscape</w:t>
      </w:r>
    </w:p>
    <w:p w14:paraId="464D0B68" w14:textId="77777777" w:rsidR="008A5C8C" w:rsidRPr="008A5C8C" w:rsidRDefault="008A5C8C" w:rsidP="008A5C8C">
      <w:r w:rsidRPr="008A5C8C">
        <w:t>By 2030, the US-EU payment corridor will achieve what researchers call a Convergence Score of 58/100 [fsb.org]—much better than today but still not "domestic-like." The market will be clearly bifurcated:</w:t>
      </w:r>
    </w:p>
    <w:p w14:paraId="14BB7644" w14:textId="77777777" w:rsidR="008A5C8C" w:rsidRPr="008A5C8C" w:rsidRDefault="008A5C8C" w:rsidP="008A5C8C">
      <w:r w:rsidRPr="008A5C8C">
        <w:t>For individual consumers, sending money to Europe will take seconds and cost less than 1% through fintech apps or digital wallets [wise.com]. The distinction between domestic and international payments will vanish from the user experience, though banks will be invisible in this process.</w:t>
      </w:r>
    </w:p>
    <w:p w14:paraId="76B4CE3D" w14:textId="77777777" w:rsidR="008A5C8C" w:rsidRPr="008A5C8C" w:rsidRDefault="008A5C8C" w:rsidP="008A5C8C">
      <w:r w:rsidRPr="008A5C8C">
        <w:t>For corporations, the transformation is more nuanced. Large multinationals will utilize unified ledgers for instant, atomic settlement of high-value transactions [bis.org]. Trade finance will be revolutionized through digital documents and programmable payments—smart contracts automatically releasing payment when sensors confirm goods arrival [swift.com].</w:t>
      </w:r>
    </w:p>
    <w:p w14:paraId="1158FB91" w14:textId="77777777" w:rsidR="008A5C8C" w:rsidRPr="008A5C8C" w:rsidRDefault="008A5C8C" w:rsidP="008A5C8C">
      <w:r w:rsidRPr="008A5C8C">
        <w:t>US regional and community banks face the starkest choice: exit cross-border payments entirely or become white-label providers for fintech platforms. The economics of maintaining correspondent banking relationships while competing on price with fintech aggregators and stablecoin networks are simply unviable. These institutions lack both the scale to match fintech pricing and the sophistication for complex corporate needs, relegating them to collecting referral fees rather than the substantial cross-border revenue they once enjoyed [bis.org] [fsb.org].</w:t>
      </w:r>
    </w:p>
    <w:p w14:paraId="1DB79177" w14:textId="77777777" w:rsidR="008A5C8C" w:rsidRPr="008A5C8C" w:rsidRDefault="008A5C8C" w:rsidP="008A5C8C">
      <w:r w:rsidRPr="008A5C8C">
        <w:t>The Utility Pivot</w:t>
      </w:r>
    </w:p>
    <w:p w14:paraId="26544704" w14:textId="77777777" w:rsidR="008A5C8C" w:rsidRPr="008A5C8C" w:rsidRDefault="008A5C8C" w:rsidP="008A5C8C">
      <w:r w:rsidRPr="008A5C8C">
        <w:lastRenderedPageBreak/>
        <w:t xml:space="preserve">The strategic imperative for US banks is clear: stop fighting the tide [bis.org]. Incumbent banks cannot compete with </w:t>
      </w:r>
      <w:proofErr w:type="spellStart"/>
      <w:r w:rsidRPr="008A5C8C">
        <w:t>fintechs</w:t>
      </w:r>
      <w:proofErr w:type="spellEnd"/>
      <w:r w:rsidRPr="008A5C8C">
        <w:t xml:space="preserve"> on the speed or price of a $500 transfer. Instead, they must pivot to become the "Utility Layer"—the reliable, compliant infrastructure that enables the new digital rails.</w:t>
      </w:r>
    </w:p>
    <w:p w14:paraId="0A35348E" w14:textId="77777777" w:rsidR="008A5C8C" w:rsidRPr="008A5C8C" w:rsidRDefault="008A5C8C" w:rsidP="008A5C8C">
      <w:r w:rsidRPr="008A5C8C">
        <w:t>This means holding massive deposits, managing regulatory risk, and providing the liquidity that greases fintech and stablecoin networks [wise.com]. It means becoming the regulated on-ramp between traditional finance and digital assets. It means excellence in wholesale banking, treasury services, and complex corporate needs while ceding retail flows to more efficient providers.</w:t>
      </w:r>
    </w:p>
    <w:p w14:paraId="362DE5BB" w14:textId="77777777" w:rsidR="008A5C8C" w:rsidRPr="008A5C8C" w:rsidRDefault="008A5C8C" w:rsidP="008A5C8C">
      <w:r w:rsidRPr="008A5C8C">
        <w:t xml:space="preserve">The future of cross-border finance isn't about banks disappearing—it's about banks retreating from the front lines of retail speed to become the fortress of wholesale liquidity [bis.org]. The bridge between the US and Europe may be broken, but the digital ferries being built by </w:t>
      </w:r>
      <w:proofErr w:type="spellStart"/>
      <w:r w:rsidRPr="008A5C8C">
        <w:t>fintechs</w:t>
      </w:r>
      <w:proofErr w:type="spellEnd"/>
      <w:r w:rsidRPr="008A5C8C">
        <w:t xml:space="preserve"> and powered by AI and stablecoins are already faster than the bridge ever was. US banks that recognize and adapt to this reality will thrive as essential infrastructure. Those that resist will find themselves relegated to an ever-shrinking pool of legacy transactions, watching the future of finance pass them by.</w:t>
      </w:r>
    </w:p>
    <w:p w14:paraId="19D30EFA" w14:textId="77777777" w:rsidR="008A5C8C" w:rsidRPr="008A5C8C" w:rsidRDefault="008A5C8C" w:rsidP="008A5C8C">
      <w:r w:rsidRPr="008A5C8C">
        <w:t>The Great Bifurcation isn't coming—it's here. The only question is whether US banks will be architects of the new system or casualties of it.</w:t>
      </w:r>
    </w:p>
    <w:p w14:paraId="3CB7A539" w14:textId="77777777" w:rsidR="008A5C8C" w:rsidRPr="008A5C8C" w:rsidRDefault="008A5C8C" w:rsidP="008A5C8C"/>
    <w:sectPr w:rsidR="008A5C8C" w:rsidRPr="008A5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8C"/>
    <w:rsid w:val="003667ED"/>
    <w:rsid w:val="008A5C8C"/>
    <w:rsid w:val="00922EF0"/>
    <w:rsid w:val="00CD5BD0"/>
    <w:rsid w:val="00F7476E"/>
    <w:rsid w:val="00FD4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562B"/>
  <w15:chartTrackingRefBased/>
  <w15:docId w15:val="{A3412625-B878-4998-862A-3CAD225C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C8C"/>
    <w:rPr>
      <w:rFonts w:eastAsiaTheme="majorEastAsia" w:cstheme="majorBidi"/>
      <w:color w:val="272727" w:themeColor="text1" w:themeTint="D8"/>
    </w:rPr>
  </w:style>
  <w:style w:type="paragraph" w:styleId="Title">
    <w:name w:val="Title"/>
    <w:basedOn w:val="Normal"/>
    <w:next w:val="Normal"/>
    <w:link w:val="TitleChar"/>
    <w:uiPriority w:val="10"/>
    <w:qFormat/>
    <w:rsid w:val="008A5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C8C"/>
    <w:pPr>
      <w:spacing w:before="160"/>
      <w:jc w:val="center"/>
    </w:pPr>
    <w:rPr>
      <w:i/>
      <w:iCs/>
      <w:color w:val="404040" w:themeColor="text1" w:themeTint="BF"/>
    </w:rPr>
  </w:style>
  <w:style w:type="character" w:customStyle="1" w:styleId="QuoteChar">
    <w:name w:val="Quote Char"/>
    <w:basedOn w:val="DefaultParagraphFont"/>
    <w:link w:val="Quote"/>
    <w:uiPriority w:val="29"/>
    <w:rsid w:val="008A5C8C"/>
    <w:rPr>
      <w:i/>
      <w:iCs/>
      <w:color w:val="404040" w:themeColor="text1" w:themeTint="BF"/>
    </w:rPr>
  </w:style>
  <w:style w:type="paragraph" w:styleId="ListParagraph">
    <w:name w:val="List Paragraph"/>
    <w:basedOn w:val="Normal"/>
    <w:uiPriority w:val="34"/>
    <w:qFormat/>
    <w:rsid w:val="008A5C8C"/>
    <w:pPr>
      <w:ind w:left="720"/>
      <w:contextualSpacing/>
    </w:pPr>
  </w:style>
  <w:style w:type="character" w:styleId="IntenseEmphasis">
    <w:name w:val="Intense Emphasis"/>
    <w:basedOn w:val="DefaultParagraphFont"/>
    <w:uiPriority w:val="21"/>
    <w:qFormat/>
    <w:rsid w:val="008A5C8C"/>
    <w:rPr>
      <w:i/>
      <w:iCs/>
      <w:color w:val="0F4761" w:themeColor="accent1" w:themeShade="BF"/>
    </w:rPr>
  </w:style>
  <w:style w:type="paragraph" w:styleId="IntenseQuote">
    <w:name w:val="Intense Quote"/>
    <w:basedOn w:val="Normal"/>
    <w:next w:val="Normal"/>
    <w:link w:val="IntenseQuoteChar"/>
    <w:uiPriority w:val="30"/>
    <w:qFormat/>
    <w:rsid w:val="008A5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C8C"/>
    <w:rPr>
      <w:i/>
      <w:iCs/>
      <w:color w:val="0F4761" w:themeColor="accent1" w:themeShade="BF"/>
    </w:rPr>
  </w:style>
  <w:style w:type="character" w:styleId="IntenseReference">
    <w:name w:val="Intense Reference"/>
    <w:basedOn w:val="DefaultParagraphFont"/>
    <w:uiPriority w:val="32"/>
    <w:qFormat/>
    <w:rsid w:val="008A5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26259">
      <w:bodyDiv w:val="1"/>
      <w:marLeft w:val="0"/>
      <w:marRight w:val="0"/>
      <w:marTop w:val="0"/>
      <w:marBottom w:val="0"/>
      <w:divBdr>
        <w:top w:val="none" w:sz="0" w:space="0" w:color="auto"/>
        <w:left w:val="none" w:sz="0" w:space="0" w:color="auto"/>
        <w:bottom w:val="none" w:sz="0" w:space="0" w:color="auto"/>
        <w:right w:val="none" w:sz="0" w:space="0" w:color="auto"/>
      </w:divBdr>
    </w:div>
    <w:div w:id="725445733">
      <w:bodyDiv w:val="1"/>
      <w:marLeft w:val="0"/>
      <w:marRight w:val="0"/>
      <w:marTop w:val="0"/>
      <w:marBottom w:val="0"/>
      <w:divBdr>
        <w:top w:val="none" w:sz="0" w:space="0" w:color="auto"/>
        <w:left w:val="none" w:sz="0" w:space="0" w:color="auto"/>
        <w:bottom w:val="none" w:sz="0" w:space="0" w:color="auto"/>
        <w:right w:val="none" w:sz="0" w:space="0" w:color="auto"/>
      </w:divBdr>
    </w:div>
    <w:div w:id="1091926725">
      <w:bodyDiv w:val="1"/>
      <w:marLeft w:val="0"/>
      <w:marRight w:val="0"/>
      <w:marTop w:val="0"/>
      <w:marBottom w:val="0"/>
      <w:divBdr>
        <w:top w:val="none" w:sz="0" w:space="0" w:color="auto"/>
        <w:left w:val="none" w:sz="0" w:space="0" w:color="auto"/>
        <w:bottom w:val="none" w:sz="0" w:space="0" w:color="auto"/>
        <w:right w:val="none" w:sz="0" w:space="0" w:color="auto"/>
      </w:divBdr>
    </w:div>
    <w:div w:id="109898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1726</Words>
  <Characters>9842</Characters>
  <Application>Microsoft Office Word</Application>
  <DocSecurity>0</DocSecurity>
  <Lines>82</Lines>
  <Paragraphs>23</Paragraphs>
  <ScaleCrop>false</ScaleCrop>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2</cp:revision>
  <dcterms:created xsi:type="dcterms:W3CDTF">2025-11-20T19:53:00Z</dcterms:created>
  <dcterms:modified xsi:type="dcterms:W3CDTF">2025-11-20T19:53:00Z</dcterms:modified>
</cp:coreProperties>
</file>